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2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商务条款偏离表</w:t>
      </w:r>
    </w:p>
    <w:p w14:paraId="165A6FF3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14A7DB9F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9012586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说明：</w:t>
      </w:r>
    </w:p>
    <w:p w14:paraId="7757EBB3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2.供应商必须据实填写，不得虚假响应，否则将取消其磋商或成交资格，并按有关规定进行处罚。</w:t>
      </w:r>
    </w:p>
    <w:p w14:paraId="72F94E3B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0599F3E2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法定代表人或委托代理人：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4997B874">
      <w:r>
        <w:rPr>
          <w:rFonts w:hint="eastAsia" w:ascii="仿宋" w:hAnsi="仿宋" w:eastAsia="仿宋" w:cs="仿宋"/>
          <w:color w:val="auto"/>
        </w:rPr>
        <w:t>日期：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BF"/>
    <w:rsid w:val="0079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2026-06-26T02:02:00Z</dcterms:created>
  <dc:creator>苍白假面</dc:creator>
  <cp:lastModifiedBy>苍白假面</cp:lastModifiedBy>
  <dcterms:modified xsi:type="dcterms:W3CDTF">2026-06-26T02:02:12Z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F0B16810B5F640CDBFE1E581F834977D_11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