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EAAEA">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西安市莲湖区人力资源和社会保障局</w:t>
      </w:r>
    </w:p>
    <w:p w14:paraId="0D27C20F">
      <w:pPr>
        <w:jc w:val="center"/>
        <w:rPr>
          <w:rFonts w:hint="eastAsia" w:ascii="仿宋" w:hAnsi="仿宋" w:eastAsia="仿宋" w:cs="仿宋"/>
          <w:color w:val="auto"/>
          <w:sz w:val="44"/>
          <w:szCs w:val="44"/>
        </w:rPr>
      </w:pPr>
      <w:r>
        <w:rPr>
          <w:rFonts w:hint="eastAsia" w:ascii="仿宋" w:hAnsi="仿宋" w:eastAsia="仿宋" w:cs="仿宋"/>
          <w:b/>
          <w:bCs/>
          <w:color w:val="auto"/>
          <w:sz w:val="44"/>
          <w:szCs w:val="44"/>
          <w:lang w:eastAsia="zh-CN"/>
        </w:rPr>
        <w:t>机关物业承包项目</w:t>
      </w:r>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32E28EF1">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093B3D34">
      <w:pPr>
        <w:pStyle w:val="2"/>
        <w:jc w:val="center"/>
        <w:rPr>
          <w:rFonts w:hint="eastAsia" w:ascii="仿宋" w:hAnsi="仿宋" w:eastAsia="仿宋" w:cs="仿宋"/>
          <w:color w:val="auto"/>
        </w:rPr>
      </w:pPr>
    </w:p>
    <w:p w14:paraId="553D53BF">
      <w:pPr>
        <w:rPr>
          <w:rFonts w:hint="eastAsia" w:ascii="仿宋" w:hAnsi="仿宋" w:eastAsia="仿宋" w:cs="仿宋"/>
          <w:color w:val="auto"/>
        </w:rPr>
      </w:pPr>
    </w:p>
    <w:p w14:paraId="5BDBA2AC">
      <w:pPr>
        <w:pStyle w:val="2"/>
        <w:rPr>
          <w:rFonts w:hint="eastAsia" w:ascii="仿宋" w:hAnsi="仿宋" w:eastAsia="仿宋" w:cs="仿宋"/>
          <w:color w:val="auto"/>
        </w:rPr>
      </w:pPr>
    </w:p>
    <w:p w14:paraId="67A7B5E1">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367BD247">
      <w:pPr>
        <w:pStyle w:val="6"/>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采购人（以下简称甲方）：</w:t>
      </w:r>
    </w:p>
    <w:p w14:paraId="3BC313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供应商（以下简称乙方）：</w:t>
      </w:r>
    </w:p>
    <w:p w14:paraId="26A375F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根据《中华人民共和国民法典》、《中华人民共和国政府采购法》及其它有关法律、行政法规，为明确双方在</w:t>
      </w:r>
      <w:r>
        <w:rPr>
          <w:rFonts w:hint="eastAsia" w:ascii="仿宋" w:hAnsi="仿宋" w:eastAsia="仿宋" w:cs="仿宋"/>
          <w:bCs/>
          <w:color w:val="auto"/>
          <w:sz w:val="24"/>
          <w:szCs w:val="24"/>
          <w:highlight w:val="none"/>
          <w:lang w:val="en-US" w:eastAsia="zh-CN"/>
        </w:rPr>
        <w:t>服务</w:t>
      </w:r>
      <w:r>
        <w:rPr>
          <w:rFonts w:hint="eastAsia" w:ascii="仿宋" w:hAnsi="仿宋" w:eastAsia="仿宋" w:cs="仿宋"/>
          <w:bCs/>
          <w:color w:val="auto"/>
          <w:sz w:val="24"/>
          <w:szCs w:val="24"/>
          <w:highlight w:val="none"/>
        </w:rPr>
        <w:t>过程中的权利、义务，经双方协商自愿签订本合同。</w:t>
      </w:r>
    </w:p>
    <w:p w14:paraId="03656800">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一、合同组成</w:t>
      </w:r>
    </w:p>
    <w:p w14:paraId="507AE6D3">
      <w:pPr>
        <w:autoSpaceDE w:val="0"/>
        <w:autoSpaceDN w:val="0"/>
        <w:adjustRightInd w:val="0"/>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下述文件是构成本合同不可分割的部分</w:t>
      </w:r>
      <w:r>
        <w:rPr>
          <w:rFonts w:hint="eastAsia" w:ascii="仿宋" w:hAnsi="仿宋" w:eastAsia="仿宋" w:cs="仿宋"/>
          <w:color w:val="auto"/>
          <w:sz w:val="24"/>
          <w:szCs w:val="24"/>
          <w:highlight w:val="none"/>
        </w:rPr>
        <w:t>:</w:t>
      </w:r>
    </w:p>
    <w:p w14:paraId="248083C8">
      <w:pPr>
        <w:autoSpaceDE w:val="0"/>
        <w:autoSpaceDN w:val="0"/>
        <w:adjustRightInd w:val="0"/>
        <w:spacing w:line="360" w:lineRule="auto"/>
        <w:ind w:left="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本合同条款及其所有附件。</w:t>
      </w:r>
    </w:p>
    <w:p w14:paraId="2716922C">
      <w:pPr>
        <w:autoSpaceDE w:val="0"/>
        <w:autoSpaceDN w:val="0"/>
        <w:adjustRightInd w:val="0"/>
        <w:spacing w:line="360" w:lineRule="auto"/>
        <w:ind w:firstLine="48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甲方的磋商文件及澄清文件。</w:t>
      </w:r>
    </w:p>
    <w:p w14:paraId="2293B053">
      <w:pPr>
        <w:autoSpaceDE w:val="0"/>
        <w:autoSpaceDN w:val="0"/>
        <w:adjustRightInd w:val="0"/>
        <w:spacing w:line="360" w:lineRule="auto"/>
        <w:ind w:firstLine="48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乙方的磋商响应文件及质疑解答文件。</w:t>
      </w:r>
    </w:p>
    <w:p w14:paraId="1E8CC854">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成交通知书。</w:t>
      </w:r>
    </w:p>
    <w:p w14:paraId="1891687E">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法定代表人授权书。</w:t>
      </w:r>
    </w:p>
    <w:p w14:paraId="5CB554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（6）双方与合同有关的往来信函、传真经双方法定代表人或其授权代表签字并加盖单位公章确认后视为本合同的组成部分。</w:t>
      </w:r>
    </w:p>
    <w:p w14:paraId="632015EC">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（7）经双方法定代表人或其授权代表签字并加盖单位公章确认的补充协议。</w:t>
      </w:r>
    </w:p>
    <w:p w14:paraId="4192A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仿宋" w:hAnsi="仿宋" w:eastAsia="仿宋" w:cs="仿宋"/>
          <w:color w:val="auto"/>
          <w:sz w:val="24"/>
          <w:szCs w:val="24"/>
          <w:highlight w:val="none"/>
        </w:rPr>
        <w:t>如果合同附件之间有矛盾之处，以有利于甲方的附件内容为准。</w:t>
      </w:r>
    </w:p>
    <w:p w14:paraId="586A534E">
      <w:pPr>
        <w:overflowPunct w:val="0"/>
        <w:spacing w:after="120" w:afterLines="50" w:line="360" w:lineRule="auto"/>
        <w:ind w:firstLine="48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781F1194">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二、项目概况</w:t>
      </w:r>
    </w:p>
    <w:p w14:paraId="6DF21332">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1.服务内容：</w:t>
      </w:r>
      <w:r>
        <w:rPr>
          <w:rFonts w:hint="eastAsia" w:ascii="仿宋" w:hAnsi="仿宋" w:eastAsia="仿宋" w:cs="仿宋"/>
          <w:bCs/>
          <w:color w:val="auto"/>
          <w:sz w:val="24"/>
          <w:szCs w:val="24"/>
          <w:highlight w:val="none"/>
          <w:lang w:eastAsia="zh-CN"/>
        </w:rPr>
        <w:t>机关物业承包项目</w:t>
      </w:r>
    </w:p>
    <w:p w14:paraId="4F347E16">
      <w:pPr>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服务</w:t>
      </w:r>
      <w:r>
        <w:rPr>
          <w:rFonts w:hint="eastAsia" w:ascii="仿宋" w:hAnsi="仿宋" w:eastAsia="仿宋" w:cs="仿宋"/>
          <w:bCs/>
          <w:color w:val="auto"/>
          <w:sz w:val="24"/>
          <w:szCs w:val="24"/>
          <w:highlight w:val="none"/>
        </w:rPr>
        <w:t>期</w:t>
      </w:r>
      <w:r>
        <w:rPr>
          <w:rFonts w:hint="eastAsia" w:ascii="仿宋" w:hAnsi="仿宋" w:eastAsia="仿宋" w:cs="仿宋"/>
          <w:bCs/>
          <w:color w:val="auto"/>
          <w:sz w:val="24"/>
          <w:szCs w:val="24"/>
          <w:highlight w:val="none"/>
          <w:lang w:val="en-US" w:eastAsia="zh-CN"/>
        </w:rPr>
        <w:t>：自合同签订之日起2年，合同一年一签。</w:t>
      </w:r>
      <w:bookmarkStart w:id="0" w:name="_GoBack"/>
      <w:bookmarkEnd w:id="0"/>
    </w:p>
    <w:p w14:paraId="14F5C55C">
      <w:pPr>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eastAsia="zh-CN"/>
        </w:rPr>
        <w:t>服务地点：</w:t>
      </w:r>
      <w:r>
        <w:rPr>
          <w:rFonts w:hint="eastAsia" w:ascii="仿宋" w:hAnsi="仿宋" w:eastAsia="仿宋" w:cs="仿宋"/>
          <w:bCs/>
          <w:color w:val="auto"/>
          <w:sz w:val="24"/>
          <w:szCs w:val="24"/>
          <w:highlight w:val="none"/>
          <w:lang w:val="en-US" w:eastAsia="zh-CN"/>
        </w:rPr>
        <w:t>采购人指定地点</w:t>
      </w:r>
    </w:p>
    <w:p w14:paraId="3E20CDD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质量要求：</w:t>
      </w:r>
      <w:r>
        <w:rPr>
          <w:rFonts w:hint="eastAsia" w:ascii="仿宋" w:hAnsi="仿宋" w:eastAsia="仿宋" w:cs="仿宋"/>
          <w:color w:val="auto"/>
          <w:sz w:val="24"/>
          <w:szCs w:val="24"/>
          <w:highlight w:val="none"/>
          <w:lang w:val="en-US" w:eastAsia="zh-CN"/>
        </w:rPr>
        <w:t>符合国家、行业相关法律法规及采购人需求</w:t>
      </w:r>
      <w:r>
        <w:rPr>
          <w:rFonts w:hint="eastAsia" w:ascii="仿宋" w:hAnsi="仿宋" w:eastAsia="仿宋" w:cs="仿宋"/>
          <w:color w:val="auto"/>
          <w:sz w:val="24"/>
          <w:szCs w:val="24"/>
          <w:highlight w:val="none"/>
        </w:rPr>
        <w:t>。</w:t>
      </w:r>
    </w:p>
    <w:p w14:paraId="0AAE703F">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w:t>
      </w:r>
      <w:r>
        <w:rPr>
          <w:rFonts w:hint="eastAsia" w:ascii="仿宋" w:hAnsi="仿宋" w:eastAsia="仿宋" w:cs="仿宋"/>
          <w:b/>
          <w:bCs/>
          <w:color w:val="auto"/>
          <w:sz w:val="24"/>
          <w:szCs w:val="24"/>
          <w:highlight w:val="none"/>
        </w:rPr>
        <w:t>合同价款及付款比例</w:t>
      </w:r>
    </w:p>
    <w:p w14:paraId="15F67AA7">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rPr>
        <w:t>1.合同价款：</w:t>
      </w:r>
      <w:r>
        <w:rPr>
          <w:rFonts w:hint="eastAsia" w:ascii="仿宋" w:hAnsi="仿宋" w:eastAsia="仿宋" w:cs="仿宋"/>
          <w:color w:val="auto"/>
          <w:sz w:val="24"/>
          <w:szCs w:val="24"/>
          <w:highlight w:val="none"/>
        </w:rPr>
        <w:t>合同为固定</w:t>
      </w:r>
      <w:r>
        <w:rPr>
          <w:rFonts w:hint="eastAsia" w:ascii="仿宋" w:hAnsi="仿宋" w:eastAsia="仿宋" w:cs="仿宋"/>
          <w:color w:val="auto"/>
          <w:sz w:val="24"/>
          <w:szCs w:val="24"/>
          <w:highlight w:val="none"/>
          <w:lang w:val="en-US" w:eastAsia="zh-CN"/>
        </w:rPr>
        <w:t>总</w:t>
      </w:r>
      <w:r>
        <w:rPr>
          <w:rFonts w:hint="eastAsia" w:ascii="仿宋" w:hAnsi="仿宋" w:eastAsia="仿宋" w:cs="仿宋"/>
          <w:color w:val="auto"/>
          <w:sz w:val="24"/>
          <w:szCs w:val="24"/>
          <w:highlight w:val="none"/>
        </w:rPr>
        <w:t>价合同</w:t>
      </w:r>
      <w:r>
        <w:rPr>
          <w:rFonts w:hint="eastAsia" w:ascii="仿宋" w:hAnsi="仿宋" w:eastAsia="仿宋" w:cs="仿宋"/>
          <w:color w:val="auto"/>
          <w:sz w:val="24"/>
          <w:szCs w:val="24"/>
          <w:highlight w:val="none"/>
          <w:lang w:eastAsia="zh-CN"/>
        </w:rPr>
        <w:t>。</w:t>
      </w:r>
    </w:p>
    <w:p w14:paraId="0D500BA9">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合同总价款人民币（大写）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8D9B8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付款方式：</w:t>
      </w:r>
    </w:p>
    <w:p w14:paraId="04591FCF">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合同签订后每满一个月后支付该时间段的服务费用。服务期内年度共支付服务费用不超过470,000元，具体金额以合同为准。</w:t>
      </w:r>
    </w:p>
    <w:p w14:paraId="47598EF8">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sz w:val="24"/>
          <w:szCs w:val="24"/>
          <w:highlight w:val="none"/>
          <w:lang w:val="en-US" w:eastAsia="zh-CN"/>
        </w:rPr>
        <w:t>注</w:t>
      </w:r>
      <w:r>
        <w:rPr>
          <w:rFonts w:hint="eastAsia" w:ascii="仿宋" w:hAnsi="仿宋" w:eastAsia="仿宋" w:cs="仿宋"/>
          <w:bCs/>
          <w:color w:val="auto"/>
          <w:sz w:val="24"/>
          <w:szCs w:val="24"/>
          <w:highlight w:val="none"/>
        </w:rPr>
        <w:t>：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23FD7BAB">
      <w:pPr>
        <w:pageBreakBefore w:val="0"/>
        <w:widowControl/>
        <w:tabs>
          <w:tab w:val="left" w:pos="426"/>
        </w:tabs>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3.乙方开户银行指定账户为：</w:t>
      </w:r>
    </w:p>
    <w:p w14:paraId="075E5999">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收款人：</w:t>
      </w:r>
    </w:p>
    <w:p w14:paraId="2498F01F">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552D3DA6">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2DB7EE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4.甲方付款前，乙方应向甲方开具正式等额发票，否则甲方有权延迟履行付款义务。</w:t>
      </w:r>
    </w:p>
    <w:p w14:paraId="5143962C">
      <w:pPr>
        <w:spacing w:line="360" w:lineRule="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四、项目负责人</w:t>
      </w:r>
    </w:p>
    <w:p w14:paraId="59EF0DB6">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b w:val="0"/>
          <w:bCs/>
          <w:color w:val="auto"/>
          <w:sz w:val="24"/>
          <w:szCs w:val="24"/>
          <w:highlight w:val="none"/>
        </w:rPr>
        <w:t>乙方</w:t>
      </w:r>
      <w:r>
        <w:rPr>
          <w:rFonts w:hint="eastAsia" w:ascii="仿宋" w:hAnsi="仿宋" w:eastAsia="仿宋" w:cs="仿宋"/>
          <w:bCs/>
          <w:color w:val="auto"/>
          <w:sz w:val="24"/>
          <w:szCs w:val="24"/>
          <w:highlight w:val="none"/>
          <w:lang w:val="en-US" w:eastAsia="zh-CN"/>
        </w:rPr>
        <w:t>委</w:t>
      </w:r>
      <w:r>
        <w:rPr>
          <w:rFonts w:hint="eastAsia" w:ascii="仿宋" w:hAnsi="仿宋" w:eastAsia="仿宋" w:cs="仿宋"/>
          <w:bCs/>
          <w:color w:val="auto"/>
          <w:sz w:val="24"/>
          <w:szCs w:val="24"/>
          <w:highlight w:val="none"/>
        </w:rPr>
        <w:t>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为本项目负责人，联系电话：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30508652">
      <w:pPr>
        <w:pStyle w:val="3"/>
        <w:spacing w:before="120" w:after="120" w:line="360" w:lineRule="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五、甲方的主要责任和权利</w:t>
      </w:r>
    </w:p>
    <w:p w14:paraId="71E69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甲方有权享有乙方按照上述约定提供的服务。</w:t>
      </w:r>
    </w:p>
    <w:p w14:paraId="3C124C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4196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520D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除本合同约定的服务费用外，乙方不得向甲方及其甲方人员收取其他任何费用，如甲方发现乙方有此类行为，甲方有权要求乙方清退所收费用， 退还利息并支付违约金；</w:t>
      </w:r>
    </w:p>
    <w:p w14:paraId="2CCDE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在服务实施过程中，甲方应为乙方提供必要的工作便利与指导，配合乙方履行职责。</w:t>
      </w:r>
    </w:p>
    <w:p w14:paraId="745EA3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甲方不得将本合同的内容向甲乙双方以外的、与签订和履行本合同无关的任何第三方透露，不得泄露乙方的商业秘密（包括本合同及其附件和合同签订前的各项方案） 。</w:t>
      </w:r>
    </w:p>
    <w:p w14:paraId="35A50A95">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六、乙方的主要责任和权利</w:t>
      </w:r>
    </w:p>
    <w:p w14:paraId="740ACBD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1.乙方必须具有履行本合同书所需的技能，必须按照相关的职业准则完成其全部职责。</w:t>
      </w:r>
    </w:p>
    <w:p w14:paraId="13EEE94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2.乙方应根据本合同的约定提交相关文件、资料。</w:t>
      </w:r>
    </w:p>
    <w:p w14:paraId="5007E2B6">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3.若未能在服务期内完成合同规定的义务，由此对甲方造成的延误和一切损失，由乙方承担和赔偿。</w:t>
      </w:r>
    </w:p>
    <w:p w14:paraId="3DB6E5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.解答甲方提出的与项目有关的询问，接受甲方监督和检查。</w:t>
      </w:r>
    </w:p>
    <w:p w14:paraId="178F66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.乙方应根据本合同的约定提供服务并提交工作成果，确保</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质量。</w:t>
      </w:r>
    </w:p>
    <w:p w14:paraId="3A8FD9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.乙方人员服务期中发生任何安全问题均与甲方无关。</w:t>
      </w:r>
    </w:p>
    <w:p w14:paraId="5985EF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.乙方对于甲方提出的整改意见，应积极配合，确保满足甲方整改要求。</w:t>
      </w:r>
    </w:p>
    <w:p w14:paraId="7D30EF94">
      <w:pPr>
        <w:pStyle w:val="7"/>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lang w:val="zh-CN" w:eastAsia="zh-CN"/>
        </w:rPr>
        <w:t>知识产权</w:t>
      </w:r>
    </w:p>
    <w:p w14:paraId="1B586605">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3D4490A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2.若乙方在为甲方提供服务时侵犯了第三人的权利，致使甲方受到索赔或起诉，由此给甲方造成的一切损失由乙方承担，同时甲方有权解除合同，同时乙方及时消除不良影响。</w:t>
      </w:r>
    </w:p>
    <w:p w14:paraId="52289002">
      <w:pPr>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21462B12">
      <w:pPr>
        <w:pStyle w:val="7"/>
        <w:tabs>
          <w:tab w:val="left" w:pos="1134"/>
          <w:tab w:val="left" w:pos="1418"/>
        </w:tabs>
        <w:adjustRightInd w:val="0"/>
        <w:spacing w:before="120" w:after="120"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bCs/>
          <w:color w:val="auto"/>
          <w:kern w:val="2"/>
          <w:sz w:val="24"/>
          <w:szCs w:val="24"/>
          <w:highlight w:val="none"/>
          <w:lang w:val="en-US" w:eastAsia="zh-CN" w:bidi="ar-SA"/>
        </w:rPr>
        <w:t>验收</w:t>
      </w:r>
    </w:p>
    <w:p w14:paraId="4F6E3780">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1.采购人进行验收，若认为验收不合格，供应商应重新调整且进行重新验收。</w:t>
      </w:r>
    </w:p>
    <w:p w14:paraId="49970CA7">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2.验收依据：</w:t>
      </w:r>
    </w:p>
    <w:p w14:paraId="030EA630">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①本项目磋商文件、磋商响应文件；</w:t>
      </w:r>
    </w:p>
    <w:p w14:paraId="0E2F5E77">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②本合同及附件文本；</w:t>
      </w:r>
    </w:p>
    <w:p w14:paraId="204C46EE">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③合同签订时国家及行业现行的标准和技术规范。</w:t>
      </w:r>
    </w:p>
    <w:p w14:paraId="09B0AB8A">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④供应商应向采购人提交项目实施过程中的所有资料，以便采购人日后整理汇总。</w:t>
      </w:r>
    </w:p>
    <w:p w14:paraId="5C188381">
      <w:pPr>
        <w:pStyle w:val="7"/>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eastAsia="zh-CN"/>
        </w:rPr>
        <w:t>、保密</w:t>
      </w:r>
    </w:p>
    <w:p w14:paraId="02A0A2A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1.在本合同的履行期内，乙方获得与本项目相关的信息（包括获得的资料及成果等），应当采取适当有效的方式保护，不得未经授权使用、传播或公开。</w:t>
      </w:r>
    </w:p>
    <w:p w14:paraId="08F1430A">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95CFD0C">
      <w:pPr>
        <w:pStyle w:val="8"/>
        <w:spacing w:before="120" w:after="120" w:line="360" w:lineRule="auto"/>
        <w:ind w:left="0" w:leftChars="0"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w:t>
      </w:r>
      <w:r>
        <w:rPr>
          <w:rFonts w:hint="eastAsia" w:ascii="仿宋" w:hAnsi="仿宋" w:eastAsia="仿宋" w:cs="仿宋"/>
          <w:b/>
          <w:bCs/>
          <w:color w:val="auto"/>
          <w:sz w:val="24"/>
          <w:szCs w:val="24"/>
          <w:highlight w:val="none"/>
        </w:rPr>
        <w:t>、不可抗力</w:t>
      </w:r>
    </w:p>
    <w:p w14:paraId="68046649">
      <w:pPr>
        <w:pStyle w:val="8"/>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78D46F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2.遭受不可抗力一方应在不可抗力事故发生后尽快以书面形式通知另一方；并在事故发生后</w:t>
      </w:r>
      <w:r>
        <w:rPr>
          <w:rFonts w:hint="eastAsia" w:ascii="仿宋" w:hAnsi="仿宋" w:eastAsia="仿宋" w:cs="仿宋"/>
          <w:color w:val="auto"/>
          <w:sz w:val="24"/>
          <w:szCs w:val="24"/>
          <w:highlight w:val="none"/>
          <w:u w:val="single"/>
        </w:rPr>
        <w:t>十（10）</w:t>
      </w:r>
      <w:r>
        <w:rPr>
          <w:rFonts w:hint="eastAsia" w:ascii="仿宋" w:hAnsi="仿宋" w:eastAsia="仿宋" w:cs="仿宋"/>
          <w:color w:val="auto"/>
          <w:sz w:val="24"/>
          <w:szCs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4"/>
          <w:szCs w:val="24"/>
          <w:highlight w:val="none"/>
          <w:u w:val="single"/>
        </w:rPr>
        <w:t>二十（20）</w:t>
      </w:r>
      <w:r>
        <w:rPr>
          <w:rFonts w:hint="eastAsia" w:ascii="仿宋" w:hAnsi="仿宋" w:eastAsia="仿宋" w:cs="仿宋"/>
          <w:color w:val="auto"/>
          <w:sz w:val="24"/>
          <w:szCs w:val="24"/>
          <w:highlight w:val="none"/>
        </w:rPr>
        <w:t>个日历日以上，双方应通过友好协商在合理的时间内达成进一步履行合同或终止合同的协议。</w:t>
      </w:r>
    </w:p>
    <w:p w14:paraId="17994DF2">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bCs/>
          <w:color w:val="auto"/>
          <w:sz w:val="24"/>
          <w:szCs w:val="24"/>
          <w:highlight w:val="none"/>
        </w:rPr>
        <w:t>、税费</w:t>
      </w:r>
    </w:p>
    <w:p w14:paraId="09E312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1.中国政府根据现行税法对乙方征收的与本合同有关的一切税费均由乙方负担。</w:t>
      </w:r>
    </w:p>
    <w:p w14:paraId="047AD8D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2.在中国境外发生的与本合同执行有关的一切税费均由乙方负担。</w:t>
      </w:r>
    </w:p>
    <w:p w14:paraId="1BFBAD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3.中国政府依据现行税法对甲方征收的与本合同有关的一切税费均由甲方负担。</w:t>
      </w:r>
    </w:p>
    <w:p w14:paraId="55F25AD2">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、破产终止合同</w:t>
      </w:r>
    </w:p>
    <w:p w14:paraId="02BABA2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当乙方破产或无供货（或提供服务）能力时，甲方可在任何时候以书面形式通知乙方单方解除合同；并且该终止合同不损害或不影响甲方已采取或将采取补救措施的权利。</w:t>
      </w:r>
    </w:p>
    <w:p w14:paraId="11368A7B">
      <w:pPr>
        <w:spacing w:before="120" w:after="120"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val="zh-CN"/>
        </w:rPr>
        <w:t>、违约责任</w:t>
      </w:r>
    </w:p>
    <w:p w14:paraId="4F17321C">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1.按《中华人民共和国合同法》中的相关条款执行。</w:t>
      </w:r>
    </w:p>
    <w:p w14:paraId="5683ABF4">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2.未按合同要求提供产品</w:t>
      </w:r>
      <w:r>
        <w:rPr>
          <w:rFonts w:hint="eastAsia" w:ascii="仿宋" w:hAnsi="仿宋" w:eastAsia="仿宋" w:cs="仿宋"/>
          <w:color w:val="auto"/>
          <w:kern w:val="0"/>
          <w:sz w:val="24"/>
          <w:szCs w:val="24"/>
          <w:highlight w:val="none"/>
          <w:lang w:val="en-US" w:eastAsia="zh-CN"/>
        </w:rPr>
        <w:t>及服务</w:t>
      </w:r>
      <w:r>
        <w:rPr>
          <w:rFonts w:hint="eastAsia" w:ascii="仿宋" w:hAnsi="仿宋" w:eastAsia="仿宋" w:cs="仿宋"/>
          <w:color w:val="auto"/>
          <w:kern w:val="0"/>
          <w:sz w:val="24"/>
          <w:szCs w:val="24"/>
          <w:highlight w:val="none"/>
          <w:lang w:eastAsia="zh-CN"/>
        </w:rPr>
        <w:t>质量不能满足技术要求，</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eastAsia="zh-CN"/>
        </w:rPr>
        <w:t>有权终止合同，并对</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eastAsia="zh-CN"/>
        </w:rPr>
        <w:t>违约行为进行追究，同时按《政府采购法》的有关规定进行处罚。</w:t>
      </w:r>
    </w:p>
    <w:p w14:paraId="07097CB9">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、合同争议和解决办法</w:t>
      </w:r>
    </w:p>
    <w:p w14:paraId="4AA7E7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甲、乙双方应本着友好合作、积极协商的态度，严格履行本协议，因不可预见的因素或本协议未尽事宜发生争议，由双方协商解决,协商不成时，甲、乙双方同意提交向有管辖权的人民法院提起诉讼。</w:t>
      </w:r>
    </w:p>
    <w:p w14:paraId="4638F249">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、其他事项</w:t>
      </w:r>
    </w:p>
    <w:p w14:paraId="5046454B">
      <w:pPr>
        <w:spacing w:line="360" w:lineRule="auto"/>
        <w:ind w:firstLine="480" w:firstLineChars="200"/>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b w:val="0"/>
          <w:bCs w:val="0"/>
          <w:color w:val="auto"/>
          <w:kern w:val="0"/>
          <w:sz w:val="24"/>
          <w:szCs w:val="24"/>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12A115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rPr>
        <w:t>2.</w:t>
      </w:r>
      <w:r>
        <w:rPr>
          <w:rFonts w:hint="eastAsia" w:ascii="仿宋" w:hAnsi="仿宋" w:eastAsia="仿宋" w:cs="仿宋"/>
          <w:color w:val="auto"/>
          <w:sz w:val="24"/>
          <w:szCs w:val="24"/>
          <w:highlight w:val="none"/>
        </w:rPr>
        <w:t>未尽事宜，双方协商解决。在本合同履行过程中将双方达成的书面补充协议是本合同不可分割的组成部分，与本合同具有同等效力。</w:t>
      </w:r>
    </w:p>
    <w:p w14:paraId="2E84969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w:t>
      </w:r>
      <w:r>
        <w:rPr>
          <w:rFonts w:hint="eastAsia" w:ascii="仿宋" w:hAnsi="仿宋" w:eastAsia="仿宋" w:cs="仿宋"/>
          <w:color w:val="auto"/>
          <w:sz w:val="24"/>
          <w:szCs w:val="24"/>
          <w:highlight w:val="none"/>
          <w:lang w:val="en-US" w:eastAsia="zh-CN"/>
        </w:rPr>
        <w:t>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份</w:t>
      </w:r>
      <w:r>
        <w:rPr>
          <w:rFonts w:hint="eastAsia" w:ascii="仿宋" w:hAnsi="仿宋" w:eastAsia="仿宋" w:cs="仿宋"/>
          <w:color w:val="auto"/>
          <w:sz w:val="24"/>
          <w:szCs w:val="24"/>
          <w:highlight w:val="none"/>
        </w:rPr>
        <w:t>，在双方代表签字盖章后生效，甲方执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06FBEC5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.本合同自双方签字盖章之日起生效，合同执行完毕自动失效（合同的服务承诺长期有效）。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正文完）</w:t>
      </w:r>
    </w:p>
    <w:p w14:paraId="2EF6D27D">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以下为签署页</w:t>
      </w:r>
    </w:p>
    <w:p w14:paraId="2A8E27B4">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tbl>
      <w:tblPr>
        <w:tblStyle w:val="4"/>
        <w:tblpPr w:leftFromText="180" w:rightFromText="180" w:vertAnchor="text" w:horzAnchor="page" w:tblpX="1221" w:tblpY="1176"/>
        <w:tblOverlap w:val="never"/>
        <w:tblW w:w="0" w:type="auto"/>
        <w:tblInd w:w="0" w:type="dxa"/>
        <w:tblLayout w:type="fixed"/>
        <w:tblCellMar>
          <w:top w:w="0" w:type="dxa"/>
          <w:left w:w="108" w:type="dxa"/>
          <w:bottom w:w="0" w:type="dxa"/>
          <w:right w:w="108" w:type="dxa"/>
        </w:tblCellMar>
      </w:tblPr>
      <w:tblGrid>
        <w:gridCol w:w="4201"/>
        <w:gridCol w:w="4202"/>
      </w:tblGrid>
      <w:tr w14:paraId="7D9AC08F">
        <w:tblPrEx>
          <w:tblCellMar>
            <w:top w:w="0" w:type="dxa"/>
            <w:left w:w="108" w:type="dxa"/>
            <w:bottom w:w="0" w:type="dxa"/>
            <w:right w:w="108" w:type="dxa"/>
          </w:tblCellMar>
        </w:tblPrEx>
        <w:trPr>
          <w:trHeight w:val="484" w:hRule="exact"/>
        </w:trPr>
        <w:tc>
          <w:tcPr>
            <w:tcW w:w="4201" w:type="dxa"/>
            <w:noWrap w:val="0"/>
            <w:vAlign w:val="center"/>
          </w:tcPr>
          <w:p w14:paraId="6A0884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4202" w:type="dxa"/>
            <w:noWrap w:val="0"/>
            <w:vAlign w:val="center"/>
          </w:tcPr>
          <w:p w14:paraId="3689425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208E0512">
        <w:tblPrEx>
          <w:tblCellMar>
            <w:top w:w="0" w:type="dxa"/>
            <w:left w:w="108" w:type="dxa"/>
            <w:bottom w:w="0" w:type="dxa"/>
            <w:right w:w="108" w:type="dxa"/>
          </w:tblCellMar>
        </w:tblPrEx>
        <w:trPr>
          <w:trHeight w:val="467" w:hRule="exact"/>
        </w:trPr>
        <w:tc>
          <w:tcPr>
            <w:tcW w:w="4201" w:type="dxa"/>
            <w:noWrap w:val="0"/>
            <w:vAlign w:val="center"/>
          </w:tcPr>
          <w:p w14:paraId="502A54B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0"/>
            <w:vAlign w:val="center"/>
          </w:tcPr>
          <w:p w14:paraId="0484BCD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60F761AB">
        <w:tblPrEx>
          <w:tblCellMar>
            <w:top w:w="0" w:type="dxa"/>
            <w:left w:w="108" w:type="dxa"/>
            <w:bottom w:w="0" w:type="dxa"/>
            <w:right w:w="108" w:type="dxa"/>
          </w:tblCellMar>
        </w:tblPrEx>
        <w:trPr>
          <w:trHeight w:val="501" w:hRule="exact"/>
        </w:trPr>
        <w:tc>
          <w:tcPr>
            <w:tcW w:w="4201" w:type="dxa"/>
            <w:noWrap w:val="0"/>
            <w:vAlign w:val="center"/>
          </w:tcPr>
          <w:p w14:paraId="2368245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4202" w:type="dxa"/>
            <w:noWrap w:val="0"/>
            <w:vAlign w:val="center"/>
          </w:tcPr>
          <w:p w14:paraId="1BB54A3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32EE2695">
        <w:tblPrEx>
          <w:tblCellMar>
            <w:top w:w="0" w:type="dxa"/>
            <w:left w:w="108" w:type="dxa"/>
            <w:bottom w:w="0" w:type="dxa"/>
            <w:right w:w="108" w:type="dxa"/>
          </w:tblCellMar>
        </w:tblPrEx>
        <w:trPr>
          <w:trHeight w:val="450" w:hRule="exact"/>
        </w:trPr>
        <w:tc>
          <w:tcPr>
            <w:tcW w:w="4201" w:type="dxa"/>
            <w:noWrap w:val="0"/>
            <w:vAlign w:val="center"/>
          </w:tcPr>
          <w:p w14:paraId="0EDA618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0"/>
            <w:vAlign w:val="center"/>
          </w:tcPr>
          <w:p w14:paraId="3F82368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28C39844">
        <w:tblPrEx>
          <w:tblCellMar>
            <w:top w:w="0" w:type="dxa"/>
            <w:left w:w="108" w:type="dxa"/>
            <w:bottom w:w="0" w:type="dxa"/>
            <w:right w:w="108" w:type="dxa"/>
          </w:tblCellMar>
        </w:tblPrEx>
        <w:trPr>
          <w:trHeight w:val="533" w:hRule="exact"/>
        </w:trPr>
        <w:tc>
          <w:tcPr>
            <w:tcW w:w="4201" w:type="dxa"/>
            <w:noWrap w:val="0"/>
            <w:vAlign w:val="center"/>
          </w:tcPr>
          <w:p w14:paraId="4055C8F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4202" w:type="dxa"/>
            <w:noWrap w:val="0"/>
            <w:vAlign w:val="center"/>
          </w:tcPr>
          <w:p w14:paraId="4E8495E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706915D9">
        <w:tblPrEx>
          <w:tblCellMar>
            <w:top w:w="0" w:type="dxa"/>
            <w:left w:w="108" w:type="dxa"/>
            <w:bottom w:w="0" w:type="dxa"/>
            <w:right w:w="108" w:type="dxa"/>
          </w:tblCellMar>
        </w:tblPrEx>
        <w:trPr>
          <w:trHeight w:val="533" w:hRule="exact"/>
        </w:trPr>
        <w:tc>
          <w:tcPr>
            <w:tcW w:w="4201" w:type="dxa"/>
            <w:noWrap w:val="0"/>
            <w:vAlign w:val="center"/>
          </w:tcPr>
          <w:p w14:paraId="3823481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4202" w:type="dxa"/>
            <w:noWrap w:val="0"/>
            <w:vAlign w:val="center"/>
          </w:tcPr>
          <w:p w14:paraId="667243F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r>
      <w:tr w14:paraId="55B21E00">
        <w:tblPrEx>
          <w:tblCellMar>
            <w:top w:w="0" w:type="dxa"/>
            <w:left w:w="108" w:type="dxa"/>
            <w:bottom w:w="0" w:type="dxa"/>
            <w:right w:w="108" w:type="dxa"/>
          </w:tblCellMar>
        </w:tblPrEx>
        <w:trPr>
          <w:trHeight w:val="500" w:hRule="exact"/>
        </w:trPr>
        <w:tc>
          <w:tcPr>
            <w:tcW w:w="4201" w:type="dxa"/>
            <w:noWrap w:val="0"/>
            <w:vAlign w:val="center"/>
          </w:tcPr>
          <w:p w14:paraId="234C0799">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0"/>
            <w:vAlign w:val="center"/>
          </w:tcPr>
          <w:p w14:paraId="46F8ACA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A2B6229">
        <w:tblPrEx>
          <w:tblCellMar>
            <w:top w:w="0" w:type="dxa"/>
            <w:left w:w="108" w:type="dxa"/>
            <w:bottom w:w="0" w:type="dxa"/>
            <w:right w:w="108" w:type="dxa"/>
          </w:tblCellMar>
        </w:tblPrEx>
        <w:trPr>
          <w:trHeight w:val="467" w:hRule="exact"/>
        </w:trPr>
        <w:tc>
          <w:tcPr>
            <w:tcW w:w="4201" w:type="dxa"/>
            <w:noWrap w:val="0"/>
            <w:vAlign w:val="center"/>
          </w:tcPr>
          <w:p w14:paraId="03154EF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0"/>
            <w:vAlign w:val="center"/>
          </w:tcPr>
          <w:p w14:paraId="29F19082">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381CB564">
        <w:tblPrEx>
          <w:tblCellMar>
            <w:top w:w="0" w:type="dxa"/>
            <w:left w:w="108" w:type="dxa"/>
            <w:bottom w:w="0" w:type="dxa"/>
            <w:right w:w="108" w:type="dxa"/>
          </w:tblCellMar>
        </w:tblPrEx>
        <w:trPr>
          <w:trHeight w:val="567" w:hRule="exact"/>
        </w:trPr>
        <w:tc>
          <w:tcPr>
            <w:tcW w:w="4201" w:type="dxa"/>
            <w:noWrap w:val="0"/>
            <w:vAlign w:val="center"/>
          </w:tcPr>
          <w:p w14:paraId="3A1EF96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0"/>
            <w:vAlign w:val="center"/>
          </w:tcPr>
          <w:p w14:paraId="753CE72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2D50775">
        <w:tblPrEx>
          <w:tblCellMar>
            <w:top w:w="0" w:type="dxa"/>
            <w:left w:w="108" w:type="dxa"/>
            <w:bottom w:w="0" w:type="dxa"/>
            <w:right w:w="108" w:type="dxa"/>
          </w:tblCellMar>
        </w:tblPrEx>
        <w:trPr>
          <w:trHeight w:val="567" w:hRule="exact"/>
        </w:trPr>
        <w:tc>
          <w:tcPr>
            <w:tcW w:w="4201" w:type="dxa"/>
            <w:noWrap w:val="0"/>
            <w:vAlign w:val="center"/>
          </w:tcPr>
          <w:p w14:paraId="7B9A348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0"/>
            <w:vAlign w:val="center"/>
          </w:tcPr>
          <w:p w14:paraId="46346A3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34572E1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1568D6"/>
    <w:rsid w:val="041568D6"/>
    <w:rsid w:val="0AF759A5"/>
    <w:rsid w:val="6DD72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next w:val="1"/>
    <w:qFormat/>
    <w:uiPriority w:val="0"/>
    <w:rPr>
      <w:rFonts w:ascii="宋体" w:hAnsi="Courier New" w:cs="Courier New"/>
      <w:szCs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 w:type="paragraph" w:styleId="7">
    <w:name w:val="List Paragraph"/>
    <w:basedOn w:val="1"/>
    <w:unhideWhenUsed/>
    <w:qFormat/>
    <w:uiPriority w:val="99"/>
    <w:pPr>
      <w:ind w:firstLine="420" w:firstLineChars="200"/>
    </w:pPr>
  </w:style>
  <w:style w:type="paragraph" w:customStyle="1" w:styleId="8">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3270</Words>
  <Characters>3324</Characters>
  <Lines>0</Lines>
  <Paragraphs>0</Paragraphs>
  <TotalTime>0</TotalTime>
  <ScaleCrop>false</ScaleCrop>
  <LinksUpToDate>false</LinksUpToDate>
  <CharactersWithSpaces>3385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2026-06-26T02:02:00Z</dcterms:created>
  <dc:creator>苍白假面</dc:creator>
  <cp:lastModifiedBy>苍白假面</cp:lastModifiedBy>
  <dcterms:modified xsi:type="dcterms:W3CDTF">2026-07-14T01:58:16Z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CC536AE59352495397E0DA07059B70E3_11</vt:lpwstr>
  </property>
  <property fmtid="{D5CDD505-2E9C-101B-9397-08002B2CF9AE}" pid="4" name="KSOTemplateDocerSaveRecord">
    <vt:lpwstr>eyJoZGlkIjoiY2U1ZTlkNThkYmUxMjkwM2M5Y2E1YWM0NWQ1ZjUwMDUiLCJ1c2VySWQiOiIyNzI4NDY5MDUifQ==</vt:lpwstr>
  </property>
</Properties>
</file>