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版本号：SXLX-HW-2026-05720260811001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药品追溯码和出入库智能管理系统采购项目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SXLX-HW-2026-057</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药品追溯码和出入库智能管理系统采购项目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药品追溯码和出入库智能管理系统采购项目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帮助医院优化现有的入库流程，以减少不必要的重复工作。支持与配送企业协商，要求其提供更为详细的包装和追溯码信息，以便医院在入库前就能对药品的包装和追溯码有所了解，提高医院采购效率、提高入库数据准确性；第一时间将药品网上采购全流程进行规范化管理、将院内目录进行及时预警提醒医院业务人员，帮助医院对院内目录信息进行及时的更新和维护，需进行药品追溯码和出入库智能管理系统建设。 该项目所实现的药品追溯码应用模块和出入库智能管理涵盖西成药，中成药，以及中药配方颗粒等所有药品（具体详见采购文件第三章）。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采购包1（药品追溯码和出入库智能管理系统采购项目）：属于专门面向中小企业采购。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3、履行合同技术能力的承诺：提供具有履行合同所必需的设备和专业技术能力的承诺；</w:t>
      </w:r>
    </w:p>
    <w:p>
      <w:pPr>
        <w:pStyle w:val="null3"/>
      </w:pPr>
      <w:r>
        <w:rPr>
          <w:rFonts w:ascii="仿宋_GB2312" w:hAnsi="仿宋_GB2312" w:cs="仿宋_GB2312" w:eastAsia="仿宋_GB2312"/>
        </w:rPr>
        <w:t>4、税收缴纳证明：提供磋商截止时间前一年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5、社会保障资金缴纳证明：提供磋商截止时间前一年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人身份证明或授权书：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8、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9、控股、管理关系：单位负责人为同一人或者存在直接控股、管理关系的不同供应商，不得参加同一合同项下的政府采购活动；（提供书面承诺，加盖供应商公章）。</w:t>
      </w:r>
    </w:p>
    <w:p>
      <w:pPr>
        <w:pStyle w:val="null3"/>
      </w:pPr>
      <w:r>
        <w:rPr>
          <w:rFonts w:ascii="仿宋_GB2312" w:hAnsi="仿宋_GB2312" w:cs="仿宋_GB2312" w:eastAsia="仿宋_GB2312"/>
        </w:rPr>
        <w:t>10、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11、供应商属性：投标人应承诺其公司非采购人及项目代理机构员工和亲属投资开办的公司，其法人、股东、高级管理人员非采购人单位员工及亲属。采购人、代理机构和投标人之间无相互兼职的情形；</w:t>
      </w:r>
    </w:p>
    <w:p>
      <w:pPr>
        <w:pStyle w:val="null3"/>
      </w:pPr>
      <w:r>
        <w:rPr>
          <w:rFonts w:ascii="仿宋_GB2312" w:hAnsi="仿宋_GB2312" w:cs="仿宋_GB2312" w:eastAsia="仿宋_GB2312"/>
        </w:rPr>
        <w:t>12、未被列入“黑名单”：列入政府采购各级管理主管部门和我院“黑名单”的供应商在其列入“黑名单”之日起3年内限制参与本项目；（提供截图或承诺书）</w:t>
      </w:r>
    </w:p>
    <w:p>
      <w:pPr>
        <w:pStyle w:val="null3"/>
      </w:pPr>
      <w:r>
        <w:rPr>
          <w:rFonts w:ascii="仿宋_GB2312" w:hAnsi="仿宋_GB2312" w:cs="仿宋_GB2312" w:eastAsia="仿宋_GB2312"/>
        </w:rPr>
        <w:t>13、本项目不接受联合体投标：本项目不接受联合体投标；（提供书面承诺，加盖供应商公章）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孔祥妍、张菲、解东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下浮20%收取。成交单位在领取成交通知书时向代理机构支付代理服务费。缴纳账户如下：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联系人：孔祥妍、张菲、解东</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地址：陕西省西安市雁塔区太白南路39号金石柏朗大厦12层1201、1202、1205室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该项目所实现的药品追溯码应用模块和出入库智能管理涵盖西成药以及中药配方颗粒等所有药品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药品追溯码和出入库智能管理系统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标的名称：药品追溯码和出入库智能管理系统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采购内容</w:t>
            </w:r>
          </w:p>
          <w:tbl>
            <w:tblPr>
              <w:tblBorders>
                <w:top w:val="none" w:color="000000" w:sz="4"/>
                <w:left w:val="none" w:color="000000" w:sz="4"/>
                <w:bottom w:val="none" w:color="000000" w:sz="4"/>
                <w:right w:val="none" w:color="000000" w:sz="4"/>
                <w:insideH w:val="none"/>
                <w:insideV w:val="none"/>
              </w:tblBorders>
            </w:tblPr>
            <w:tblGrid>
              <w:gridCol w:w="238"/>
              <w:gridCol w:w="683"/>
              <w:gridCol w:w="1038"/>
              <w:gridCol w:w="324"/>
              <w:gridCol w:w="258"/>
            </w:tblGrid>
            <w:tr>
              <w:tc>
                <w:tcPr>
                  <w:tcW w:type="dxa" w:w="23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编号</w:t>
                  </w:r>
                </w:p>
              </w:tc>
              <w:tc>
                <w:tcPr>
                  <w:tcW w:type="dxa" w:w="68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103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21"/>
                    </w:rPr>
                    <w:t>功能描述</w:t>
                  </w:r>
                </w:p>
              </w:tc>
              <w:tc>
                <w:tcPr>
                  <w:tcW w:type="dxa" w:w="32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541"/>
                  <w:gridSpan w:val="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软件功能部分</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省招采平台对接模块</w:t>
                  </w:r>
                </w:p>
              </w:tc>
              <w:tc>
                <w:tcPr>
                  <w:tcW w:type="dxa" w:w="10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提供省级目录下载、院内目录下载、订单上传、配送下载、收货确认的功能</w:t>
                  </w:r>
                </w:p>
              </w:tc>
              <w:tc>
                <w:tcPr>
                  <w:tcW w:type="dxa" w:w="3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招采前置服务业务模块</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提供药品目录管理、招采业务对接的功能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追溯码应用模块</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提供追溯码获取接口对接和药品追溯码精益化管理的功能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云码平台</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提供配送企业和医院追溯码中转的功能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PDA扫码验收模块</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供配送企业端发货和医院端PDA收货的功能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基础设置</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提供权限管理的功能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码上放心</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提供入驻码上放心的功能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流程再造</w:t>
                  </w:r>
                </w:p>
              </w:tc>
              <w:tc>
                <w:tcPr>
                  <w:tcW w:type="dxa" w:w="10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提供优化医院药品招采全流程及追溯码全流程闭环管理的功能</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41"/>
                  <w:gridSpan w:val="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硬件设备部分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7"/>
                    <w:jc w:val="center"/>
                  </w:pPr>
                  <w:r>
                    <w:rPr>
                      <w:rFonts w:ascii="仿宋_GB2312" w:hAnsi="仿宋_GB2312" w:cs="仿宋_GB2312" w:eastAsia="仿宋_GB2312"/>
                      <w:sz w:val="21"/>
                    </w:rPr>
                    <w:t>高拍仪</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用于医院入库/发药阶段，药品追溯码一键识别读取采集。</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PDA</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用于医院药库药品入库收货核验，完成到货信息核对录入。</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bl>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jc w:val="both"/>
            </w:pPr>
            <w:r>
              <w:rPr>
                <w:rFonts w:ascii="仿宋_GB2312" w:hAnsi="仿宋_GB2312" w:cs="仿宋_GB2312" w:eastAsia="仿宋_GB2312"/>
                <w:sz w:val="21"/>
                <w:b/>
              </w:rPr>
              <w:t>1、软件功能技术要求：</w:t>
            </w:r>
          </w:p>
          <w:tbl>
            <w:tblPr>
              <w:tblInd w:type="dxa" w:w="135"/>
              <w:tblBorders>
                <w:top w:val="none" w:color="000000" w:sz="4"/>
                <w:left w:val="none" w:color="000000" w:sz="4"/>
                <w:bottom w:val="none" w:color="000000" w:sz="4"/>
                <w:right w:val="none" w:color="000000" w:sz="4"/>
                <w:insideH w:val="none"/>
                <w:insideV w:val="none"/>
              </w:tblBorders>
            </w:tblPr>
            <w:tblGrid>
              <w:gridCol w:w="225"/>
              <w:gridCol w:w="369"/>
              <w:gridCol w:w="394"/>
              <w:gridCol w:w="435"/>
              <w:gridCol w:w="1117"/>
            </w:tblGrid>
            <w:tr>
              <w:tc>
                <w:tcPr>
                  <w:tcW w:type="dxa" w:w="22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分类</w:t>
                  </w:r>
                </w:p>
              </w:tc>
              <w:tc>
                <w:tcPr>
                  <w:tcW w:type="dxa" w:w="39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功能模块</w:t>
                  </w:r>
                </w:p>
              </w:tc>
              <w:tc>
                <w:tcPr>
                  <w:tcW w:type="dxa" w:w="43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模块名称</w:t>
                  </w:r>
                </w:p>
              </w:tc>
              <w:tc>
                <w:tcPr>
                  <w:tcW w:type="dxa" w:w="111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功能描述</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省招采平台对接模块</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省招采平台接口</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▲省级目录下载</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支持与省招采平台接口开放后进行对接，验收确认等功能</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院内目录下载</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招采前置服务系统部署在医院内部服务器，及时获取药品目录的更新数据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订单上传</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订单</w:t>
                  </w:r>
                  <w:r>
                    <w:rPr>
                      <w:rFonts w:ascii="仿宋_GB2312" w:hAnsi="仿宋_GB2312" w:cs="仿宋_GB2312" w:eastAsia="仿宋_GB2312"/>
                      <w:sz w:val="21"/>
                    </w:rPr>
                    <w:t>自动回传，精确匹配</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配送下载</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配送明细一键下载</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收货确认</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验收确认</w:t>
                  </w:r>
                  <w:r>
                    <w:rPr>
                      <w:rFonts w:ascii="仿宋_GB2312" w:hAnsi="仿宋_GB2312" w:cs="仿宋_GB2312" w:eastAsia="仿宋_GB2312"/>
                      <w:sz w:val="21"/>
                    </w:rPr>
                    <w:t>功能，</w:t>
                  </w:r>
                  <w:r>
                    <w:rPr>
                      <w:rFonts w:ascii="仿宋_GB2312" w:hAnsi="仿宋_GB2312" w:cs="仿宋_GB2312" w:eastAsia="仿宋_GB2312"/>
                      <w:sz w:val="21"/>
                    </w:rPr>
                    <w:t>系统和数据服务均部署在医院内网</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9"/>
                  <w:vMerge/>
                  <w:tcBorders>
                    <w:top w:val="none" w:color="000000" w:sz="4"/>
                    <w:left w:val="single" w:color="000000" w:sz="4"/>
                    <w:bottom w:val="single" w:color="000000" w:sz="4"/>
                    <w:right w:val="single" w:color="000000" w:sz="4"/>
                  </w:tcBorders>
                </w:tcP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院内HIS/SPD接口</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HIS药品目录获取</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招采前置服务系统与院内HIS/SPD端对接接口</w:t>
                  </w:r>
                  <w:r>
                    <w:rPr>
                      <w:rFonts w:ascii="仿宋_GB2312" w:hAnsi="仿宋_GB2312" w:cs="仿宋_GB2312" w:eastAsia="仿宋_GB2312"/>
                      <w:sz w:val="21"/>
                    </w:rPr>
                    <w:t>，进行目录获取</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省招采平台院内目录下发</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通过前置服务系统与省医保招采平台开放后进行对接</w:t>
                  </w:r>
                  <w:r>
                    <w:rPr>
                      <w:rFonts w:ascii="仿宋_GB2312" w:hAnsi="仿宋_GB2312" w:cs="仿宋_GB2312" w:eastAsia="仿宋_GB2312"/>
                      <w:sz w:val="21"/>
                    </w:rPr>
                    <w:t>，完成目录下发</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院内采购上传</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通过招采前置服务系统一键采购上传</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收货数据下发</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收货后自动进行数据下发，完成入库。</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招采前置服务业务模块</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药品目录管理</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院内目录</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同步医院的省招采平台常用目录信息，支持定时、手动同步</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▲院内外目录校验提醒</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省招采平台医院常用目录与院内his目录匹配，关键匹配数据有批准文号、省标代码、医保代码、采购价格、包装数量、配送企业等，不匹配数据进行预警提醒。后期可根据医院管理需要进行调整</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配送关系管理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配送关系下载、收货地址下载、配送企业目录管理</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9"/>
                  <w:vMerge/>
                  <w:tcBorders>
                    <w:top w:val="none" w:color="000000" w:sz="4"/>
                    <w:left w:val="single" w:color="000000" w:sz="4"/>
                    <w:bottom w:val="single" w:color="000000" w:sz="4"/>
                    <w:right w:val="single" w:color="000000" w:sz="4"/>
                  </w:tcBorders>
                </w:tcP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招采业务对接</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订单上传</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院内采购订单上传省招采平台，主数据有药品名称、采购数量、配送企业、配送地址等。支持前置平台建单、提交订单、上传订单业务模式</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配送下载</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省招采平台发货信息下载，主数据有</w:t>
                  </w:r>
                  <w:r>
                    <w:rPr>
                      <w:rFonts w:ascii="仿宋_GB2312" w:hAnsi="仿宋_GB2312" w:cs="仿宋_GB2312" w:eastAsia="仿宋_GB2312"/>
                      <w:sz w:val="21"/>
                    </w:rPr>
                    <w:t>发货品目、</w:t>
                  </w:r>
                  <w:r>
                    <w:rPr>
                      <w:rFonts w:ascii="仿宋_GB2312" w:hAnsi="仿宋_GB2312" w:cs="仿宋_GB2312" w:eastAsia="仿宋_GB2312"/>
                      <w:sz w:val="21"/>
                    </w:rPr>
                    <w:t>发货企业、发货数量、批号、效期、发票号等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收货单生成</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根据省招采平台的配送明细，生成收货单</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收货确认</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根据药品的发货信息，药品确认收货工作后，进行收货数据省招采平台自动回传</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基础报表</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药品采购统计查询</w:t>
                  </w:r>
                  <w:r>
                    <w:rPr>
                      <w:rFonts w:ascii="仿宋_GB2312" w:hAnsi="仿宋_GB2312" w:cs="仿宋_GB2312" w:eastAsia="仿宋_GB2312"/>
                      <w:sz w:val="21"/>
                    </w:rPr>
                    <w:t>，根据医院实际采购情况，实现药品采购数据统计与分析。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药品库存管理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根据医院实际情况配合实现库存效期管理查询等功能。</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追溯码应用模块</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药品追溯码精益化管理</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▲采购入库采集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药品采购入库业务的溯源码扫码、数据采集、解析、转化、存储</w:t>
                  </w:r>
                  <w:r>
                    <w:rPr>
                      <w:rFonts w:ascii="仿宋_GB2312" w:hAnsi="仿宋_GB2312" w:cs="仿宋_GB2312" w:eastAsia="仿宋_GB2312"/>
                      <w:sz w:val="21"/>
                    </w:rPr>
                    <w:t>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▲追溯码大小包装解析</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对药品大、中、小包装的追溯码关系解析获取</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追溯码信息获取</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按照追溯码获取药品的信息，包括通用名、商品名、批准文号、规格型号、包装、效期</w:t>
                  </w:r>
                  <w:r>
                    <w:rPr>
                      <w:rFonts w:ascii="仿宋_GB2312" w:hAnsi="仿宋_GB2312" w:cs="仿宋_GB2312" w:eastAsia="仿宋_GB2312"/>
                      <w:sz w:val="21"/>
                    </w:rPr>
                    <w:t>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省追溯码库连接</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链接省医保招采追溯码库进行追溯码的解析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“码上放心”追溯码库连接解析</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入驻阿里健康码放心平台，</w:t>
                  </w:r>
                  <w:r>
                    <w:rPr>
                      <w:rFonts w:ascii="仿宋_GB2312" w:hAnsi="仿宋_GB2312" w:cs="仿宋_GB2312" w:eastAsia="仿宋_GB2312"/>
                      <w:sz w:val="21"/>
                    </w:rPr>
                    <w:t>链接阿里健康码上放心</w:t>
                  </w:r>
                  <w:r>
                    <w:rPr>
                      <w:rFonts w:ascii="仿宋_GB2312" w:hAnsi="仿宋_GB2312" w:cs="仿宋_GB2312" w:eastAsia="仿宋_GB2312"/>
                      <w:sz w:val="21"/>
                    </w:rPr>
                    <w:t>招</w:t>
                  </w:r>
                  <w:r>
                    <w:rPr>
                      <w:rFonts w:ascii="仿宋_GB2312" w:hAnsi="仿宋_GB2312" w:cs="仿宋_GB2312" w:eastAsia="仿宋_GB2312"/>
                      <w:sz w:val="21"/>
                    </w:rPr>
                    <w:t>采追溯码库</w:t>
                  </w:r>
                  <w:r>
                    <w:rPr>
                      <w:rFonts w:ascii="仿宋_GB2312" w:hAnsi="仿宋_GB2312" w:cs="仿宋_GB2312" w:eastAsia="仿宋_GB2312"/>
                      <w:sz w:val="21"/>
                    </w:rPr>
                    <w:t>，具备</w:t>
                  </w:r>
                  <w:r>
                    <w:rPr>
                      <w:rFonts w:ascii="仿宋_GB2312" w:hAnsi="仿宋_GB2312" w:cs="仿宋_GB2312" w:eastAsia="仿宋_GB2312"/>
                      <w:sz w:val="21"/>
                    </w:rPr>
                    <w:t>追溯码的解析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院内追溯码信息库</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在院内形成验收入库后的追溯码信息库，将入库信息和追溯码对应，供发药和消耗核销</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HIS视图或接口</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提供院内追溯码库与HIS的视图或者接口</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▲配送企业追溯码对接</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提供配送企业追溯码对接，方便配送企业将追溯码信息传递至医院，方便医院直接保存追溯码</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数据上传准备</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生成追溯码记录表，供HIS上传医保两定接口</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门诊发药采集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处方发药，利用高拍仪批量快速采集追溯码</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住院带药发药采集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医嘱发药，利用高拍仪批量快速采集追溯码</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退药</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药品退药，追溯码采集、存储、标记</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退货</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药品退货，追溯码采集、存储、标记</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69"/>
                  <w:vMerge/>
                  <w:tcBorders>
                    <w:top w:val="none" w:color="000000" w:sz="4"/>
                    <w:left w:val="single" w:color="000000" w:sz="4"/>
                    <w:bottom w:val="single" w:color="000000" w:sz="4"/>
                    <w:right w:val="single" w:color="000000" w:sz="4"/>
                  </w:tcBorders>
                </w:tcP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追溯码获取接口</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医保追溯码库接口</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对接医保追溯码库（根据各省医保追溯码库开发时间而定）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第三方追溯码平台接口</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“码上放心”和其他第三方追溯码平台，未来医保追溯码库建成后转为备份</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追溯码统计表</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入库明细统计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查看医疗机构采购入库药品追溯码匹配情况，并针对未完全匹配或企业少传漏传等情况支持院内以Excel形式将追溯码导入平台进行匹配</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入库汇总统计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支持以配送企业做维度，统计该企业在某个周期内上传药品与药品对应追溯码的匹配率查询</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PDA扫码验收模块</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配送企业端</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发货管理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配送企业登录前置服务系统，进行药品的装箱条码打印，并进行箱规贴码工作</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69"/>
                  <w:vMerge/>
                  <w:tcBorders>
                    <w:top w:val="none" w:color="000000" w:sz="4"/>
                    <w:left w:val="single" w:color="000000" w:sz="4"/>
                    <w:bottom w:val="single" w:color="000000" w:sz="4"/>
                    <w:right w:val="single" w:color="000000" w:sz="4"/>
                  </w:tcBorders>
                </w:tcP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医院端</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▲PDA收货</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医院收货人员登录PDA。进行药品PDA扫码验收收货工作</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PDA扫追溯码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医院收货人员登录PDA，进行药品追溯码扫码收货工作</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基础设置</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权限管理</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机构管理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完成机构数据统一调配管理</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w:t>
                  </w:r>
                  <w:r>
                    <w:rPr>
                      <w:rFonts w:ascii="仿宋_GB2312" w:hAnsi="仿宋_GB2312" w:cs="仿宋_GB2312" w:eastAsia="仿宋_GB2312"/>
                      <w:sz w:val="21"/>
                    </w:rPr>
                    <w:t>自动</w:t>
                  </w:r>
                  <w:r>
                    <w:rPr>
                      <w:rFonts w:ascii="仿宋_GB2312" w:hAnsi="仿宋_GB2312" w:cs="仿宋_GB2312" w:eastAsia="仿宋_GB2312"/>
                      <w:sz w:val="21"/>
                    </w:rPr>
                    <w:t>创建、修改、删除人员</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角色管理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对角色的创建、修改、删除</w:t>
                  </w:r>
                  <w:r>
                    <w:rPr>
                      <w:rFonts w:ascii="仿宋_GB2312" w:hAnsi="仿宋_GB2312" w:cs="仿宋_GB2312" w:eastAsia="仿宋_GB2312"/>
                      <w:sz w:val="21"/>
                    </w:rPr>
                    <w:t>管理</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权限管理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实现对用户的身份、角色、权限等信息的管理和控制</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流程再造</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流程再造</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流程梳理再造</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根据医疗保障局和省药监局等上级部门的最新要求，</w:t>
                  </w:r>
                  <w:r>
                    <w:rPr>
                      <w:rFonts w:ascii="仿宋_GB2312" w:hAnsi="仿宋_GB2312" w:cs="仿宋_GB2312" w:eastAsia="仿宋_GB2312"/>
                      <w:sz w:val="21"/>
                    </w:rPr>
                    <w:t>协助医院设计药品采购、配送、验收、追溯码的流程优化设计和梳理，制定新的流程</w:t>
                  </w:r>
                </w:p>
              </w:tc>
            </w:tr>
          </w:tbl>
          <w:p>
            <w:pPr>
              <w:pStyle w:val="null3"/>
              <w:jc w:val="both"/>
            </w:pPr>
            <w:r>
              <w:rPr>
                <w:rFonts w:ascii="仿宋_GB2312" w:hAnsi="仿宋_GB2312" w:cs="仿宋_GB2312" w:eastAsia="仿宋_GB2312"/>
                <w:sz w:val="21"/>
                <w:b/>
              </w:rPr>
              <w:t>2、硬件设备参数要求：</w:t>
            </w:r>
          </w:p>
          <w:tbl>
            <w:tblPr>
              <w:tblInd w:type="dxa" w:w="480"/>
              <w:tblBorders>
                <w:top w:val="none" w:color="000000" w:sz="4"/>
                <w:left w:val="none" w:color="000000" w:sz="4"/>
                <w:bottom w:val="none" w:color="000000" w:sz="4"/>
                <w:right w:val="none" w:color="000000" w:sz="4"/>
                <w:insideH w:val="none"/>
                <w:insideV w:val="none"/>
              </w:tblBorders>
            </w:tblPr>
            <w:tblGrid>
              <w:gridCol w:w="284"/>
              <w:gridCol w:w="275"/>
              <w:gridCol w:w="1615"/>
              <w:gridCol w:w="213"/>
            </w:tblGrid>
            <w:tr>
              <w:tc>
                <w:tcPr>
                  <w:tcW w:type="dxa" w:w="28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分类</w:t>
                  </w:r>
                </w:p>
              </w:tc>
              <w:tc>
                <w:tcPr>
                  <w:tcW w:type="dxa" w:w="161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功能描述</w:t>
                  </w:r>
                </w:p>
              </w:tc>
              <w:tc>
                <w:tcPr>
                  <w:tcW w:type="dxa" w:w="2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高拍仪</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1.图像传感器：CMOS（Global Shutter全局快门）</w:t>
                  </w:r>
                </w:p>
                <w:p>
                  <w:pPr>
                    <w:pStyle w:val="null3"/>
                    <w:jc w:val="left"/>
                  </w:pPr>
                  <w:r>
                    <w:rPr>
                      <w:rFonts w:ascii="仿宋_GB2312" w:hAnsi="仿宋_GB2312" w:cs="仿宋_GB2312" w:eastAsia="仿宋_GB2312"/>
                      <w:sz w:val="21"/>
                    </w:rPr>
                    <w:t>2.扫描头：工业读码头硬件解</w:t>
                  </w:r>
                  <w:r>
                    <w:rPr>
                      <w:rFonts w:ascii="仿宋_GB2312" w:hAnsi="仿宋_GB2312" w:cs="仿宋_GB2312" w:eastAsia="仿宋_GB2312"/>
                      <w:sz w:val="21"/>
                    </w:rPr>
                    <w:t>，</w:t>
                  </w:r>
                  <w:r>
                    <w:rPr>
                      <w:rFonts w:ascii="仿宋_GB2312" w:hAnsi="仿宋_GB2312" w:cs="仿宋_GB2312" w:eastAsia="仿宋_GB2312"/>
                      <w:sz w:val="21"/>
                    </w:rPr>
                    <w:t>工业级读码头处理器，算力≥4核。CPU+NPU，支持边缘端侧运行，支持脱离PC电脑使用；</w:t>
                  </w:r>
                </w:p>
                <w:p>
                  <w:pPr>
                    <w:pStyle w:val="null3"/>
                    <w:jc w:val="left"/>
                  </w:pPr>
                  <w:r>
                    <w:rPr>
                      <w:rFonts w:ascii="仿宋_GB2312" w:hAnsi="仿宋_GB2312" w:cs="仿宋_GB2312" w:eastAsia="仿宋_GB2312"/>
                      <w:sz w:val="21"/>
                    </w:rPr>
                    <w:t>3.分辨率：≥1920*1200dpi</w:t>
                  </w:r>
                </w:p>
                <w:p>
                  <w:pPr>
                    <w:pStyle w:val="null3"/>
                    <w:jc w:val="left"/>
                  </w:pPr>
                  <w:r>
                    <w:rPr>
                      <w:rFonts w:ascii="仿宋_GB2312" w:hAnsi="仿宋_GB2312" w:cs="仿宋_GB2312" w:eastAsia="仿宋_GB2312"/>
                      <w:sz w:val="21"/>
                    </w:rPr>
                    <w:t>4.照明光源：可独立控制LED开、关，光源无频闪，具备光源安全性认证；</w:t>
                  </w:r>
                </w:p>
                <w:p>
                  <w:pPr>
                    <w:pStyle w:val="null3"/>
                    <w:jc w:val="left"/>
                  </w:pPr>
                  <w:r>
                    <w:rPr>
                      <w:rFonts w:ascii="仿宋_GB2312" w:hAnsi="仿宋_GB2312" w:cs="仿宋_GB2312" w:eastAsia="仿宋_GB2312"/>
                      <w:sz w:val="21"/>
                    </w:rPr>
                    <w:t>5.读码类型：支持一维码、二维码、医疗器械UDI码、DM药品追溯码，药品电子监管码等不同码制及各类印刷质量/水雾/覆膜的追溯码；</w:t>
                  </w:r>
                </w:p>
                <w:p>
                  <w:pPr>
                    <w:pStyle w:val="null3"/>
                    <w:jc w:val="left"/>
                  </w:pPr>
                  <w:r>
                    <w:rPr>
                      <w:rFonts w:ascii="仿宋_GB2312" w:hAnsi="仿宋_GB2312" w:cs="仿宋_GB2312" w:eastAsia="仿宋_GB2312"/>
                      <w:sz w:val="21"/>
                    </w:rPr>
                    <w:t>6.提醒功能：具备指示灯、语音盒数报数等功能，提示音量可调节，支持屏蔽非药监码不播报与声音提示。</w:t>
                  </w:r>
                </w:p>
                <w:p>
                  <w:pPr>
                    <w:pStyle w:val="null3"/>
                    <w:jc w:val="left"/>
                  </w:pPr>
                  <w:r>
                    <w:rPr>
                      <w:rFonts w:ascii="仿宋_GB2312" w:hAnsi="仿宋_GB2312" w:cs="仿宋_GB2312" w:eastAsia="仿宋_GB2312"/>
                      <w:sz w:val="21"/>
                    </w:rPr>
                    <w:t>7.通讯方式：支持网口、串口、USB即插即用；</w:t>
                  </w:r>
                </w:p>
                <w:p>
                  <w:pPr>
                    <w:pStyle w:val="null3"/>
                    <w:jc w:val="left"/>
                  </w:pPr>
                  <w:r>
                    <w:rPr>
                      <w:rFonts w:ascii="仿宋_GB2312" w:hAnsi="仿宋_GB2312" w:cs="仿宋_GB2312" w:eastAsia="仿宋_GB2312"/>
                      <w:sz w:val="21"/>
                    </w:rPr>
                    <w:t>8.多码识读与数据处理: ≥100 码/秒，支持一次性批量识读多规格多个药品追溯码（单次解码数量≥100盒）。DM码UDI码各种方式截取，总策略≥8000条。</w:t>
                  </w:r>
                </w:p>
                <w:p>
                  <w:pPr>
                    <w:pStyle w:val="null3"/>
                    <w:jc w:val="left"/>
                  </w:pPr>
                  <w:r>
                    <w:rPr>
                      <w:rFonts w:ascii="仿宋_GB2312" w:hAnsi="仿宋_GB2312" w:cs="仿宋_GB2312" w:eastAsia="仿宋_GB2312"/>
                      <w:sz w:val="21"/>
                    </w:rPr>
                    <w:t>9.其他：支持二次开发，可提供标准扫码SDK开发包。</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PDA</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1.处理器：≥八核处理器，CPU主频≥2.0GHz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.显示屏幕：≥5.5英寸，1440(H)x720(W)HD，工业级IPS高清显示屏，双重模式电容式触控，支持手写笔或不带手套手指或戴手套手指输入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.电源：可充电锂电池，电池容量≥5000mAh，支持快充，密封等级：≥IP68防水防尘</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.蓝牙：蓝牙BT5.0。支持Wi-Fi与蓝牙共存，支持蓝牙自动重连</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.摄像头：≥前置-500万像素</w:t>
                  </w:r>
                  <w:r>
                    <w:rPr>
                      <w:rFonts w:ascii="仿宋_GB2312" w:hAnsi="仿宋_GB2312" w:cs="仿宋_GB2312" w:eastAsia="仿宋_GB2312"/>
                      <w:sz w:val="21"/>
                    </w:rPr>
                    <w:t>；</w:t>
                  </w:r>
                  <w:r>
                    <w:rPr>
                      <w:rFonts w:ascii="仿宋_GB2312" w:hAnsi="仿宋_GB2312" w:cs="仿宋_GB2312" w:eastAsia="仿宋_GB2312"/>
                      <w:sz w:val="21"/>
                    </w:rPr>
                    <w:t>≥后置-1300万像素自动对焦;支持PDAF相位对焦；</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.RAM：≥4GB，ROM：≥64GB</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.接口端口：底部USB 2.0.及以上，支持OTG。</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.设备快捷配置：设备配置可生成二维码，快捷配置WIFI、二维扫描引擎功能</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bl>
          <w:p>
            <w:pPr>
              <w:pStyle w:val="null3"/>
            </w:pPr>
            <w:r>
              <w:rPr>
                <w:rFonts w:ascii="仿宋_GB2312" w:hAnsi="仿宋_GB2312" w:cs="仿宋_GB2312" w:eastAsia="仿宋_GB2312"/>
                <w:sz w:val="21"/>
                <w:b/>
              </w:rPr>
              <w:t>四、培训</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sz w:val="21"/>
              </w:rPr>
              <w:t>投标人必须根据系统软硬件的功能和特点，充分考虑到系统使用人员的实际水平，提出详细的系统培训方案。目标是通过系统培训以达到系统管理人员能够具备独立管理投标人所提供的系统软硬件和日常的维护处理能力，各级业务人员能够熟练使用系统软硬件。</w:t>
            </w:r>
          </w:p>
          <w:p>
            <w:pPr>
              <w:pStyle w:val="null3"/>
              <w:ind w:firstLine="400"/>
              <w:jc w:val="both"/>
            </w:pPr>
            <w:r>
              <w:rPr>
                <w:rFonts w:ascii="仿宋_GB2312" w:hAnsi="仿宋_GB2312" w:cs="仿宋_GB2312" w:eastAsia="仿宋_GB2312"/>
                <w:sz w:val="21"/>
              </w:rPr>
              <w:t>1、投标人必须针对本系统软硬件及采用的相关技术等提出全面培训计划和培训方案并征得采购人同意后实施，培训服务工作须满足招标文件要求。</w:t>
            </w:r>
          </w:p>
          <w:p>
            <w:pPr>
              <w:pStyle w:val="null3"/>
              <w:ind w:firstLine="400"/>
              <w:jc w:val="both"/>
            </w:pPr>
            <w:r>
              <w:rPr>
                <w:rFonts w:ascii="仿宋_GB2312" w:hAnsi="仿宋_GB2312" w:cs="仿宋_GB2312" w:eastAsia="仿宋_GB2312"/>
                <w:sz w:val="21"/>
              </w:rPr>
              <w:t>2、培训对象应分为普通业务操作员、系统管理员，投标人必须针对不同的对象制定不同的培训计划，并分别培训。所提供的培训课程表随投标文件一起提交。</w:t>
            </w:r>
          </w:p>
          <w:p>
            <w:pPr>
              <w:pStyle w:val="null3"/>
              <w:ind w:firstLine="400"/>
              <w:jc w:val="both"/>
            </w:pPr>
            <w:r>
              <w:rPr>
                <w:rFonts w:ascii="仿宋_GB2312" w:hAnsi="仿宋_GB2312" w:cs="仿宋_GB2312" w:eastAsia="仿宋_GB2312"/>
                <w:sz w:val="21"/>
              </w:rPr>
              <w:t>3、投标人应保证提供有经验的教员，使采购方相关人员在培训后能够独立地对系统进行管理、维护。</w:t>
            </w:r>
          </w:p>
          <w:p>
            <w:pPr>
              <w:pStyle w:val="null3"/>
              <w:ind w:firstLine="400"/>
              <w:jc w:val="both"/>
            </w:pPr>
            <w:r>
              <w:rPr>
                <w:rFonts w:ascii="仿宋_GB2312" w:hAnsi="仿宋_GB2312" w:cs="仿宋_GB2312" w:eastAsia="仿宋_GB2312"/>
                <w:sz w:val="21"/>
              </w:rPr>
              <w:t>4、培训内容包括应用软硬件操作、操作系统、后台数据库管理等培训。</w:t>
            </w:r>
          </w:p>
          <w:p>
            <w:pPr>
              <w:pStyle w:val="null3"/>
              <w:ind w:firstLine="400"/>
              <w:jc w:val="both"/>
            </w:pPr>
            <w:r>
              <w:rPr>
                <w:rFonts w:ascii="仿宋_GB2312" w:hAnsi="仿宋_GB2312" w:cs="仿宋_GB2312" w:eastAsia="仿宋_GB2312"/>
                <w:sz w:val="21"/>
              </w:rPr>
              <w:t>5、投标人必须为所有被培训人员进行现场培训。</w:t>
            </w:r>
          </w:p>
          <w:p>
            <w:pPr>
              <w:pStyle w:val="null3"/>
              <w:ind w:firstLine="400"/>
              <w:jc w:val="both"/>
            </w:pPr>
            <w:r>
              <w:rPr>
                <w:rFonts w:ascii="仿宋_GB2312" w:hAnsi="仿宋_GB2312" w:cs="仿宋_GB2312" w:eastAsia="仿宋_GB2312"/>
                <w:sz w:val="21"/>
              </w:rPr>
              <w:t>6、业务系统操作培训工作应在系统测试完成后，系统试运行开始前结束。</w:t>
            </w:r>
          </w:p>
          <w:p>
            <w:pPr>
              <w:pStyle w:val="null3"/>
              <w:ind w:firstLine="400"/>
              <w:jc w:val="both"/>
            </w:pPr>
            <w:r>
              <w:rPr>
                <w:rFonts w:ascii="仿宋_GB2312" w:hAnsi="仿宋_GB2312" w:cs="仿宋_GB2312" w:eastAsia="仿宋_GB2312"/>
                <w:sz w:val="21"/>
              </w:rPr>
              <w:t>7、与培训相关的费用，投标人应当一并计算在投标报价中。</w:t>
            </w:r>
          </w:p>
          <w:p>
            <w:pPr>
              <w:pStyle w:val="null3"/>
            </w:pPr>
            <w:r>
              <w:rPr>
                <w:rFonts w:ascii="仿宋_GB2312" w:hAnsi="仿宋_GB2312" w:cs="仿宋_GB2312" w:eastAsia="仿宋_GB2312"/>
                <w:sz w:val="21"/>
                <w:b/>
              </w:rPr>
              <w:t>五、服务</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sz w:val="21"/>
              </w:rPr>
              <w:t>（一）接口对接要求：在质保期内，投标方须为医院提供与各类系统、院内外各平台的接口对接服务，其中包括并不限于合同前已有系统和合同后新建设系统及重建的系统等，接口对接相关费用，投标人应当一并计算在投标报价中。</w:t>
            </w:r>
          </w:p>
          <w:p>
            <w:pPr>
              <w:pStyle w:val="null3"/>
              <w:ind w:firstLine="400"/>
              <w:jc w:val="both"/>
            </w:pPr>
            <w:r>
              <w:rPr>
                <w:rFonts w:ascii="仿宋_GB2312" w:hAnsi="仿宋_GB2312" w:cs="仿宋_GB2312" w:eastAsia="仿宋_GB2312"/>
                <w:sz w:val="21"/>
              </w:rPr>
              <w:t>（二）开发、改造服务要求：在质保期内，投标方须为医院提供因政策要求等原因产生的系统及功能的开发、改造任务。上述系统及功能的开发、改造任务所产生的相关费用，投标人应当一并计算在投标报价中。</w:t>
            </w:r>
          </w:p>
          <w:p>
            <w:pPr>
              <w:pStyle w:val="null3"/>
              <w:ind w:firstLine="400"/>
              <w:jc w:val="both"/>
            </w:pPr>
            <w:r>
              <w:rPr>
                <w:rFonts w:ascii="仿宋_GB2312" w:hAnsi="仿宋_GB2312" w:cs="仿宋_GB2312" w:eastAsia="仿宋_GB2312"/>
                <w:sz w:val="21"/>
              </w:rPr>
              <w:t>（三）技术服务</w:t>
            </w:r>
          </w:p>
          <w:p>
            <w:pPr>
              <w:pStyle w:val="null3"/>
              <w:ind w:firstLine="400"/>
              <w:jc w:val="both"/>
            </w:pPr>
            <w:r>
              <w:rPr>
                <w:rFonts w:ascii="仿宋_GB2312" w:hAnsi="仿宋_GB2312" w:cs="仿宋_GB2312" w:eastAsia="仿宋_GB2312"/>
                <w:sz w:val="21"/>
              </w:rPr>
              <w:t>1、升级服务：提供保证系统正常稳定运行的系统更新升级服务。</w:t>
            </w:r>
          </w:p>
          <w:p>
            <w:pPr>
              <w:pStyle w:val="null3"/>
              <w:ind w:firstLine="400"/>
              <w:jc w:val="both"/>
            </w:pPr>
            <w:r>
              <w:rPr>
                <w:rFonts w:ascii="仿宋_GB2312" w:hAnsi="仿宋_GB2312" w:cs="仿宋_GB2312" w:eastAsia="仿宋_GB2312"/>
                <w:sz w:val="21"/>
              </w:rPr>
              <w:t>2、技术支持服务：因电子病历评级、互联互通测评、等级医院评审、医保飞行检查等相关评审、评级及检查工作中，依照院方的要求，给予技术力量的支持。</w:t>
            </w:r>
          </w:p>
          <w:p>
            <w:pPr>
              <w:pStyle w:val="null3"/>
              <w:ind w:firstLine="400"/>
              <w:jc w:val="both"/>
            </w:pPr>
            <w:r>
              <w:rPr>
                <w:rFonts w:ascii="仿宋_GB2312" w:hAnsi="仿宋_GB2312" w:cs="仿宋_GB2312" w:eastAsia="仿宋_GB2312"/>
                <w:sz w:val="21"/>
              </w:rPr>
              <w:t>3、优化服务：提供改进系统性能的各项建议，包括系统资源分配与效率改进建议、软件配置规划和性能优化建议、系统容量预测建议等。</w:t>
            </w:r>
          </w:p>
          <w:p>
            <w:pPr>
              <w:pStyle w:val="null3"/>
              <w:ind w:firstLine="400"/>
              <w:jc w:val="both"/>
            </w:pPr>
            <w:r>
              <w:rPr>
                <w:rFonts w:ascii="仿宋_GB2312" w:hAnsi="仿宋_GB2312" w:cs="仿宋_GB2312" w:eastAsia="仿宋_GB2312"/>
                <w:sz w:val="21"/>
              </w:rPr>
              <w:t>4、咨询服务：提供系统软硬件应用和维护技术咨询服务。</w:t>
            </w:r>
          </w:p>
          <w:p>
            <w:pPr>
              <w:pStyle w:val="null3"/>
              <w:ind w:firstLine="400"/>
              <w:jc w:val="both"/>
            </w:pPr>
            <w:r>
              <w:rPr>
                <w:rFonts w:ascii="仿宋_GB2312" w:hAnsi="仿宋_GB2312" w:cs="仿宋_GB2312" w:eastAsia="仿宋_GB2312"/>
                <w:sz w:val="21"/>
              </w:rPr>
              <w:t>（四）系统安全要求：</w:t>
            </w:r>
          </w:p>
          <w:p>
            <w:pPr>
              <w:pStyle w:val="null3"/>
              <w:ind w:firstLine="400"/>
              <w:jc w:val="both"/>
            </w:pPr>
            <w:r>
              <w:rPr>
                <w:rFonts w:ascii="仿宋_GB2312" w:hAnsi="仿宋_GB2312" w:cs="仿宋_GB2312" w:eastAsia="仿宋_GB2312"/>
                <w:sz w:val="21"/>
              </w:rPr>
              <w:t>1、支持信息安全等级保护管理：满足信息系统安全保护等级三级要求。</w:t>
            </w:r>
          </w:p>
          <w:p>
            <w:pPr>
              <w:pStyle w:val="null3"/>
              <w:ind w:firstLine="400"/>
              <w:jc w:val="both"/>
            </w:pPr>
            <w:r>
              <w:rPr>
                <w:rFonts w:ascii="仿宋_GB2312" w:hAnsi="仿宋_GB2312" w:cs="仿宋_GB2312" w:eastAsia="仿宋_GB2312"/>
                <w:sz w:val="21"/>
              </w:rPr>
              <w:t>2、投标人承诺提供成熟的内外网数据交互的安全方案和访问系统的安全方案，有抵御常见攻击和威胁的能力，须对系统各类密码进行复杂度控制等。</w:t>
            </w:r>
          </w:p>
          <w:p>
            <w:pPr>
              <w:pStyle w:val="null3"/>
              <w:ind w:firstLine="400"/>
              <w:jc w:val="both"/>
            </w:pPr>
            <w:r>
              <w:rPr>
                <w:rFonts w:ascii="仿宋_GB2312" w:hAnsi="仿宋_GB2312" w:cs="仿宋_GB2312" w:eastAsia="仿宋_GB2312"/>
                <w:sz w:val="21"/>
              </w:rPr>
              <w:t>3、系统自动记录用户在系统内所有操作的详细日志，并可形成报表。</w:t>
            </w:r>
          </w:p>
          <w:p>
            <w:pPr>
              <w:pStyle w:val="null3"/>
              <w:ind w:firstLine="400"/>
              <w:jc w:val="both"/>
            </w:pPr>
            <w:r>
              <w:rPr>
                <w:rFonts w:ascii="仿宋_GB2312" w:hAnsi="仿宋_GB2312" w:cs="仿宋_GB2312" w:eastAsia="仿宋_GB2312"/>
                <w:sz w:val="21"/>
              </w:rPr>
              <w:t>4、系统须实现对数据的磁盘备份，提供定时定期的数据备份以及还原功能。</w:t>
            </w:r>
          </w:p>
          <w:p>
            <w:pPr>
              <w:pStyle w:val="null3"/>
              <w:ind w:firstLine="400"/>
              <w:jc w:val="both"/>
            </w:pPr>
            <w:r>
              <w:rPr>
                <w:rFonts w:ascii="仿宋_GB2312" w:hAnsi="仿宋_GB2312" w:cs="仿宋_GB2312" w:eastAsia="仿宋_GB2312"/>
                <w:sz w:val="21"/>
              </w:rPr>
              <w:t>5、项目包含的所有软件不得内置木马或时间炸弹等后门程序，不得以任意方式单方面锁定、限制系统的任何功能。</w:t>
            </w:r>
          </w:p>
          <w:p>
            <w:pPr>
              <w:pStyle w:val="null3"/>
              <w:ind w:firstLine="400"/>
              <w:jc w:val="both"/>
            </w:pPr>
            <w:r>
              <w:rPr>
                <w:rFonts w:ascii="仿宋_GB2312" w:hAnsi="仿宋_GB2312" w:cs="仿宋_GB2312" w:eastAsia="仿宋_GB2312"/>
                <w:sz w:val="21"/>
              </w:rPr>
              <w:t>6、系统数据资料所有权归甲方所有，存于甲方提供的服务器中。投标人不得擅自篡改、删除或泄露相关数据资料。</w:t>
            </w:r>
          </w:p>
          <w:p>
            <w:pPr>
              <w:pStyle w:val="null3"/>
            </w:pPr>
            <w:r>
              <w:rPr>
                <w:rFonts w:ascii="仿宋_GB2312" w:hAnsi="仿宋_GB2312" w:cs="仿宋_GB2312" w:eastAsia="仿宋_GB2312"/>
                <w:sz w:val="21"/>
                <w:b/>
              </w:rPr>
              <w:t>六、</w:t>
            </w:r>
            <w:r>
              <w:rPr>
                <w:rFonts w:ascii="仿宋_GB2312" w:hAnsi="仿宋_GB2312" w:cs="仿宋_GB2312" w:eastAsia="仿宋_GB2312"/>
                <w:sz w:val="21"/>
                <w:b/>
              </w:rPr>
              <w:t>商务要求</w:t>
            </w:r>
          </w:p>
          <w:p>
            <w:pPr>
              <w:pStyle w:val="null3"/>
              <w:ind w:firstLine="400"/>
              <w:jc w:val="both"/>
            </w:pPr>
            <w:r>
              <w:rPr>
                <w:rFonts w:ascii="仿宋_GB2312" w:hAnsi="仿宋_GB2312" w:cs="仿宋_GB2312" w:eastAsia="仿宋_GB2312"/>
                <w:sz w:val="21"/>
              </w:rPr>
              <w:t>（一）进度要求</w:t>
            </w:r>
          </w:p>
          <w:p>
            <w:pPr>
              <w:pStyle w:val="null3"/>
              <w:ind w:firstLine="400"/>
              <w:jc w:val="both"/>
            </w:pPr>
            <w:r>
              <w:rPr>
                <w:rFonts w:ascii="仿宋_GB2312" w:hAnsi="仿宋_GB2312" w:cs="仿宋_GB2312" w:eastAsia="仿宋_GB2312"/>
                <w:sz w:val="21"/>
              </w:rPr>
              <w:t>合同签订后收到采购人指令之日起60个日历日内，中标方须完成所采购信息系统的调研、开发、实施、安装及测试工作。中标方实施进行之前需制定相关工作管理机制，形成规范化服务管理工作。</w:t>
            </w:r>
          </w:p>
          <w:p>
            <w:pPr>
              <w:pStyle w:val="null3"/>
              <w:ind w:firstLine="400"/>
              <w:jc w:val="both"/>
            </w:pPr>
            <w:r>
              <w:rPr>
                <w:rFonts w:ascii="仿宋_GB2312" w:hAnsi="仿宋_GB2312" w:cs="仿宋_GB2312" w:eastAsia="仿宋_GB2312"/>
                <w:sz w:val="21"/>
              </w:rPr>
              <w:t>在上述工作完成之日后30个日历日内，中标方须完成所采购信息系统的培训、试运行及上线工作。</w:t>
            </w:r>
          </w:p>
          <w:p>
            <w:pPr>
              <w:pStyle w:val="null3"/>
              <w:ind w:firstLine="400"/>
              <w:jc w:val="both"/>
            </w:pPr>
            <w:r>
              <w:rPr>
                <w:rFonts w:ascii="仿宋_GB2312" w:hAnsi="仿宋_GB2312" w:cs="仿宋_GB2312" w:eastAsia="仿宋_GB2312"/>
                <w:sz w:val="21"/>
              </w:rPr>
              <w:t>共计90个日历日，停工期不计算在上述时间之内（停工期自甲方出具的停工令中停工开始时间起，至再开工开工令中的开工时间止）。</w:t>
            </w:r>
          </w:p>
          <w:p>
            <w:pPr>
              <w:pStyle w:val="null3"/>
              <w:ind w:firstLine="400"/>
              <w:jc w:val="both"/>
            </w:pPr>
            <w:r>
              <w:rPr>
                <w:rFonts w:ascii="仿宋_GB2312" w:hAnsi="仿宋_GB2312" w:cs="仿宋_GB2312" w:eastAsia="仿宋_GB2312"/>
                <w:sz w:val="21"/>
              </w:rPr>
              <w:t>（二）国产化适配要求</w:t>
            </w:r>
          </w:p>
          <w:p>
            <w:pPr>
              <w:pStyle w:val="null3"/>
              <w:ind w:firstLine="400"/>
              <w:jc w:val="both"/>
            </w:pPr>
            <w:r>
              <w:rPr>
                <w:rFonts w:ascii="仿宋_GB2312" w:hAnsi="仿宋_GB2312" w:cs="仿宋_GB2312" w:eastAsia="仿宋_GB2312"/>
                <w:sz w:val="21"/>
              </w:rPr>
              <w:t>项目中包含的软件系统、硬件设备必须与医院的国产化环境相适配，其中包括但不限于国产化服务器端的硬件环境、操作系统、应用服务器、数据库，国产化业务终端电脑的CPU、打印机、扫描仪、操作系统、通用接口、协议和中间件等。不得因项目在国产化环境下运行，从而出现系统运行性能下降甚至无法正常运行的情况，系统上线前必须通过性能测试。</w:t>
            </w:r>
          </w:p>
          <w:p>
            <w:pPr>
              <w:pStyle w:val="null3"/>
              <w:ind w:firstLine="400"/>
              <w:jc w:val="both"/>
            </w:pPr>
            <w:r>
              <w:rPr>
                <w:rFonts w:ascii="仿宋_GB2312" w:hAnsi="仿宋_GB2312" w:cs="仿宋_GB2312" w:eastAsia="仿宋_GB2312"/>
                <w:sz w:val="21"/>
              </w:rPr>
              <w:t>（三）验收要求</w:t>
            </w:r>
          </w:p>
          <w:p>
            <w:pPr>
              <w:pStyle w:val="null3"/>
              <w:ind w:firstLine="400"/>
              <w:jc w:val="both"/>
            </w:pPr>
            <w:r>
              <w:rPr>
                <w:rFonts w:ascii="仿宋_GB2312" w:hAnsi="仿宋_GB2312" w:cs="仿宋_GB2312" w:eastAsia="仿宋_GB2312"/>
                <w:sz w:val="21"/>
              </w:rPr>
              <w:t>1、系统试运行结束，满足医院的各类需求后，由投标人向采购人提出书面申请后进行系统验收，验收人员由采购人相关人员与投标人代表共同组成。</w:t>
            </w:r>
          </w:p>
          <w:p>
            <w:pPr>
              <w:pStyle w:val="null3"/>
              <w:ind w:firstLine="400"/>
              <w:jc w:val="both"/>
            </w:pPr>
            <w:r>
              <w:rPr>
                <w:rFonts w:ascii="仿宋_GB2312" w:hAnsi="仿宋_GB2312" w:cs="仿宋_GB2312" w:eastAsia="仿宋_GB2312"/>
                <w:sz w:val="21"/>
              </w:rPr>
              <w:t>2、验收依据以磋商文件、响应文件、澄清表（函）、承诺函、合同以及国家和行业相关标准。</w:t>
            </w:r>
          </w:p>
          <w:p>
            <w:pPr>
              <w:pStyle w:val="null3"/>
              <w:ind w:firstLine="400"/>
              <w:jc w:val="both"/>
            </w:pPr>
            <w:r>
              <w:rPr>
                <w:rFonts w:ascii="仿宋_GB2312" w:hAnsi="仿宋_GB2312" w:cs="仿宋_GB2312" w:eastAsia="仿宋_GB2312"/>
                <w:sz w:val="21"/>
              </w:rPr>
              <w:t>3、验收所产生的资料费用、劳务费用等相关费用，投标人应当一并计算在投标报价中。</w:t>
            </w:r>
          </w:p>
          <w:p>
            <w:pPr>
              <w:pStyle w:val="null3"/>
              <w:ind w:firstLine="400"/>
              <w:jc w:val="both"/>
            </w:pPr>
            <w:r>
              <w:rPr>
                <w:rFonts w:ascii="仿宋_GB2312" w:hAnsi="仿宋_GB2312" w:cs="仿宋_GB2312" w:eastAsia="仿宋_GB2312"/>
                <w:sz w:val="21"/>
              </w:rPr>
              <w:t>（四）售后要求</w:t>
            </w:r>
          </w:p>
          <w:p>
            <w:pPr>
              <w:pStyle w:val="null3"/>
              <w:ind w:firstLine="400"/>
              <w:jc w:val="both"/>
            </w:pPr>
            <w:r>
              <w:rPr>
                <w:rFonts w:ascii="仿宋_GB2312" w:hAnsi="仿宋_GB2312" w:cs="仿宋_GB2312" w:eastAsia="仿宋_GB2312"/>
                <w:sz w:val="21"/>
              </w:rPr>
              <w:t>1、质保期：提供3年的质保服务（质保服务自项目终验合格之日起计算，费用已包含在本项目内）。质保服务期内，因供货商系统和产品本身技术问题或质量问题造成的故障，由供货商免费保修。</w:t>
            </w:r>
          </w:p>
          <w:p>
            <w:pPr>
              <w:pStyle w:val="null3"/>
              <w:ind w:firstLine="400"/>
              <w:jc w:val="both"/>
            </w:pPr>
            <w:r>
              <w:rPr>
                <w:rFonts w:ascii="仿宋_GB2312" w:hAnsi="仿宋_GB2312" w:cs="仿宋_GB2312" w:eastAsia="仿宋_GB2312"/>
                <w:sz w:val="21"/>
              </w:rPr>
              <w:t>2、产品故障响应时间：质保期内，投标人必须按招标方指定的方式提供7×24小时维护服务并在1小时内响应，维护方式包括邮件、电话、远程维护、现场服务等方式。必须保证有足够的人员及技术支持电话负责本系统运维工作，对于与所供产品有关的问题无法远程解决的必须派人现场解决的问题，保证在收到现场服务通知后，4小时内到达现场，常规故障24小时内必须解决，24小时内未解决的成交供应商应提供详细的应急解决方案。其他时间及夜间服务：当系统在非工作日出现异常时，4小时内安排工程师进行故障诊断及处理</w:t>
            </w:r>
          </w:p>
          <w:p>
            <w:pPr>
              <w:pStyle w:val="null3"/>
              <w:ind w:firstLine="400"/>
              <w:jc w:val="both"/>
            </w:pPr>
            <w:r>
              <w:rPr>
                <w:rFonts w:ascii="仿宋_GB2312" w:hAnsi="仿宋_GB2312" w:cs="仿宋_GB2312" w:eastAsia="仿宋_GB2312"/>
                <w:sz w:val="21"/>
              </w:rPr>
              <w:t>（五）款项结算</w:t>
            </w:r>
          </w:p>
          <w:p>
            <w:pPr>
              <w:pStyle w:val="null3"/>
              <w:ind w:firstLine="400"/>
              <w:jc w:val="both"/>
            </w:pPr>
            <w:r>
              <w:rPr>
                <w:rFonts w:ascii="仿宋_GB2312" w:hAnsi="仿宋_GB2312" w:cs="仿宋_GB2312" w:eastAsia="仿宋_GB2312"/>
                <w:sz w:val="21"/>
              </w:rPr>
              <w:t>1、合同签订后30个工作日内支付合同总价款的30%。</w:t>
            </w:r>
          </w:p>
          <w:p>
            <w:pPr>
              <w:pStyle w:val="null3"/>
              <w:ind w:firstLine="400"/>
              <w:jc w:val="both"/>
            </w:pPr>
            <w:r>
              <w:rPr>
                <w:rFonts w:ascii="仿宋_GB2312" w:hAnsi="仿宋_GB2312" w:cs="仿宋_GB2312" w:eastAsia="仿宋_GB2312"/>
                <w:sz w:val="21"/>
              </w:rPr>
              <w:t>2、项目建设完成并验收合格后30日内，支付合同总价款的60%。</w:t>
            </w:r>
          </w:p>
          <w:p>
            <w:pPr>
              <w:pStyle w:val="null3"/>
            </w:pPr>
            <w:r>
              <w:rPr>
                <w:rFonts w:ascii="仿宋_GB2312" w:hAnsi="仿宋_GB2312" w:cs="仿宋_GB2312" w:eastAsia="仿宋_GB2312"/>
                <w:sz w:val="21"/>
              </w:rPr>
              <w:t xml:space="preserve">   3、验收满一年后，无质量及其他问题，30个工作日内支付合同总价款的10%。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合同签订后采购人指令起90个日历日内完成到货安装调试试运行上线工作。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进度款，合同签订后30个工作日内支付合同总价款的30%，达到付款条件起30个工作日内，支付合同总金额的30.0%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进度款，项目建设完成并验收合格后30日内，支付合同总价款的60%，达到付款条件起30个工作日内，支付合同总金额的60.0%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进度款，验收满一年后，无质量及其他问题，30个工作日内支付合同总价款的10%，达到付款条件起30个工作日内，支付合同总金额的10.0%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1、系统试运行结束，满足医院的各类需求后，由投标人向采购人提出书面申请后进行系统验收，验收人员由采购人相关人员与投标人代表共同组成。 2、验收依据以磋商文件、响应文件、澄清表（函）、承诺函、合同以及国家和行业相关标准。 3、验收所产生的资料费用、劳务费用等相关费用，投标人应当一并计算在投标报价中。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根据采购文件要求及合同约定执行，满足采购人使用要求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1、无需提供纸质响应文件， 成交供应商在领取中标通知书时提供纸质响应文件三份（一正两副），纸质版文件须是电子化交易平台系统生成的响应文件。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履行合同技术能力的承诺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一年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一年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法人身份证明或授权书</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无行贿行为</w:t>
            </w:r>
          </w:p>
        </w:tc>
        <w:tc>
          <w:tcPr>
            <w:tcW w:type="dxa" w:w="3322"/>
          </w:tcPr>
          <w:p>
            <w:pPr>
              <w:pStyle w:val="null3"/>
            </w:pPr>
            <w:r>
              <w:rPr>
                <w:rFonts w:ascii="仿宋_GB2312" w:hAnsi="仿宋_GB2312" w:cs="仿宋_GB2312" w:eastAsia="仿宋_GB2312"/>
              </w:rPr>
              <w:t>在投标前3年内的招投标和政府采购活动中无以行贿手段谋取中标（成交）的行为，并承诺在本次政府采购活动中，不以向采购人、代理机构、评审人员提供利益和好处谋取中标（成交）；（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供应商属性</w:t>
            </w:r>
          </w:p>
        </w:tc>
        <w:tc>
          <w:tcPr>
            <w:tcW w:type="dxa" w:w="3322"/>
          </w:tcPr>
          <w:p>
            <w:pPr>
              <w:pStyle w:val="null3"/>
            </w:pPr>
            <w:r>
              <w:rPr>
                <w:rFonts w:ascii="仿宋_GB2312" w:hAnsi="仿宋_GB2312" w:cs="仿宋_GB2312" w:eastAsia="仿宋_GB2312"/>
              </w:rPr>
              <w:t>投标人应承诺其公司非采购人及项目代理机构员工和亲属投资开办的公司，其法人、股东、高级管理人员非采购人单位员工及亲属。采购人、代理机构和投标人之间无相互兼职的情形；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未被列入“黑名单”</w:t>
            </w:r>
          </w:p>
        </w:tc>
        <w:tc>
          <w:tcPr>
            <w:tcW w:type="dxa" w:w="3322"/>
          </w:tcPr>
          <w:p>
            <w:pPr>
              <w:pStyle w:val="null3"/>
            </w:pPr>
            <w:r>
              <w:rPr>
                <w:rFonts w:ascii="仿宋_GB2312" w:hAnsi="仿宋_GB2312" w:cs="仿宋_GB2312" w:eastAsia="仿宋_GB2312"/>
              </w:rPr>
              <w:t>列入政府采购各级管理主管部门和我院“黑名单”的供应商在其列入“黑名单”之日起3年内限制参与本项目；（提供截图或承诺书）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技术方案.docx 关于符合本国产品标准的声明函.docx 中小企业声明函 商务应答表.docx 产品技术参数应答表.docx 响应文件封面 投标人应提交的相关资格证明材料.docx 供应商廉洁自律承诺书.docx 供应商认为有必要补充说明的事项.docx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供应商必须满足采购文件的实质性要求</w:t>
            </w:r>
          </w:p>
        </w:tc>
        <w:tc>
          <w:tcPr>
            <w:tcW w:type="dxa" w:w="3322"/>
          </w:tcPr>
          <w:p>
            <w:pPr>
              <w:pStyle w:val="null3"/>
            </w:pPr>
            <w:r>
              <w:rPr>
                <w:rFonts w:ascii="仿宋_GB2312" w:hAnsi="仿宋_GB2312" w:cs="仿宋_GB2312" w:eastAsia="仿宋_GB2312"/>
              </w:rPr>
              <w:t>供应商须符合法律、法规规定的其他情形</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文件技术所有参数指标响应情况进行打分，投标人所投产品技术参数指标全部满足招标要求的得30分。“▲”号技术参数指标为重要指标要求，每有一项负偏离扣2分；其他参数指标每有一项负偏离扣0.5分，扣完为止。 注：1、招标文件中的“▲”技术参数必须提供制造商技术资料支持证明。技术资料支持证明限于国家认可的检测机构出具的产品检验报告、医疗器械注册证、说明书、白皮书、印刷版彩页、系统软件截图。未提供技术资料支持证明的，评标时不予认可。 2、投标人所提供的资料必须真实有效，提供虚假资料等违法行为，则上报监督机构并追究法律责任。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厂家资质</w:t>
            </w:r>
          </w:p>
        </w:tc>
        <w:tc>
          <w:tcPr>
            <w:tcW w:type="dxa" w:w="2492"/>
          </w:tcPr>
          <w:p>
            <w:pPr>
              <w:pStyle w:val="null3"/>
            </w:pPr>
            <w:r>
              <w:rPr>
                <w:rFonts w:ascii="仿宋_GB2312" w:hAnsi="仿宋_GB2312" w:cs="仿宋_GB2312" w:eastAsia="仿宋_GB2312"/>
              </w:rPr>
              <w:t>1、生产厂家具有有效的信息技术服务体系认证证书、信息安全管理体系认证证书、职业健康安全管理体系认证证书、环境管理体系认证证书、隐私信息管理体系认证证书全部具有的得2.5分，每缺少1个扣0.5分； 注：须提供有效的证书复印件及国家市场监督管理总局全国认证认可信息公共服务平台查询截图，证明材料提供不全或未提供的不计分。 2、生产厂家具有中国网络安全审查认证和市场监管大数据中心（原中国网络安全审查技术与认证中心）颁发的CCRC-软件安全开发服务资质证书、CCRC-信息系统安全集成服务资质证书、CCRC-信息系统安全运维服务资质证书，每提供1个得1分，最高得3分； 注：须提供有效的证书复印件，未提供或提供的证书复印件无效的不得分； 3、厂家或代理公司具有国家保密局颁发的涉密信息系统集成资质证书，甲级得2分，乙级及以下得1分，不提供不得分； 注：须提供有效的证书复印件，未提供或提供的证书复印件无效的不得分。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项目管理人员要求</w:t>
            </w:r>
          </w:p>
        </w:tc>
        <w:tc>
          <w:tcPr>
            <w:tcW w:type="dxa" w:w="2492"/>
          </w:tcPr>
          <w:p>
            <w:pPr>
              <w:pStyle w:val="null3"/>
            </w:pPr>
            <w:r>
              <w:rPr>
                <w:rFonts w:ascii="仿宋_GB2312" w:hAnsi="仿宋_GB2312" w:cs="仿宋_GB2312" w:eastAsia="仿宋_GB2312"/>
              </w:rPr>
              <w:t>一、项目管理人员要求： 1、信息系统项目管理师认证证书，得1分（提供证书复印件和供应商磋商截止时间前连续3个月社保缴费证明材料加盖公章，未提供不得分）。 二、原厂技术服务人员要求（除项目经理外）： 1.具有信息安全保障人员认证（CISAW）证书，得1分； 2.具有注册信息安全专业人员（CISP）证书，得1分； 3.具有软件设计师证书、软件架构师证书或软件分析证书，得1分； 4.数据库系统工程师，得1分。 （提供证书复印件和原厂磋商截止时间前连续3个月社保缴费证明材料加盖公章，未提供不得分）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供应商针对本项目提供完整的项目实施方案。内容包含：①完成本项目的技术方案；②方案计划；③方案保证组织、具体工作进度流程；④运输过程中的质量保证、设备的质量把控、项目实施过程中的质量控制。 二、评审标准 1、完整性：方案须全面，对评审内容中的各项要求有详细描述； 2、可实施性：切合本项目实际情况，实施步骤清晰、合理； 3、针对性：方案能够紧扣本项目所采购设备种类等实际情况，内容科学合理。 三、 以上4项内容每一项内容全面详细、阐述条理清晰得1.5分，满分6分，每有一项存在一处缺陷，扣0.5分，扣完为止。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项目培训方案</w:t>
            </w:r>
          </w:p>
        </w:tc>
        <w:tc>
          <w:tcPr>
            <w:tcW w:type="dxa" w:w="2492"/>
          </w:tcPr>
          <w:p>
            <w:pPr>
              <w:pStyle w:val="null3"/>
            </w:pPr>
            <w:r>
              <w:rPr>
                <w:rFonts w:ascii="仿宋_GB2312" w:hAnsi="仿宋_GB2312" w:cs="仿宋_GB2312" w:eastAsia="仿宋_GB2312"/>
              </w:rPr>
              <w:t>一、评审内容 供应商针对本项目提供培训方案。内容包含：①培训人员数量及资质；②培训时间与次数；③培训课程全面性与科学合理性、培训团队资质与实力。 二、评审标准 1、完整性：方案须全面，对评审内容中的各项要求有详细描述； 2、针对性：方案能够紧扣本项目实际情况，内容科学合理。 三、以上3项内容每一项内容全面详细、阐述条理清晰得1分，满分3分，每有一项存在一处缺陷，扣0.5分，扣完为止。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供应商针对本项目提供完整的售后服务方案。内容包含：①售后服务内容；②响应时间；③故障解决方案、专业技术人员保障及服务电话；④服务承诺。 二、评审标准 1、完整性：方案须全面，对评审内容中的各项要求有详细描述； 2、可实施性：切合本项目实际情况，实施步骤清晰、合理； 3、针对性：方案能够紧扣项目实际情况，内容科学合理。 三、以上4项内容每一项内容全面详细、阐述条理清晰得1.5分，满分6分，每有一项存在一处缺陷，扣0.5分，扣完为止。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供应商针对本项目提供完整的应急预案。内容包含：①遇到重大技术故障时的应急预案；②发生系统服务器宕机、数据库崩溃等意外情况的应急预案；③据丢失不能挽回的应急预案。 二、评审标准 1、完整性：方案须全面，对评审内容中的各项要求有详细描述； 2、可实施性：切合本项目实际情况，实施步骤清晰、合理； 3、针对性：方案能够紧扣项目实际情况，内容科学合理。 三、以上3项内容每一项内容全面详细、阐述条理清晰得1分，满分3分，每有一项存在一处缺陷，扣0.5分，扣完为止。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保密管理措施</w:t>
            </w:r>
          </w:p>
        </w:tc>
        <w:tc>
          <w:tcPr>
            <w:tcW w:type="dxa" w:w="2492"/>
          </w:tcPr>
          <w:p>
            <w:pPr>
              <w:pStyle w:val="null3"/>
            </w:pPr>
            <w:r>
              <w:rPr>
                <w:rFonts w:ascii="仿宋_GB2312" w:hAnsi="仿宋_GB2312" w:cs="仿宋_GB2312" w:eastAsia="仿宋_GB2312"/>
              </w:rPr>
              <w:t>一、评审内容 供应商针对本项目提供保密措施方案。内容包含：①遵守有关保密规定，不对外提供采购人的信息及相关机密信息；②工作流程、工作制度，档案的控制，文件原件及信息的安全及保密；③签订保密协议，泄密处理条例。 二、评审标准 1、完整性：方案须全面，对评审内容中的各项要求有详细描述； 2、可实施性：切合本项目实际情况，实施步骤清晰、合理； 3、针对性：方案能够紧扣项目实际情况，内容科学合理。 三、以上3项内容每一项内容全面详细、阐述条理清晰得0.5分，满分1.5分，每有一项存在一处缺陷，扣0.25分，扣完为止。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提供2023年1月1日至响应文件递交截止时间同类产品业绩（以合同签订日期为准；生产厂家或代理商均可），每提供1份有效业绩得2分，满分8分； 注：响应文件中须提供完整有效的合同复印件；复印件加盖供应商公章。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