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版本号：LZBA2026-559（XDZ2026-93-N-52）20260528002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中创区GX3-17-55地块新建高中项目建设代建单位采购</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LZBA2026-559（XDZ2026-93-N-52）</w:t>
      </w:r>
      <w:r>
        <w:br/>
      </w:r>
      <w:r>
        <w:br/>
      </w:r>
      <w:r>
        <w:br/>
      </w:r>
    </w:p>
    <w:p>
      <w:pPr>
        <w:pStyle w:val="null3"/>
        <w:jc w:val="center"/>
        <w:outlineLvl w:val="2"/>
      </w:pPr>
      <w:r>
        <w:rPr>
          <w:rFonts w:ascii="仿宋_GB2312" w:hAnsi="仿宋_GB2312" w:cs="仿宋_GB2312" w:eastAsia="仿宋_GB2312"/>
          <w:sz w:val="28"/>
          <w:b/>
        </w:rPr>
        <w:t>西安高新技术产业开发区公共项目建设管理中心</w:t>
      </w:r>
    </w:p>
    <w:p>
      <w:pPr>
        <w:pStyle w:val="null3"/>
        <w:jc w:val="center"/>
        <w:outlineLvl w:val="2"/>
      </w:pPr>
      <w:r>
        <w:rPr>
          <w:rFonts w:ascii="仿宋_GB2312" w:hAnsi="仿宋_GB2312" w:cs="仿宋_GB2312" w:eastAsia="仿宋_GB2312"/>
          <w:sz w:val="28"/>
          <w:b/>
        </w:rPr>
        <w:t>龙寰项目管理咨询有限公司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龙寰项目管理咨询有限公司</w:t>
      </w:r>
      <w:r>
        <w:rPr>
          <w:rFonts w:ascii="仿宋_GB2312" w:hAnsi="仿宋_GB2312" w:cs="仿宋_GB2312" w:eastAsia="仿宋_GB2312"/>
        </w:rPr>
        <w:t>（以下简称“代理机构”）受</w:t>
      </w:r>
      <w:r>
        <w:rPr>
          <w:rFonts w:ascii="仿宋_GB2312" w:hAnsi="仿宋_GB2312" w:cs="仿宋_GB2312" w:eastAsia="仿宋_GB2312"/>
        </w:rPr>
        <w:t>西安高新技术产业开发区公共项目建设管理中心</w:t>
      </w:r>
      <w:r>
        <w:rPr>
          <w:rFonts w:ascii="仿宋_GB2312" w:hAnsi="仿宋_GB2312" w:cs="仿宋_GB2312" w:eastAsia="仿宋_GB2312"/>
        </w:rPr>
        <w:t>委托，拟对</w:t>
      </w:r>
      <w:r>
        <w:rPr>
          <w:rFonts w:ascii="仿宋_GB2312" w:hAnsi="仿宋_GB2312" w:cs="仿宋_GB2312" w:eastAsia="仿宋_GB2312"/>
        </w:rPr>
        <w:t>中创区GX3-17-55地块新建高中项目建设代建单位采购</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LZBA2026-559（XDZ2026-93-N-52）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中创区GX3-17-55地块新建高中项目建设代建单位采购</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项目建设规模及内容：项目位于西安高新区中央创新区，成业大道以北、启创路以南、星虹一路以西、星虹二路以东。项目规划总建筑面积约71607.59平方米，主要建设内容包括教学综合楼、合班教室、食堂及体育活动室、宿舍楼、运动场、地下停车场等及相关配套设施。</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采购包1（中创区GX3-17-55地块新建高中项目建设代建单位采购）：属于专门面向中小企业采购。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1、无：无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西安高新技术产业开发区公共项目建设管理中心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西安高新区丝路创智谷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王馨海</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029-81132005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龙寰项目管理咨询有限公司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西安市高新区太白南路181号A座A区501室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杨楠 刘婧 张波</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029-88228899-615</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西安高新技术开发区财政金融局</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谢寒珂</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029-88333950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采购包1：4,234,000.00元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根据《招标代理服务收费管理暂行办法》（计价格[2002]1980号）以及《关于进一步放开建设项目专项业务服务价格的通知》（发改价格[2015]299号）规定的标准下浮62％收取。单次代理报酬不足5000元的按5000元计算。</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西安高新技术产业开发区公共项目建设管理中心</w:t>
      </w:r>
      <w:r>
        <w:rPr>
          <w:rFonts w:ascii="仿宋_GB2312" w:hAnsi="仿宋_GB2312" w:cs="仿宋_GB2312" w:eastAsia="仿宋_GB2312"/>
        </w:rPr>
        <w:t>和</w:t>
      </w:r>
      <w:r>
        <w:rPr>
          <w:rFonts w:ascii="仿宋_GB2312" w:hAnsi="仿宋_GB2312" w:cs="仿宋_GB2312" w:eastAsia="仿宋_GB2312"/>
        </w:rPr>
        <w:t>龙寰项目管理咨询有限公司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西安高新技术产业开发区公共项目建设管理中心</w:t>
      </w:r>
      <w:r>
        <w:rPr>
          <w:rFonts w:ascii="仿宋_GB2312" w:hAnsi="仿宋_GB2312" w:cs="仿宋_GB2312" w:eastAsia="仿宋_GB2312"/>
        </w:rPr>
        <w:t>负责解释。除上述招标文件内容，其他内容由</w:t>
      </w:r>
      <w:r>
        <w:rPr>
          <w:rFonts w:ascii="仿宋_GB2312" w:hAnsi="仿宋_GB2312" w:cs="仿宋_GB2312" w:eastAsia="仿宋_GB2312"/>
        </w:rPr>
        <w:t>龙寰项目管理咨询有限公司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西安高新技术产业开发区公共项目建设管理中心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龙寰项目管理咨询有限公司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按招标文件及合同要求执行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联系人：杨楠</w:t>
      </w:r>
    </w:p>
    <w:p>
      <w:pPr>
        <w:pStyle w:val="null3"/>
      </w:pPr>
      <w:r>
        <w:rPr>
          <w:rFonts w:ascii="仿宋_GB2312" w:hAnsi="仿宋_GB2312" w:cs="仿宋_GB2312" w:eastAsia="仿宋_GB2312"/>
        </w:rPr>
        <w:t>联系电话：029-88228899-615</w:t>
      </w:r>
    </w:p>
    <w:p>
      <w:pPr>
        <w:pStyle w:val="null3"/>
      </w:pPr>
      <w:r>
        <w:rPr>
          <w:rFonts w:ascii="仿宋_GB2312" w:hAnsi="仿宋_GB2312" w:cs="仿宋_GB2312" w:eastAsia="仿宋_GB2312"/>
        </w:rPr>
        <w:t>地址：西安市高新区太白南路181号西部电子社区A座A区501室</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项目建设规模及内容：项目位于西安高新区中央创新区，成业大道以北、启创路以南、星虹一路以西、星虹二路以东。项目规划总建筑面积约71607.59平方米，主要建设内容包括教学综合楼、合班教室、食堂及体育活动室、宿舍楼、运动场、地下停车场等及相关配套设施。</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4,234,000.00</w:t>
      </w:r>
    </w:p>
    <w:p>
      <w:pPr>
        <w:pStyle w:val="null3"/>
      </w:pPr>
      <w:r>
        <w:rPr>
          <w:rFonts w:ascii="仿宋_GB2312" w:hAnsi="仿宋_GB2312" w:cs="仿宋_GB2312" w:eastAsia="仿宋_GB2312"/>
        </w:rPr>
        <w:t>采购包最高限价（元）: 4,234,000.00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中创区GX3-17-55地块新建高中项目建设代建单位采购</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4,234,000.00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标的名称：中创区GX3-17-55地块新建高中项目建设代建单位采购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center"/>
            </w:pPr>
            <w:r>
              <w:rPr>
                <w:rFonts w:ascii="仿宋_GB2312" w:hAnsi="仿宋_GB2312" w:cs="仿宋_GB2312" w:eastAsia="仿宋_GB2312"/>
              </w:rPr>
              <w:t>中创区GX3-17-55地块新建高中项目建设代建单位采购需求</w:t>
            </w:r>
          </w:p>
          <w:p>
            <w:pPr>
              <w:pStyle w:val="null3"/>
              <w:ind w:firstLine="400"/>
            </w:pPr>
            <w:r>
              <w:rPr>
                <w:rFonts w:ascii="仿宋_GB2312" w:hAnsi="仿宋_GB2312" w:cs="仿宋_GB2312" w:eastAsia="仿宋_GB2312"/>
                <w:sz w:val="20"/>
              </w:rPr>
              <w:t>一、项目概况</w:t>
            </w:r>
          </w:p>
          <w:p>
            <w:pPr>
              <w:pStyle w:val="null3"/>
              <w:ind w:firstLine="400"/>
            </w:pPr>
            <w:r>
              <w:rPr>
                <w:rFonts w:ascii="仿宋_GB2312" w:hAnsi="仿宋_GB2312" w:cs="仿宋_GB2312" w:eastAsia="仿宋_GB2312"/>
                <w:sz w:val="20"/>
              </w:rPr>
              <w:t>中</w:t>
            </w:r>
            <w:r>
              <w:rPr>
                <w:rFonts w:ascii="仿宋_GB2312" w:hAnsi="仿宋_GB2312" w:cs="仿宋_GB2312" w:eastAsia="仿宋_GB2312"/>
                <w:sz w:val="20"/>
              </w:rPr>
              <w:t>创区GX3-17-55地块新建高中项目</w:t>
            </w:r>
            <w:r>
              <w:rPr>
                <w:rFonts w:ascii="仿宋_GB2312" w:hAnsi="仿宋_GB2312" w:cs="仿宋_GB2312" w:eastAsia="仿宋_GB2312"/>
                <w:sz w:val="20"/>
              </w:rPr>
              <w:t>位于西安高新区</w:t>
            </w:r>
            <w:r>
              <w:rPr>
                <w:rFonts w:ascii="仿宋_GB2312" w:hAnsi="仿宋_GB2312" w:cs="仿宋_GB2312" w:eastAsia="仿宋_GB2312"/>
                <w:sz w:val="20"/>
              </w:rPr>
              <w:t>中央创新区，成业大道以北、启创路以南、星虹一路以西、星虹二路以东</w:t>
            </w:r>
            <w:r>
              <w:rPr>
                <w:rFonts w:ascii="仿宋_GB2312" w:hAnsi="仿宋_GB2312" w:cs="仿宋_GB2312" w:eastAsia="仿宋_GB2312"/>
                <w:sz w:val="20"/>
              </w:rPr>
              <w:t>。</w:t>
            </w:r>
            <w:r>
              <w:rPr>
                <w:rFonts w:ascii="仿宋_GB2312" w:hAnsi="仿宋_GB2312" w:cs="仿宋_GB2312" w:eastAsia="仿宋_GB2312"/>
                <w:sz w:val="20"/>
              </w:rPr>
              <w:t>项目规划总建筑面积约</w:t>
            </w:r>
            <w:r>
              <w:rPr>
                <w:rFonts w:ascii="仿宋_GB2312" w:hAnsi="仿宋_GB2312" w:cs="仿宋_GB2312" w:eastAsia="仿宋_GB2312"/>
                <w:sz w:val="20"/>
              </w:rPr>
              <w:t>71607.59</w:t>
            </w:r>
            <w:r>
              <w:rPr>
                <w:rFonts w:ascii="仿宋_GB2312" w:hAnsi="仿宋_GB2312" w:cs="仿宋_GB2312" w:eastAsia="仿宋_GB2312"/>
                <w:sz w:val="20"/>
              </w:rPr>
              <w:t>平方米，主要建设内容包括教学综合楼、</w:t>
            </w:r>
            <w:r>
              <w:rPr>
                <w:rFonts w:ascii="仿宋_GB2312" w:hAnsi="仿宋_GB2312" w:cs="仿宋_GB2312" w:eastAsia="仿宋_GB2312"/>
                <w:sz w:val="20"/>
              </w:rPr>
              <w:t>合班教室、食堂及体育活动室、宿舍楼、运动场、地下停车场等及相关</w:t>
            </w:r>
            <w:r>
              <w:rPr>
                <w:rFonts w:ascii="仿宋_GB2312" w:hAnsi="仿宋_GB2312" w:cs="仿宋_GB2312" w:eastAsia="仿宋_GB2312"/>
                <w:sz w:val="20"/>
              </w:rPr>
              <w:t>配套设施。</w:t>
            </w:r>
          </w:p>
          <w:p>
            <w:pPr>
              <w:pStyle w:val="null3"/>
              <w:ind w:firstLine="400"/>
            </w:pPr>
            <w:r>
              <w:rPr>
                <w:rFonts w:ascii="仿宋_GB2312" w:hAnsi="仿宋_GB2312" w:cs="仿宋_GB2312" w:eastAsia="仿宋_GB2312"/>
                <w:sz w:val="20"/>
              </w:rPr>
              <w:t>二、采购方案</w:t>
            </w:r>
          </w:p>
          <w:p>
            <w:pPr>
              <w:pStyle w:val="null3"/>
              <w:ind w:firstLine="400"/>
            </w:pPr>
            <w:r>
              <w:rPr>
                <w:rFonts w:ascii="仿宋_GB2312" w:hAnsi="仿宋_GB2312" w:cs="仿宋_GB2312" w:eastAsia="仿宋_GB2312"/>
                <w:sz w:val="20"/>
              </w:rPr>
              <w:t>(一)采购范围</w:t>
            </w:r>
          </w:p>
          <w:p>
            <w:pPr>
              <w:pStyle w:val="null3"/>
              <w:ind w:right="-90" w:firstLine="400"/>
            </w:pPr>
            <w:r>
              <w:rPr>
                <w:rFonts w:ascii="仿宋_GB2312" w:hAnsi="仿宋_GB2312" w:cs="仿宋_GB2312" w:eastAsia="仿宋_GB2312"/>
                <w:sz w:val="20"/>
              </w:rPr>
              <w:t>中创区GX3-17-55地块新建高中项目</w:t>
            </w:r>
            <w:r>
              <w:rPr>
                <w:rFonts w:ascii="仿宋_GB2312" w:hAnsi="仿宋_GB2312" w:cs="仿宋_GB2312" w:eastAsia="仿宋_GB2312"/>
                <w:sz w:val="20"/>
              </w:rPr>
              <w:t>建设代建单位采购。</w:t>
            </w:r>
          </w:p>
          <w:p>
            <w:pPr>
              <w:pStyle w:val="null3"/>
              <w:ind w:firstLine="400"/>
            </w:pPr>
            <w:r>
              <w:rPr>
                <w:rFonts w:ascii="仿宋_GB2312" w:hAnsi="仿宋_GB2312" w:cs="仿宋_GB2312" w:eastAsia="仿宋_GB2312"/>
                <w:sz w:val="20"/>
              </w:rPr>
              <w:t>(二)采购组织方式</w:t>
            </w:r>
          </w:p>
          <w:p>
            <w:pPr>
              <w:pStyle w:val="null3"/>
              <w:ind w:firstLine="400"/>
            </w:pPr>
            <w:r>
              <w:rPr>
                <w:rFonts w:ascii="仿宋_GB2312" w:hAnsi="仿宋_GB2312" w:cs="仿宋_GB2312" w:eastAsia="仿宋_GB2312"/>
                <w:sz w:val="20"/>
              </w:rPr>
              <w:t>依照《政府采购法》、《政府采购货物和服务招标投标管理办法》及西安市有关规定，宜采用政府采购方式组织采购。</w:t>
            </w:r>
          </w:p>
          <w:p>
            <w:pPr>
              <w:pStyle w:val="null3"/>
              <w:ind w:firstLine="400"/>
            </w:pPr>
            <w:r>
              <w:rPr>
                <w:rFonts w:ascii="仿宋_GB2312" w:hAnsi="仿宋_GB2312" w:cs="仿宋_GB2312" w:eastAsia="仿宋_GB2312"/>
                <w:sz w:val="20"/>
              </w:rPr>
              <w:t>三、</w:t>
            </w:r>
            <w:r>
              <w:rPr>
                <w:rFonts w:ascii="仿宋_GB2312" w:hAnsi="仿宋_GB2312" w:cs="仿宋_GB2312" w:eastAsia="仿宋_GB2312"/>
                <w:sz w:val="20"/>
              </w:rPr>
              <w:t>采购</w:t>
            </w:r>
            <w:r>
              <w:rPr>
                <w:rFonts w:ascii="仿宋_GB2312" w:hAnsi="仿宋_GB2312" w:cs="仿宋_GB2312" w:eastAsia="仿宋_GB2312"/>
                <w:sz w:val="20"/>
              </w:rPr>
              <w:t>要求</w:t>
            </w:r>
          </w:p>
          <w:p>
            <w:pPr>
              <w:pStyle w:val="null3"/>
              <w:ind w:firstLine="400"/>
            </w:pPr>
            <w:r>
              <w:rPr>
                <w:rFonts w:ascii="仿宋_GB2312" w:hAnsi="仿宋_GB2312" w:cs="仿宋_GB2312" w:eastAsia="仿宋_GB2312"/>
                <w:sz w:val="20"/>
              </w:rPr>
              <w:t>1、投标</w:t>
            </w:r>
            <w:r>
              <w:rPr>
                <w:rFonts w:ascii="仿宋_GB2312" w:hAnsi="仿宋_GB2312" w:cs="仿宋_GB2312" w:eastAsia="仿宋_GB2312"/>
                <w:sz w:val="20"/>
              </w:rPr>
              <w:t>人</w:t>
            </w:r>
            <w:r>
              <w:rPr>
                <w:rFonts w:ascii="仿宋_GB2312" w:hAnsi="仿宋_GB2312" w:cs="仿宋_GB2312" w:eastAsia="仿宋_GB2312"/>
                <w:sz w:val="20"/>
              </w:rPr>
              <w:t>须为国内注册的</w:t>
            </w:r>
            <w:r>
              <w:rPr>
                <w:rFonts w:ascii="仿宋_GB2312" w:hAnsi="仿宋_GB2312" w:cs="仿宋_GB2312" w:eastAsia="仿宋_GB2312"/>
                <w:sz w:val="20"/>
              </w:rPr>
              <w:t>独立</w:t>
            </w:r>
            <w:r>
              <w:rPr>
                <w:rFonts w:ascii="仿宋_GB2312" w:hAnsi="仿宋_GB2312" w:cs="仿宋_GB2312" w:eastAsia="仿宋_GB2312"/>
                <w:sz w:val="20"/>
              </w:rPr>
              <w:t>法人</w:t>
            </w:r>
            <w:r>
              <w:rPr>
                <w:rFonts w:ascii="仿宋_GB2312" w:hAnsi="仿宋_GB2312" w:cs="仿宋_GB2312" w:eastAsia="仿宋_GB2312"/>
                <w:sz w:val="20"/>
              </w:rPr>
              <w:t>机构</w:t>
            </w:r>
            <w:r>
              <w:rPr>
                <w:rFonts w:ascii="仿宋_GB2312" w:hAnsi="仿宋_GB2312" w:cs="仿宋_GB2312" w:eastAsia="仿宋_GB2312"/>
                <w:sz w:val="20"/>
              </w:rPr>
              <w:t>，具有独立法人资格，具备合法有效的营业执照。</w:t>
            </w:r>
          </w:p>
          <w:p>
            <w:pPr>
              <w:pStyle w:val="null3"/>
              <w:ind w:firstLine="400"/>
            </w:pPr>
            <w:r>
              <w:rPr>
                <w:rFonts w:ascii="仿宋_GB2312" w:hAnsi="仿宋_GB2312" w:cs="仿宋_GB2312" w:eastAsia="仿宋_GB2312"/>
                <w:sz w:val="20"/>
              </w:rPr>
              <w:t>2、</w:t>
            </w:r>
            <w:r>
              <w:rPr>
                <w:rFonts w:ascii="仿宋_GB2312" w:hAnsi="仿宋_GB2312" w:cs="仿宋_GB2312" w:eastAsia="仿宋_GB2312"/>
                <w:sz w:val="20"/>
              </w:rPr>
              <w:t>投标人</w:t>
            </w:r>
            <w:r>
              <w:rPr>
                <w:rFonts w:ascii="仿宋_GB2312" w:hAnsi="仿宋_GB2312" w:cs="仿宋_GB2312" w:eastAsia="仿宋_GB2312"/>
                <w:sz w:val="20"/>
              </w:rPr>
              <w:t>企业信誉良好，具有类似项目</w:t>
            </w:r>
            <w:r>
              <w:rPr>
                <w:rFonts w:ascii="仿宋_GB2312" w:hAnsi="仿宋_GB2312" w:cs="仿宋_GB2312" w:eastAsia="仿宋_GB2312"/>
                <w:sz w:val="20"/>
              </w:rPr>
              <w:t>代建</w:t>
            </w:r>
            <w:r>
              <w:rPr>
                <w:rFonts w:ascii="仿宋_GB2312" w:hAnsi="仿宋_GB2312" w:cs="仿宋_GB2312" w:eastAsia="仿宋_GB2312"/>
                <w:sz w:val="20"/>
              </w:rPr>
              <w:t>经验</w:t>
            </w:r>
            <w:r>
              <w:rPr>
                <w:rFonts w:ascii="仿宋_GB2312" w:hAnsi="仿宋_GB2312" w:cs="仿宋_GB2312" w:eastAsia="仿宋_GB2312"/>
                <w:sz w:val="20"/>
              </w:rPr>
              <w:t>及</w:t>
            </w:r>
            <w:r>
              <w:rPr>
                <w:rFonts w:ascii="仿宋_GB2312" w:hAnsi="仿宋_GB2312" w:cs="仿宋_GB2312" w:eastAsia="仿宋_GB2312"/>
                <w:sz w:val="20"/>
              </w:rPr>
              <w:t>业绩，具有相应资金实力及融资能力。</w:t>
            </w:r>
          </w:p>
          <w:p>
            <w:pPr>
              <w:pStyle w:val="null3"/>
              <w:ind w:firstLine="400"/>
            </w:pPr>
            <w:r>
              <w:rPr>
                <w:rFonts w:ascii="仿宋_GB2312" w:hAnsi="仿宋_GB2312" w:cs="仿宋_GB2312" w:eastAsia="仿宋_GB2312"/>
                <w:sz w:val="20"/>
              </w:rPr>
              <w:t>3</w:t>
            </w:r>
            <w:r>
              <w:rPr>
                <w:rFonts w:ascii="仿宋_GB2312" w:hAnsi="仿宋_GB2312" w:cs="仿宋_GB2312" w:eastAsia="仿宋_GB2312"/>
                <w:sz w:val="20"/>
              </w:rPr>
              <w:t>、投标</w:t>
            </w:r>
            <w:r>
              <w:rPr>
                <w:rFonts w:ascii="仿宋_GB2312" w:hAnsi="仿宋_GB2312" w:cs="仿宋_GB2312" w:eastAsia="仿宋_GB2312"/>
                <w:sz w:val="20"/>
              </w:rPr>
              <w:t>人</w:t>
            </w:r>
            <w:r>
              <w:rPr>
                <w:rFonts w:ascii="仿宋_GB2312" w:hAnsi="仿宋_GB2312" w:cs="仿宋_GB2312" w:eastAsia="仿宋_GB2312"/>
                <w:sz w:val="20"/>
              </w:rPr>
              <w:t>近两年无重大质量和安全事故发生，在同类项目建设中无违规违纪违法记录。</w:t>
            </w:r>
          </w:p>
          <w:p>
            <w:pPr>
              <w:pStyle w:val="null3"/>
              <w:ind w:firstLine="400"/>
            </w:pPr>
            <w:r>
              <w:rPr>
                <w:rFonts w:ascii="仿宋_GB2312" w:hAnsi="仿宋_GB2312" w:cs="仿宋_GB2312" w:eastAsia="仿宋_GB2312"/>
                <w:sz w:val="20"/>
              </w:rPr>
              <w:t>4</w:t>
            </w:r>
            <w:r>
              <w:rPr>
                <w:rFonts w:ascii="仿宋_GB2312" w:hAnsi="仿宋_GB2312" w:cs="仿宋_GB2312" w:eastAsia="仿宋_GB2312"/>
                <w:sz w:val="20"/>
              </w:rPr>
              <w:t>、投标</w:t>
            </w:r>
            <w:r>
              <w:rPr>
                <w:rFonts w:ascii="仿宋_GB2312" w:hAnsi="仿宋_GB2312" w:cs="仿宋_GB2312" w:eastAsia="仿宋_GB2312"/>
                <w:sz w:val="20"/>
              </w:rPr>
              <w:t>人</w:t>
            </w:r>
            <w:r>
              <w:rPr>
                <w:rFonts w:ascii="仿宋_GB2312" w:hAnsi="仿宋_GB2312" w:cs="仿宋_GB2312" w:eastAsia="仿宋_GB2312"/>
                <w:sz w:val="20"/>
              </w:rPr>
              <w:t>的相关服务须满足采购方的主要技术标准及要求。</w:t>
            </w:r>
          </w:p>
          <w:p>
            <w:pPr>
              <w:pStyle w:val="null3"/>
              <w:ind w:firstLine="400"/>
            </w:pPr>
            <w:r>
              <w:rPr>
                <w:rFonts w:ascii="仿宋_GB2312" w:hAnsi="仿宋_GB2312" w:cs="仿宋_GB2312" w:eastAsia="仿宋_GB2312"/>
                <w:sz w:val="20"/>
              </w:rPr>
              <w:t>四</w:t>
            </w:r>
            <w:r>
              <w:rPr>
                <w:rFonts w:ascii="仿宋_GB2312" w:hAnsi="仿宋_GB2312" w:cs="仿宋_GB2312" w:eastAsia="仿宋_GB2312"/>
                <w:sz w:val="20"/>
              </w:rPr>
              <w:t>、</w:t>
            </w:r>
            <w:r>
              <w:rPr>
                <w:rFonts w:ascii="仿宋_GB2312" w:hAnsi="仿宋_GB2312" w:cs="仿宋_GB2312" w:eastAsia="仿宋_GB2312"/>
                <w:sz w:val="20"/>
              </w:rPr>
              <w:t>采购清单及要求</w:t>
            </w:r>
          </w:p>
          <w:p>
            <w:pPr>
              <w:pStyle w:val="null3"/>
              <w:ind w:firstLine="400"/>
            </w:pPr>
            <w:r>
              <w:rPr>
                <w:rFonts w:ascii="仿宋_GB2312" w:hAnsi="仿宋_GB2312" w:cs="仿宋_GB2312" w:eastAsia="仿宋_GB2312"/>
                <w:sz w:val="20"/>
              </w:rPr>
              <w:t>中创区GX3-17-55地块新建高中项目</w:t>
            </w:r>
            <w:r>
              <w:rPr>
                <w:rFonts w:ascii="仿宋_GB2312" w:hAnsi="仿宋_GB2312" w:cs="仿宋_GB2312" w:eastAsia="仿宋_GB2312"/>
                <w:sz w:val="20"/>
              </w:rPr>
              <w:t>建设全</w:t>
            </w:r>
            <w:r>
              <w:rPr>
                <w:rFonts w:ascii="仿宋_GB2312" w:hAnsi="仿宋_GB2312" w:cs="仿宋_GB2312" w:eastAsia="仿宋_GB2312"/>
                <w:sz w:val="20"/>
              </w:rPr>
              <w:t>过</w:t>
            </w:r>
            <w:r>
              <w:rPr>
                <w:rFonts w:ascii="仿宋_GB2312" w:hAnsi="仿宋_GB2312" w:cs="仿宋_GB2312" w:eastAsia="仿宋_GB2312"/>
                <w:sz w:val="20"/>
              </w:rPr>
              <w:t>程代建</w:t>
            </w:r>
            <w:r>
              <w:rPr>
                <w:rFonts w:ascii="仿宋_GB2312" w:hAnsi="仿宋_GB2312" w:cs="仿宋_GB2312" w:eastAsia="仿宋_GB2312"/>
                <w:sz w:val="20"/>
              </w:rPr>
              <w:t>管理</w:t>
            </w:r>
            <w:r>
              <w:rPr>
                <w:rFonts w:ascii="仿宋_GB2312" w:hAnsi="仿宋_GB2312" w:cs="仿宋_GB2312" w:eastAsia="仿宋_GB2312"/>
                <w:sz w:val="20"/>
              </w:rPr>
              <w:t>工作</w:t>
            </w:r>
            <w:r>
              <w:rPr>
                <w:rFonts w:ascii="仿宋_GB2312" w:hAnsi="仿宋_GB2312" w:cs="仿宋_GB2312" w:eastAsia="仿宋_GB2312"/>
                <w:sz w:val="20"/>
              </w:rPr>
              <w:t>，</w:t>
            </w:r>
            <w:r>
              <w:rPr>
                <w:rFonts w:ascii="仿宋_GB2312" w:hAnsi="仿宋_GB2312" w:cs="仿宋_GB2312" w:eastAsia="仿宋_GB2312"/>
                <w:sz w:val="20"/>
              </w:rPr>
              <w:t>主要内容包括但不限于：</w:t>
            </w:r>
            <w:r>
              <w:rPr>
                <w:rFonts w:ascii="仿宋_GB2312" w:hAnsi="仿宋_GB2312" w:cs="仿宋_GB2312" w:eastAsia="仿宋_GB2312"/>
                <w:sz w:val="20"/>
              </w:rPr>
              <w:t>对项目建设的</w:t>
            </w:r>
            <w:r>
              <w:rPr>
                <w:rFonts w:ascii="仿宋_GB2312" w:hAnsi="仿宋_GB2312" w:cs="仿宋_GB2312" w:eastAsia="仿宋_GB2312"/>
                <w:sz w:val="20"/>
              </w:rPr>
              <w:t>投资估算、项目策划、勘察设计、招投标、施工、监理、材料设备采购、竣工验收、竣工结算进行管理并办理相关手续。</w:t>
            </w:r>
          </w:p>
          <w:p>
            <w:pPr>
              <w:pStyle w:val="null3"/>
              <w:ind w:firstLine="400"/>
            </w:pPr>
            <w:r>
              <w:rPr>
                <w:rFonts w:ascii="仿宋_GB2312" w:hAnsi="仿宋_GB2312" w:cs="仿宋_GB2312" w:eastAsia="仿宋_GB2312"/>
                <w:sz w:val="20"/>
              </w:rPr>
              <w:t>根据建设单位的委托和国家相关规定，投标单位代理建设单位选聘项目参建方(包括但不限于勘察、设计、施工、监理、材料设备供应等单位),对参建各方进行管理和监督，代表建设单位对项目建设相关的全部工作进行监督和协调，实行全过程管理，并向建设单位整体交付建设工程项目产成品。</w:t>
            </w:r>
          </w:p>
          <w:p>
            <w:pPr>
              <w:pStyle w:val="null3"/>
              <w:ind w:firstLine="400"/>
            </w:pPr>
            <w:r>
              <w:rPr>
                <w:rFonts w:ascii="仿宋_GB2312" w:hAnsi="仿宋_GB2312" w:cs="仿宋_GB2312" w:eastAsia="仿宋_GB2312"/>
                <w:sz w:val="20"/>
              </w:rPr>
              <w:t>项目建设过程中严格执行《招标投标法》、《政府采购法》以及国家、省市的各项法律、法规及规章制度。</w:t>
            </w:r>
          </w:p>
          <w:p>
            <w:pPr>
              <w:pStyle w:val="null3"/>
              <w:ind w:firstLine="400"/>
            </w:pPr>
            <w:r>
              <w:rPr>
                <w:rFonts w:ascii="仿宋_GB2312" w:hAnsi="仿宋_GB2312" w:cs="仿宋_GB2312" w:eastAsia="仿宋_GB2312"/>
                <w:sz w:val="20"/>
              </w:rPr>
              <w:t>五、采购限价</w:t>
            </w:r>
            <w:r>
              <w:rPr>
                <w:rFonts w:ascii="仿宋_GB2312" w:hAnsi="仿宋_GB2312" w:cs="仿宋_GB2312" w:eastAsia="仿宋_GB2312"/>
                <w:sz w:val="20"/>
              </w:rPr>
              <w:t>及服务期限</w:t>
            </w:r>
          </w:p>
          <w:p>
            <w:pPr>
              <w:pStyle w:val="null3"/>
              <w:ind w:firstLine="400"/>
            </w:pPr>
            <w:r>
              <w:rPr>
                <w:rFonts w:ascii="仿宋_GB2312" w:hAnsi="仿宋_GB2312" w:cs="仿宋_GB2312" w:eastAsia="仿宋_GB2312"/>
                <w:sz w:val="20"/>
              </w:rPr>
              <w:t>1、</w:t>
            </w:r>
            <w:r>
              <w:rPr>
                <w:rFonts w:ascii="仿宋_GB2312" w:hAnsi="仿宋_GB2312" w:cs="仿宋_GB2312" w:eastAsia="仿宋_GB2312"/>
                <w:sz w:val="20"/>
              </w:rPr>
              <w:t>中创区GX3-17-55地块新建高中项目</w:t>
            </w:r>
            <w:r>
              <w:rPr>
                <w:rFonts w:ascii="仿宋_GB2312" w:hAnsi="仿宋_GB2312" w:cs="仿宋_GB2312" w:eastAsia="仿宋_GB2312"/>
                <w:sz w:val="20"/>
              </w:rPr>
              <w:t>建设代建管理费</w:t>
            </w:r>
            <w:r>
              <w:rPr>
                <w:rFonts w:ascii="仿宋_GB2312" w:hAnsi="仿宋_GB2312" w:cs="仿宋_GB2312" w:eastAsia="仿宋_GB2312"/>
                <w:sz w:val="20"/>
              </w:rPr>
              <w:t>最高限价：参照</w:t>
            </w:r>
            <w:r>
              <w:rPr>
                <w:rFonts w:ascii="仿宋_GB2312" w:hAnsi="仿宋_GB2312" w:cs="仿宋_GB2312" w:eastAsia="仿宋_GB2312"/>
                <w:sz w:val="20"/>
              </w:rPr>
              <w:t>“关于印发《基本建设项目建设成本管理规定》的通知”(财建 [2016]504号)文件规定</w:t>
            </w:r>
            <w:r>
              <w:rPr>
                <w:rFonts w:ascii="仿宋_GB2312" w:hAnsi="仿宋_GB2312" w:cs="仿宋_GB2312" w:eastAsia="仿宋_GB2312"/>
                <w:sz w:val="20"/>
              </w:rPr>
              <w:t>及成本测算，为</w:t>
            </w:r>
            <w:r>
              <w:rPr>
                <w:rFonts w:ascii="仿宋_GB2312" w:hAnsi="仿宋_GB2312" w:cs="仿宋_GB2312" w:eastAsia="仿宋_GB2312"/>
                <w:sz w:val="20"/>
              </w:rPr>
              <w:t>423.40万元。</w:t>
            </w:r>
          </w:p>
          <w:p>
            <w:pPr>
              <w:pStyle w:val="null3"/>
              <w:ind w:firstLine="400"/>
            </w:pPr>
            <w:r>
              <w:rPr>
                <w:rFonts w:ascii="仿宋_GB2312" w:hAnsi="仿宋_GB2312" w:cs="仿宋_GB2312" w:eastAsia="仿宋_GB2312"/>
                <w:sz w:val="20"/>
              </w:rPr>
              <w:t>2、</w:t>
            </w:r>
            <w:r>
              <w:rPr>
                <w:rFonts w:ascii="仿宋_GB2312" w:hAnsi="仿宋_GB2312" w:cs="仿宋_GB2312" w:eastAsia="仿宋_GB2312"/>
                <w:sz w:val="20"/>
              </w:rPr>
              <w:t>服务期限：至项目验收合格交付使用方使用，工程结算完毕质保期届满之日结束。</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按招标文件及合同要求执行</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按招标文件及合同要求执行</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按招标文件及合同要求执行</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至项目验收合格交付使用方使用，工程结算完毕质保期届满之日结束。</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按采购人要求</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按招标文件及合同要求执行。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甲方按季度向乙方支付代建管理费。代建管理费的计算公式：每季度的代建管理费=每季度本次完成投资额x中标代建管理费费率x季度考核得分百分比。每次付款前，乙方应开具等额增值税普通发票，达到付款条件起30个工作日内，支付合同总金额的16.66%</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甲方按季度向乙方支付代建管理费。代建管理费的计算公式：每季度的代建管理费=每季度本次完成投资额x中标代建管理费费率x季度考核得分百分比。每次付款前，乙方应开具等额增值税普通发票，达到付款条件起30个工作日内，支付合同总金额的16.66%</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甲方按季度向乙方支付代建管理费。代建管理费的计算公式：每季度的代建管理费=每季度本次完成投资额x中标代建管理费费率x季度考核得分百分比。每次付款前，乙方应开具等额增值税普通发票，达到付款条件起30个工作日内，支付合同总金额的16.66%</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甲方按季度向乙方支付代建管理费。代建管理费的计算公式：每季度的代建管理费=每季度本次完成投资额x中标代建管理费费率x季度考核得分百分比。每次付款前，乙方应开具等额增值税普通发票，达到付款条件起30个工作日内，支付合同总金额的16.66%</w:t>
      </w:r>
    </w:p>
    <w:p>
      <w:pPr>
        <w:pStyle w:val="null3"/>
        <w:ind w:firstLine="1200"/>
      </w:pPr>
      <w:r>
        <w:rPr>
          <w:rFonts w:ascii="仿宋_GB2312" w:hAnsi="仿宋_GB2312" w:cs="仿宋_GB2312" w:eastAsia="仿宋_GB2312"/>
        </w:rPr>
        <w:t>5、</w:t>
      </w:r>
      <w:r>
        <w:rPr>
          <w:rFonts w:ascii="仿宋_GB2312" w:hAnsi="仿宋_GB2312" w:cs="仿宋_GB2312" w:eastAsia="仿宋_GB2312"/>
        </w:rPr>
        <w:t>进度款，甲方按季度向乙方支付代建管理费。代建管理费的计算公式：每季度的代建管理费=每季度本次完成投资额x中标代建管理费费率x季度考核得分百分比。每次付款前，乙方应开具等额增值税普通发票，达到付款条件起30个工作日内，支付合同总金额的16.66%</w:t>
      </w:r>
    </w:p>
    <w:p>
      <w:pPr>
        <w:pStyle w:val="null3"/>
        <w:ind w:firstLine="1200"/>
      </w:pPr>
      <w:r>
        <w:rPr>
          <w:rFonts w:ascii="仿宋_GB2312" w:hAnsi="仿宋_GB2312" w:cs="仿宋_GB2312" w:eastAsia="仿宋_GB2312"/>
        </w:rPr>
        <w:t>6、</w:t>
      </w:r>
      <w:r>
        <w:rPr>
          <w:rFonts w:ascii="仿宋_GB2312" w:hAnsi="仿宋_GB2312" w:cs="仿宋_GB2312" w:eastAsia="仿宋_GB2312"/>
        </w:rPr>
        <w:t>进度款，工程结算经财政部门审定后，确定本项目投资额的同时确定本项目的代建管理费。甲方应协调财政部门在最后一笔工程质保金支付完成后，将剩余未支付的代建管理费支付给乙方，达到付款条件起30个工作日内，支付合同总金额的16.7%</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按招标文件及合同要求执行</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为保障政府采购电子化交易平台项目实施，投标人需要在线提交所有通过电子化交易平台实施的政府采购项目的投标文件，中标人领取中标通知书时须提交投标文件正本壹套、副本贰套、电子版(U盘贰套）。纸质投标文件应与电子投标文件保持一致。递交文件地点：西安市太白南路181号西部电子社区A座A区501室招标一部。 2.需要落实的政府采购政策：（1）《国务院办公厅关于建立政府强制采购节能产品制度的通知》（国办发〔2007〕51号）；（2）《财政部 司法部关于政府采购支持监狱企业发展有关问题的通知》（财库〔2014〕68号）；（3）《三部门联合发布关于促进残疾人就业政府采购政策的通知》（财库〔2017〕141号）；（4）《财政部 发展改革委 生态环境部 市场监管总局关于调整优化节能产品、环境标志产品政府采购执行机制的通知》（财库〔2019〕9号）；（5）《关于运用政府采购政策支持乡村产业振兴的通知》（财库〔2021〕19号）；（6）《政府采购促进中小企业发展管理办法》（财库〔2020〕46号）；（7）陕西省财政厅关于印发《陕西省中小企业政府采购信用融资办法》（陕财办采〔2018〕23号）；（8）《关于进一步加大政府采购支持中小企业力度的通知》（财库〔2022〕19号）；（9）《关于扩大政府采购支持绿色建材促进建筑品质提升政策实施范围的通知》（财库〔2022〕35号）；（10）《国务院办公厅关于在政府采购中实施本国产品标准及相关政策的通知》（国办发〔2025〕34号）。 3.本项目代建费最高限价为4234000.00元，投标报价高于最高限价的投标视为无效投标，本项目总投资额约427706000.00元，各投标人结合企业自身情况自主报价，最终以中标金额折算为代建管理费费率签订合同，代建管理费费率=中标投标报价/项目总投资额*100％，保留小数点后两位。 4.按季度向乙方支付代建管理费。代建管理费的计算公式：每季度的代建管理费=每季度本次完成投资额x中标代建管理费费率x季度考核得分百分比。工程结算经财政部门审定后，确定本项目投资额的同时确定本项目的代建管理费，甲方应协调财政部门在最后一笔工程质保金支付完成后，将剩余未支付的代建管理费支付给乙方。</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（1）供应商应具有独立承担民事责任的能力，提供供应商的营业执照等证明文件，自然人的身份证明等扫描件。 （2）供应商依法缴纳税收、缴纳社会保障金、具有履行合同所必需的设备和专业技术能力、参加政府采购活动前三年内，在经营活动中没有重大违法记录，供应商按照招标文件提供的《基本资格条件承诺函》进行承诺。（3）未被列入失信被执行人、重大税收违法失信主体名单及政府采购严重违法失信行为记录名单，供应商按照招标文件提供的《基本资格条件承诺函》进行承诺。</w:t>
            </w:r>
          </w:p>
        </w:tc>
        <w:tc>
          <w:tcPr>
            <w:tcW w:type="dxa" w:w="1661"/>
          </w:tcPr>
          <w:p>
            <w:pPr>
              <w:pStyle w:val="null3"/>
            </w:pPr>
            <w:r>
              <w:rPr>
                <w:rFonts w:ascii="仿宋_GB2312" w:hAnsi="仿宋_GB2312" w:cs="仿宋_GB2312" w:eastAsia="仿宋_GB2312"/>
              </w:rPr>
              <w:t>投标函 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提供《基本资格条件承诺函》。</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无</w:t>
            </w:r>
          </w:p>
        </w:tc>
        <w:tc>
          <w:tcPr>
            <w:tcW w:type="dxa" w:w="3322"/>
          </w:tcPr>
          <w:p>
            <w:pPr>
              <w:pStyle w:val="null3"/>
            </w:pPr>
            <w:r>
              <w:rPr>
                <w:rFonts w:ascii="仿宋_GB2312" w:hAnsi="仿宋_GB2312" w:cs="仿宋_GB2312" w:eastAsia="仿宋_GB2312"/>
              </w:rPr>
              <w:t>无</w:t>
            </w:r>
          </w:p>
        </w:tc>
        <w:tc>
          <w:tcPr>
            <w:tcW w:type="dxa" w:w="1661"/>
          </w:tcPr>
          <w:p>
            <w:pPr>
              <w:pStyle w:val="null3"/>
            </w:pPr>
            <w:r>
              <w:rPr>
                <w:rFonts w:ascii="仿宋_GB2312" w:hAnsi="仿宋_GB2312" w:cs="仿宋_GB2312" w:eastAsia="仿宋_GB2312"/>
              </w:rPr>
              <w:t>供应商应提交的相关资格证明材料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供应商应提交的相关资格证明材料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1、报价唯一； 2、报价货币符合招标文件要求；3、未超过采购预算金额或最高限价。</w:t>
            </w:r>
          </w:p>
        </w:tc>
        <w:tc>
          <w:tcPr>
            <w:tcW w:type="dxa" w:w="1661"/>
          </w:tcPr>
          <w:p>
            <w:pPr>
              <w:pStyle w:val="null3"/>
            </w:pPr>
            <w:r>
              <w:rPr>
                <w:rFonts w:ascii="仿宋_GB2312" w:hAnsi="仿宋_GB2312" w:cs="仿宋_GB2312" w:eastAsia="仿宋_GB2312"/>
              </w:rPr>
              <w:t>开标一览表 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与所投项目名称、项目编号一致，且符合招标文件签署盖章要求。</w:t>
            </w:r>
          </w:p>
        </w:tc>
        <w:tc>
          <w:tcPr>
            <w:tcW w:type="dxa" w:w="1661"/>
          </w:tcPr>
          <w:p>
            <w:pPr>
              <w:pStyle w:val="null3"/>
            </w:pPr>
            <w:r>
              <w:rPr>
                <w:rFonts w:ascii="仿宋_GB2312" w:hAnsi="仿宋_GB2312" w:cs="仿宋_GB2312" w:eastAsia="仿宋_GB2312"/>
              </w:rPr>
              <w:t>开标一览表 合同条款偏离表 中小企业声明函 服务内容及服务要求偏离表 供应商应提交的相关资格证明材料 报价表 服务方案响应说明 法定代表人身份证明或法定代表人授权委托书 业绩的相关证明材料 政府采购供应商拒绝政府采购领域商业贿赂承诺书 投标函 残疾人福利性单位声明函 标的清单 关于符合本国产品标准的声明函 投标文件封面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法定代表人身份证明或法定代表人授权委托书</w:t>
            </w:r>
          </w:p>
        </w:tc>
        <w:tc>
          <w:tcPr>
            <w:tcW w:type="dxa" w:w="3322"/>
          </w:tcPr>
          <w:p>
            <w:pPr>
              <w:pStyle w:val="null3"/>
            </w:pPr>
            <w:r>
              <w:rPr>
                <w:rFonts w:ascii="仿宋_GB2312" w:hAnsi="仿宋_GB2312" w:cs="仿宋_GB2312" w:eastAsia="仿宋_GB2312"/>
              </w:rPr>
              <w:t>法定代表人直接参加投标的，须出具法定代表人身份证明及身份证；法定代表人授权代表参加投标的，须出具法定代表人授权委托书和被授权人身份证及该人员在本单位近3个月(2026年3月-5月)缴纳社保记录证明。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提交投标文件截止之日起不少于90个日历日。</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合同条款、服务内容及服务要求</w:t>
            </w:r>
          </w:p>
        </w:tc>
        <w:tc>
          <w:tcPr>
            <w:tcW w:type="dxa" w:w="3322"/>
          </w:tcPr>
          <w:p>
            <w:pPr>
              <w:pStyle w:val="null3"/>
            </w:pPr>
            <w:r>
              <w:rPr>
                <w:rFonts w:ascii="仿宋_GB2312" w:hAnsi="仿宋_GB2312" w:cs="仿宋_GB2312" w:eastAsia="仿宋_GB2312"/>
              </w:rPr>
              <w:t>投标文件合同条款、服务内容及服务要求未出现负偏离且响应的内容中未附有采购人不能接受的附加条件。</w:t>
            </w:r>
          </w:p>
        </w:tc>
        <w:tc>
          <w:tcPr>
            <w:tcW w:type="dxa" w:w="1661"/>
          </w:tcPr>
          <w:p>
            <w:pPr>
              <w:pStyle w:val="null3"/>
            </w:pPr>
            <w:r>
              <w:rPr>
                <w:rFonts w:ascii="仿宋_GB2312" w:hAnsi="仿宋_GB2312" w:cs="仿宋_GB2312" w:eastAsia="仿宋_GB2312"/>
              </w:rPr>
              <w:t>合同条款偏离表 服务内容及服务要求偏离表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符合招标文件对服务期限的要求</w:t>
            </w:r>
          </w:p>
        </w:tc>
        <w:tc>
          <w:tcPr>
            <w:tcW w:type="dxa" w:w="1661"/>
          </w:tcPr>
          <w:p>
            <w:pPr>
              <w:pStyle w:val="null3"/>
            </w:pPr>
            <w:r>
              <w:rPr>
                <w:rFonts w:ascii="仿宋_GB2312" w:hAnsi="仿宋_GB2312" w:cs="仿宋_GB2312" w:eastAsia="仿宋_GB2312"/>
              </w:rPr>
              <w:t>标的清单</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1、对投标人针对本项目提供的代建管理目标、范围进行评审；（5分） 2、对投标人针对本项目提供的质量管理方案及保障措施进行评审；（5分） 3、对投标人针对本项目提供的安全、环保及职业健康管理方案进行评审；（5分） 4、对投标人针对本项目提供的进度管理方案及保障措施进行评审；（5分） 5、对投标人针对本项目提供的代建前期管理工作，程序管理保障措施进行评审；（5分） 6、对投标人针对本项目提供的投资与成本控制方案进行评审；（5分） 7、对投标人针对本项目提供的采购与合同管理方案及控制措施进行评审；（5分） 8、对投标人针对本项目提供的全过程风险管理计划及风险管理实施程序进行评审；（5分） 9、对投标人针对本项目提供的信息管理措施、沟通协调机制进行评审；（5分） 10、对投标人针对本项目提供的验收配合及移交方案进行评审；（5分） 评审标准： 内容全面完整，合理性和可行性强，能够结合采购人实际情况，专门针对本项目编制，突出体现工程特点，得5分； 内容全面完整，合理性和可行性较强，能够结合采购人实际情况，针对本项目编制，较能突出体现工程特点，得4分； 内容较全面完整，合理性和可行性较强，能够结合采购人实际情况，针对本项目编制，较能突出体现工程特点，得3分； 内容较全面完整，合理性和可行性一般，基本能够结合采购人实际情况，较能突出体现工程特点，得2分； 内容简单笼统，实施难度较大，得1分； 未提供不得分。</w:t>
            </w:r>
          </w:p>
        </w:tc>
        <w:tc>
          <w:tcPr>
            <w:tcW w:type="dxa" w:w="831"/>
          </w:tcPr>
          <w:p>
            <w:pPr>
              <w:pStyle w:val="null3"/>
              <w:jc w:val="right"/>
            </w:pPr>
            <w:r>
              <w:rPr>
                <w:rFonts w:ascii="仿宋_GB2312" w:hAnsi="仿宋_GB2312" w:cs="仿宋_GB2312" w:eastAsia="仿宋_GB2312"/>
              </w:rPr>
              <w:t>50.0000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服务方案响应说明</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根据投标人代建管理团队岗位人员配备进行打分（12分）： （1）现场管理岗：配备3人，至少1人具备工程类相关专业工程师； （2）设计管理岗：配备2人，至少1人具备工程类相关专业工程师； （3）造价管理岗：配备2人，至少1人具备工程类相关造价专业； （4）招投标及合同管理岗：配备1人； （5）报建及档案管理岗位：配备1人。 满足上述条件者得满分12分，每少1人扣1分，不符合专业要求扣1分/个，扣完为止。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服务方案响应说明</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投标人近三年(2023年1月1日至今）的代建项目业绩，每提供一项得3分，满分18分，不提供不得分。 注：以加盖公章的业绩合同或中标（成交）通知书复印件或扫描件为准，时间以合同签订时间或中标通知书落款时间为准。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服务方案响应说明</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采用低价优先法计算，满足招标文件要求且投标价格最低的作为评标基准价，其价格分为满分。其他投标人的价格分统一按照下列公式计算： 投标报价得分=（评标基准价/投标报价）×20。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报价表</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详见附件：法定代表人身份证明或法定代表人授权委托书</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详见附件：合同条款偏离表</w:t>
      </w:r>
    </w:p>
    <w:p>
      <w:pPr>
        <w:pStyle w:val="null3"/>
        <w:ind w:firstLine="960"/>
      </w:pPr>
      <w:r>
        <w:rPr>
          <w:rFonts w:ascii="仿宋_GB2312" w:hAnsi="仿宋_GB2312" w:cs="仿宋_GB2312" w:eastAsia="仿宋_GB2312"/>
        </w:rPr>
        <w:t>详见附件：服务内容及服务要求偏离表</w:t>
      </w:r>
    </w:p>
    <w:p>
      <w:pPr>
        <w:pStyle w:val="null3"/>
        <w:ind w:firstLine="960"/>
      </w:pPr>
      <w:r>
        <w:rPr>
          <w:rFonts w:ascii="仿宋_GB2312" w:hAnsi="仿宋_GB2312" w:cs="仿宋_GB2312" w:eastAsia="仿宋_GB2312"/>
        </w:rPr>
        <w:t>详见附件：服务方案响应说明</w:t>
      </w:r>
    </w:p>
    <w:p>
      <w:pPr>
        <w:pStyle w:val="null3"/>
        <w:ind w:firstLine="960"/>
      </w:pPr>
      <w:r>
        <w:rPr>
          <w:rFonts w:ascii="仿宋_GB2312" w:hAnsi="仿宋_GB2312" w:cs="仿宋_GB2312" w:eastAsia="仿宋_GB2312"/>
        </w:rPr>
        <w:t>详见附件：业绩的相关证明材料</w:t>
      </w:r>
    </w:p>
    <w:p>
      <w:pPr>
        <w:pStyle w:val="null3"/>
        <w:ind w:firstLine="960"/>
      </w:pPr>
      <w:r>
        <w:rPr>
          <w:rFonts w:ascii="仿宋_GB2312" w:hAnsi="仿宋_GB2312" w:cs="仿宋_GB2312" w:eastAsia="仿宋_GB2312"/>
        </w:rPr>
        <w:t>详见附件：政府采购供应商拒绝政府采购领域商业贿赂承诺书</w:t>
      </w:r>
    </w:p>
    <w:p>
      <w:pPr>
        <w:pStyle w:val="null3"/>
        <w:ind w:firstLine="960"/>
      </w:pPr>
      <w:r>
        <w:rPr>
          <w:rFonts w:ascii="仿宋_GB2312" w:hAnsi="仿宋_GB2312" w:cs="仿宋_GB2312" w:eastAsia="仿宋_GB2312"/>
        </w:rPr>
        <w:t>详见附件：关于符合本国产品标准的声明函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详见附件：中创区GX3-17-55地块新建高中项目委托代建合同.docx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