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西安市未央区徐家湾地区综合改造办公室团结片区规划调整新增10KV电力线路迁改工程竞争性磋商公告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团结片区规划调整新增10KV电力线路迁改工程</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2026年10月12日 14时30分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项目编号：ZJXG2026080</w:t>
      </w:r>
    </w:p>
    <w:p>
      <w:pPr>
        <w:pStyle w:val="null3"/>
      </w:pPr>
      <w:r>
        <w:rPr>
          <w:rFonts w:ascii="仿宋_GB2312" w:hAnsi="仿宋_GB2312" w:cs="仿宋_GB2312" w:eastAsia="仿宋_GB2312"/>
        </w:rPr>
        <w:t>项目名称：团结片区规划调整新增10KV电力线路迁改工程</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预算金额：2,195,325.50元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采购包1：自合同签订之日起 90日历日完工。</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合同包1(团结片区规划调整新增10KV电力线路迁改工程)落实政府采购政策需满足的资格要求如下:</w:t>
      </w:r>
    </w:p>
    <w:p>
      <w:pPr>
        <w:pStyle w:val="null3"/>
        <w:ind w:left="480"/>
      </w:pPr>
      <w:r>
        <w:rPr>
          <w:rFonts w:ascii="仿宋_GB2312" w:hAnsi="仿宋_GB2312" w:cs="仿宋_GB2312" w:eastAsia="仿宋_GB2312"/>
        </w:rPr>
        <w:t>参与的供应商（联合体）工程的施工单位全部为符合政策要求的中小企业。</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合同包1(团结片区规划调整新增10KV电力线路迁改工程)特定资格要求如下: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①可提供2024或2025年度经审计的财务报告（包含审计报告和审计报告中所涉及的财务报表和报表附注），②可提供2024或2025年度供应商完整的全套财务报表（应当包括资产负债表、利润表、现金流量表、所有者权益变动表、附注），③可提供截至竞争性磋商响应文件提交截止日一年内银行出具的资信证明，④供应商注册时间截至竞争性磋商响应文件提交截止日不足一年的，也可提供在工商管理部门备案的公司章程。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(3)提供2026年至今已缴纳的1个月的纳税证明或完税证明，依法免税的单位应提供相关证明材料。此项可提供基本资格条件承诺函。供应商需在项目电子化交易系统中按要求上传相应证明文件并进行电子签章。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(4)提供2026年至今已缴纳的1个月的社会保障资金缴存单据或社保机构开具的社会保险参保缴费情况证明，依法不需要缴纳社会保障资金的单位应提供相关证明材料。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(7)法定代表人（单位负责人）授权委托书（附法定代表人（单位负责人）、被授权人身份证复印件；（法定代表人（单位负责人）直接参加的，须提供法定代表人（单位负责人）身份证明书及身份证复印件且与营业执照上信息须一致），非法人单位参照执行。供应商需在项目电子化交易系统中按要求上传相应证明文件并进行电子签章；</w:t>
      </w:r>
    </w:p>
    <w:p>
      <w:pPr>
        <w:pStyle w:val="null3"/>
      </w:pPr>
      <w:r>
        <w:rPr>
          <w:rFonts w:ascii="仿宋_GB2312" w:hAnsi="仿宋_GB2312" w:cs="仿宋_GB2312" w:eastAsia="仿宋_GB2312"/>
        </w:rPr>
        <w:t>(8)供应商具有建设行政主管部门核发的电力工程施工总承包三级（含三级）以上资质或输变电专业工程承包三级（含三级）以上资质；同时具备承装（修、试）电力设施许可证三级（含三级）以上资质，以及合法有效的安全生产许可证。供应商需在项目电子化交易系统中按要求上传相应证明文件并进行电子签章。</w:t>
      </w:r>
    </w:p>
    <w:p>
      <w:pPr>
        <w:pStyle w:val="null3"/>
      </w:pPr>
      <w:r>
        <w:rPr>
          <w:rFonts w:ascii="仿宋_GB2312" w:hAnsi="仿宋_GB2312" w:cs="仿宋_GB2312" w:eastAsia="仿宋_GB2312"/>
        </w:rPr>
        <w:t>(9)拟派项目经理具备合法有效的机电工程专业注册建造师二级（含二级）以上执业资格和安全生产考核合格证书（安全B证），在本单位注册且无在建工程。供应商需在项目电子化交易系统中按要求上传相应证明文件并进行电子签章。</w:t>
      </w:r>
    </w:p>
    <w:p>
      <w:pPr>
        <w:pStyle w:val="null3"/>
      </w:pPr>
      <w:r>
        <w:rPr>
          <w:rFonts w:ascii="仿宋_GB2312" w:hAnsi="仿宋_GB2312" w:cs="仿宋_GB2312" w:eastAsia="仿宋_GB2312"/>
        </w:rPr>
        <w:t>(10)供应商不得为“信用中国(www.creditchina.gov.cn)”中列入失信被执行人和重大税收违法案件当事人名单的供应商，不得为“中国政府采购网(www.ccgp.gov.cn)”政府采购严重违法失信行为记录名单中被财政部门禁止参加政府采购活动的供应商（采购代理机构查询，节点为响应文件递交截止之时）。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(11)①单位负责人为同一人或者存在直接控股、管理关系的不同供应商不得参加同一合同项下的政府采购活动。供应商需在项目电子化交易系统中按要求上传相应证明文件并进行电子签章。②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(12)本合同包不接受联合体投标，提供非联合体投标声明。供应商需在项目电子化交易系统中按要求上传相应证明文件并进行电子签章。</w:t>
      </w:r>
    </w:p>
    <w:p>
      <w:pPr>
        <w:pStyle w:val="null3"/>
      </w:pPr>
      <w:r>
        <w:rPr>
          <w:rFonts w:ascii="仿宋_GB2312" w:hAnsi="仿宋_GB2312" w:cs="仿宋_GB2312" w:eastAsia="仿宋_GB2312"/>
        </w:rPr>
        <w:t>(13)本合同包为专门面向中小企业采购（提供中小企业声明函或监狱企业的证明文件或残疾人福利性单位声明函）。供应商需在项目电子化交易系统中按要求上传相应证明文件并进行电子签章。</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2026年09月28日 </w:t>
      </w:r>
      <w:r>
        <w:rPr>
          <w:rFonts w:ascii="仿宋_GB2312" w:hAnsi="仿宋_GB2312" w:cs="仿宋_GB2312" w:eastAsia="仿宋_GB2312"/>
        </w:rPr>
        <w:t>至</w:t>
      </w:r>
      <w:r>
        <w:rPr>
          <w:rFonts w:ascii="仿宋_GB2312" w:hAnsi="仿宋_GB2312" w:cs="仿宋_GB2312" w:eastAsia="仿宋_GB2312"/>
        </w:rPr>
        <w:t xml:space="preserve"> 2026年10月09日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2026年10月12日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2026年10月12日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成交供应商在中标（成交）结果公告结束后3个工作日内向代理机构提供纸质版响应文件，响应文件为正本一份，副本二份，电子U盘二份（U盘内容包括Word版本、签字盖章扫描后的PDF版本响应文件及电子投标书）。</w:t>
      </w:r>
    </w:p>
    <w:p>
      <w:pPr>
        <w:pStyle w:val="null3"/>
      </w:pPr>
      <w:r>
        <w:rPr>
          <w:rFonts w:ascii="仿宋_GB2312" w:hAnsi="仿宋_GB2312" w:cs="仿宋_GB2312" w:eastAsia="仿宋_GB2312"/>
        </w:rPr>
        <w:t>（七）需要落实的政府采购政策：</w:t>
      </w:r>
    </w:p>
    <w:p>
      <w:pPr>
        <w:pStyle w:val="null3"/>
      </w:pPr>
      <w:r>
        <w:rPr>
          <w:rFonts w:ascii="仿宋_GB2312" w:hAnsi="仿宋_GB2312" w:cs="仿宋_GB2312" w:eastAsia="仿宋_GB231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3)《财政部民政部中国残疾人联合会关于促进残疾人就业政府采购政策的通知》（财库〔2017〕141号）；</w:t>
      </w:r>
    </w:p>
    <w:p>
      <w:pPr>
        <w:pStyle w:val="null3"/>
      </w:pPr>
      <w:r>
        <w:rPr>
          <w:rFonts w:ascii="仿宋_GB2312" w:hAnsi="仿宋_GB2312" w:cs="仿宋_GB2312" w:eastAsia="仿宋_GB2312"/>
        </w:rPr>
        <w:t>4)《财政部国家发展改革委关于印发(节能产品政府采购实施意见)的通知》(财库〔2004〕185号)；</w:t>
      </w:r>
    </w:p>
    <w:p>
      <w:pPr>
        <w:pStyle w:val="null3"/>
      </w:pPr>
      <w:r>
        <w:rPr>
          <w:rFonts w:ascii="仿宋_GB2312" w:hAnsi="仿宋_GB2312" w:cs="仿宋_GB2312" w:eastAsia="仿宋_GB2312"/>
        </w:rPr>
        <w:t>5)《国务院办公厅关于建立政府强制采购节能产品制度的通知》(国办发〔2007〕51号)；</w:t>
      </w:r>
    </w:p>
    <w:p>
      <w:pPr>
        <w:pStyle w:val="null3"/>
      </w:pPr>
      <w:r>
        <w:rPr>
          <w:rFonts w:ascii="仿宋_GB2312" w:hAnsi="仿宋_GB2312" w:cs="仿宋_GB2312" w:eastAsia="仿宋_GB2312"/>
        </w:rPr>
        <w:t>6)《财政部环保总局关于环境标志产品政府采购实施的意见》(财库〔2006〕90号)；</w:t>
      </w:r>
    </w:p>
    <w:p>
      <w:pPr>
        <w:pStyle w:val="null3"/>
      </w:pPr>
      <w:r>
        <w:rPr>
          <w:rFonts w:ascii="仿宋_GB2312" w:hAnsi="仿宋_GB2312" w:cs="仿宋_GB2312" w:eastAsia="仿宋_GB2312"/>
        </w:rPr>
        <w:t>7)《财政部 发展改革委 生态环境部 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10)《财政部、农业农村部、国家乡村振兴局关于运用政府采购政策支持乡村产业振兴的通知》（财库〔2021〕19号）；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13）《关于政府采购支持绿色建材促进建筑品质提升试点工作的通知》（财库〔2020〕31 号）；</w:t>
      </w:r>
    </w:p>
    <w:p>
      <w:pPr>
        <w:pStyle w:val="null3"/>
      </w:pPr>
      <w:r>
        <w:rPr>
          <w:rFonts w:ascii="仿宋_GB2312" w:hAnsi="仿宋_GB2312" w:cs="仿宋_GB2312" w:eastAsia="仿宋_GB2312"/>
        </w:rPr>
        <w:t>14）《财政部办公厅关于组织地方预算单位做好2023年政府采购脱贫地区农副产品工作的通知》（财办库〔2023〕45 号）；</w:t>
      </w:r>
    </w:p>
    <w:p>
      <w:pPr>
        <w:pStyle w:val="null3"/>
      </w:pPr>
      <w:r>
        <w:rPr>
          <w:rFonts w:ascii="仿宋_GB2312" w:hAnsi="仿宋_GB2312" w:cs="仿宋_GB2312" w:eastAsia="仿宋_GB2312"/>
        </w:rPr>
        <w:t>15）《财政部住房城乡建设部工业和信息化部关于扩大政府采购绿色建材促进建筑品质提升政策实施范围的通知》（财库〔2022〕35号）；</w:t>
      </w:r>
    </w:p>
    <w:p>
      <w:pPr>
        <w:pStyle w:val="null3"/>
      </w:pPr>
      <w:r>
        <w:rPr>
          <w:rFonts w:ascii="仿宋_GB2312" w:hAnsi="仿宋_GB2312" w:cs="仿宋_GB2312" w:eastAsia="仿宋_GB2312"/>
        </w:rPr>
        <w:t>16）《国务院办公厅关于在政府采购中实施本国产品标准及相关政策的通知》（国办发〔2025〕34号）；</w:t>
      </w:r>
    </w:p>
    <w:p>
      <w:pPr>
        <w:pStyle w:val="null3"/>
      </w:pPr>
      <w:r>
        <w:rPr>
          <w:rFonts w:ascii="仿宋_GB2312" w:hAnsi="仿宋_GB2312" w:cs="仿宋_GB2312" w:eastAsia="仿宋_GB2312"/>
        </w:rPr>
        <w:t>17）《关于推动解决政府采购异常低价问题的通知》(财库〔2026〕2号)；</w:t>
      </w:r>
    </w:p>
    <w:p>
      <w:pPr>
        <w:pStyle w:val="null3"/>
      </w:pPr>
      <w:r>
        <w:rPr>
          <w:rFonts w:ascii="仿宋_GB2312" w:hAnsi="仿宋_GB2312" w:cs="仿宋_GB2312" w:eastAsia="仿宋_GB2312"/>
        </w:rPr>
        <w:t>18）其他需要落实的政府采购政策。</w:t>
      </w:r>
    </w:p>
    <w:p>
      <w:pPr>
        <w:pStyle w:val="null3"/>
      </w:pPr>
      <w:r>
        <w:rPr>
          <w:rFonts w:ascii="仿宋_GB2312" w:hAnsi="仿宋_GB2312" w:cs="仿宋_GB2312" w:eastAsia="仿宋_GB2312"/>
        </w:rPr>
        <w:t>（八）其他：</w:t>
      </w:r>
    </w:p>
    <w:p>
      <w:pPr>
        <w:pStyle w:val="null3"/>
      </w:pPr>
      <w:r>
        <w:rPr>
          <w:rFonts w:ascii="仿宋_GB2312" w:hAnsi="仿宋_GB2312" w:cs="仿宋_GB2312" w:eastAsia="仿宋_GB2312"/>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西安市未央区徐家湾地区综合改造办公室</w:t>
      </w:r>
    </w:p>
    <w:p>
      <w:pPr>
        <w:pStyle w:val="null3"/>
      </w:pPr>
      <w:r>
        <w:rPr>
          <w:rFonts w:ascii="仿宋_GB2312" w:hAnsi="仿宋_GB2312" w:cs="仿宋_GB2312" w:eastAsia="仿宋_GB2312"/>
        </w:rPr>
        <w:t>地址：</w:t>
      </w:r>
      <w:r>
        <w:rPr>
          <w:rFonts w:ascii="仿宋_GB2312" w:hAnsi="仿宋_GB2312" w:cs="仿宋_GB2312" w:eastAsia="仿宋_GB2312"/>
        </w:rPr>
        <w:t>西安市未央区凤城八路与渭滨路十字向东150米路北</w:t>
      </w:r>
    </w:p>
    <w:p>
      <w:pPr>
        <w:pStyle w:val="null3"/>
      </w:pPr>
      <w:r>
        <w:rPr>
          <w:rFonts w:ascii="仿宋_GB2312" w:hAnsi="仿宋_GB2312" w:cs="仿宋_GB2312" w:eastAsia="仿宋_GB2312"/>
        </w:rPr>
        <w:t>联系方式：</w:t>
      </w:r>
      <w:r>
        <w:rPr>
          <w:rFonts w:ascii="仿宋_GB2312" w:hAnsi="仿宋_GB2312" w:cs="仿宋_GB2312" w:eastAsia="仿宋_GB2312"/>
        </w:rPr>
        <w:t>029-88698013</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陕西中鉴项目管理有限公司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陕西省西安市未央区未央路109号万象未央1号楼506室</w:t>
      </w:r>
    </w:p>
    <w:p>
      <w:pPr>
        <w:pStyle w:val="null3"/>
      </w:pPr>
      <w:r>
        <w:rPr>
          <w:rFonts w:ascii="仿宋_GB2312" w:hAnsi="仿宋_GB2312" w:cs="仿宋_GB2312" w:eastAsia="仿宋_GB2312"/>
        </w:rPr>
        <w:t>联系方式：</w:t>
      </w:r>
      <w:r>
        <w:rPr>
          <w:rFonts w:ascii="仿宋_GB2312" w:hAnsi="仿宋_GB2312" w:cs="仿宋_GB2312" w:eastAsia="仿宋_GB2312"/>
        </w:rPr>
        <w:t>029-88229191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白洁</w:t>
      </w:r>
    </w:p>
    <w:p>
      <w:pPr>
        <w:pStyle w:val="null3"/>
      </w:pPr>
      <w:r>
        <w:rPr>
          <w:rFonts w:ascii="仿宋_GB2312" w:hAnsi="仿宋_GB2312" w:cs="仿宋_GB2312" w:eastAsia="仿宋_GB2312"/>
        </w:rPr>
        <w:t>电话：</w:t>
      </w:r>
      <w:r>
        <w:rPr>
          <w:rFonts w:ascii="仿宋_GB2312" w:hAnsi="仿宋_GB2312" w:cs="仿宋_GB2312" w:eastAsia="仿宋_GB2312"/>
        </w:rPr>
        <w:t>029-88229191</w:t>
      </w:r>
    </w:p>
    <w:p>
      <w:pPr>
        <w:pStyle w:val="null3"/>
        <w:jc w:val="right"/>
      </w:pPr>
      <w:r>
        <w:rPr>
          <w:rFonts w:ascii="仿宋_GB2312" w:hAnsi="仿宋_GB2312" w:cs="仿宋_GB2312" w:eastAsia="仿宋_GB2312"/>
        </w:rPr>
        <w:t>陕西中鉴项目管理有限公司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