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版本号：JJX-2026-02720260511001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站南街道佳苑社区党群服务中心提升改造项目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JJX-2026-027</w:t>
      </w:r>
      <w:r>
        <w:br/>
      </w:r>
      <w:r>
        <w:br/>
      </w:r>
      <w:r>
        <w:br/>
      </w:r>
    </w:p>
    <w:p>
      <w:pPr>
        <w:pStyle w:val="null3"/>
        <w:jc w:val="center"/>
        <w:outlineLvl w:val="2"/>
      </w:pPr>
      <w:r>
        <w:rPr>
          <w:rFonts w:ascii="仿宋_GB2312" w:hAnsi="仿宋_GB2312" w:cs="仿宋_GB2312" w:eastAsia="仿宋_GB2312"/>
          <w:sz w:val="28"/>
          <w:b/>
        </w:rPr>
        <w:t>陕西省渭南市临渭区站南街道办事处</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陕西省渭南市临渭区站南街道办事处</w:t>
      </w:r>
      <w:r>
        <w:rPr>
          <w:rFonts w:ascii="仿宋_GB2312" w:hAnsi="仿宋_GB2312" w:cs="仿宋_GB2312" w:eastAsia="仿宋_GB2312"/>
        </w:rPr>
        <w:t>委托，拟对</w:t>
      </w:r>
      <w:r>
        <w:rPr>
          <w:rFonts w:ascii="仿宋_GB2312" w:hAnsi="仿宋_GB2312" w:cs="仿宋_GB2312" w:eastAsia="仿宋_GB2312"/>
        </w:rPr>
        <w:t>站南街道佳苑社区党群服务中心提升改造项目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站南街道佳苑社区党群服务中心提升改造项目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站南街道佳苑社区党群服务中心提升改造项目，详见磋商文件及工程量清单。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采购包1（站南街道佳苑社区党群服务中心提升改造项目）：属于专门面向中小企业采购。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3、项目负责人：项目负责人需具备建筑相关专业中级及以上职称，且未担任其他在建工程项目负责人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陕西省渭南市临渭区站南街道办事处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渭南市临渭区站北路8号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陕西省渭南市临渭区站南街道办事处经办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0913-3106160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陕西省渭南市临渭区站南街道办事处</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陕西省渭南市临渭区站南街道办事处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陕西省渭南市临渭区站南街道办事处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1.本工程应按工程量清单及磋商文件全部内容完成。2.本工程验收标准应符合国家相关工程管理规定及行业标准。3.依据磋商文件及成交人响应文件及签证单等文件内容进行验收。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地址：陕西省渭南市临渭区玉德路豪庭佳苑南门东临四层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799,699.51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站南街道佳苑社区党群服务中心提升改造项目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标的名称：站南街道佳苑社区党群服务中心提升改造项目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w:t>
            </w:r>
            <w:r>
              <w:rPr>
                <w:rFonts w:ascii="仿宋_GB2312" w:hAnsi="仿宋_GB2312" w:cs="仿宋_GB2312" w:eastAsia="仿宋_GB2312"/>
                <w:sz w:val="28"/>
                <w:b/>
              </w:rPr>
              <w:t>工程概况</w:t>
            </w:r>
          </w:p>
          <w:p>
            <w:pPr>
              <w:pStyle w:val="null3"/>
              <w:ind w:firstLine="560"/>
              <w:jc w:val="left"/>
            </w:pPr>
            <w:r>
              <w:rPr>
                <w:rFonts w:ascii="仿宋_GB2312" w:hAnsi="仿宋_GB2312" w:cs="仿宋_GB2312" w:eastAsia="仿宋_GB2312"/>
                <w:sz w:val="28"/>
              </w:rPr>
              <w:t>临渭区站南街道佳苑社区党群服务中心提升改造项目包含加固工程，外墙真石漆、室内精装及配套办公设施、室外地面、车棚、屋面防水、安装电气设备工程、给排水工程、弱电工程等；</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临渭区站南街道佳苑社区党群服务中心提升改造项目</w:t>
            </w:r>
            <w:r>
              <w:rPr>
                <w:rFonts w:ascii="仿宋_GB2312" w:hAnsi="仿宋_GB2312" w:cs="仿宋_GB2312" w:eastAsia="仿宋_GB2312"/>
                <w:sz w:val="28"/>
              </w:rPr>
              <w:t>相关</w:t>
            </w:r>
            <w:r>
              <w:rPr>
                <w:rFonts w:ascii="仿宋_GB2312" w:hAnsi="仿宋_GB2312" w:cs="仿宋_GB2312" w:eastAsia="仿宋_GB2312"/>
                <w:sz w:val="28"/>
              </w:rPr>
              <w:t>资料</w:t>
            </w:r>
            <w:r>
              <w:rPr>
                <w:rFonts w:ascii="仿宋_GB2312" w:hAnsi="仿宋_GB2312" w:cs="仿宋_GB2312" w:eastAsia="仿宋_GB2312"/>
                <w:sz w:val="28"/>
              </w:rPr>
              <w:t>及图纸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2、《陕西省房屋建筑与装饰工程消耗量定额（2025）》、《陕西省通用安装工程消耗量定额（2025）》及其配套文件中的工程量清单计价标准及计算标准(2025)；</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陕建管发〔</w:t>
            </w:r>
            <w:r>
              <w:rPr>
                <w:rFonts w:ascii="仿宋_GB2312" w:hAnsi="仿宋_GB2312" w:cs="仿宋_GB2312" w:eastAsia="仿宋_GB2312"/>
                <w:sz w:val="28"/>
              </w:rPr>
              <w:t>2025〕10号文件《陕西省住房和城乡建设厅关于印发2025陕西省建设工程费用规则等计价依据的通知》；</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、陕西省建设工程费用规则〔</w:t>
            </w:r>
            <w:r>
              <w:rPr>
                <w:rFonts w:ascii="仿宋_GB2312" w:hAnsi="仿宋_GB2312" w:cs="仿宋_GB2312" w:eastAsia="仿宋_GB2312"/>
                <w:sz w:val="28"/>
              </w:rPr>
              <w:t>2025〕本规则是陕西省建设工程计价依据的组成部分，应与陕西省各专业工程消耗量定额〔2025〕及各专业工程基价表〔2025〕配套使用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材料价格依据《渭南市工程造价信息》</w:t>
            </w:r>
            <w:r>
              <w:rPr>
                <w:rFonts w:ascii="仿宋_GB2312" w:hAnsi="仿宋_GB2312" w:cs="仿宋_GB2312" w:eastAsia="仿宋_GB2312"/>
                <w:sz w:val="28"/>
              </w:rPr>
              <w:t>2026年第一期并结合当地市场价；</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、现行相关的专业工程施工质量验收规范、标准、规定、图集、技术资料，以及正常的施工组织，施工工艺等。</w:t>
            </w:r>
          </w:p>
          <w:p>
            <w:pPr>
              <w:pStyle w:val="null3"/>
              <w:jc w:val="left"/>
            </w:pPr>
            <w:r>
              <w:rPr>
                <w:rFonts w:ascii="仿宋_GB2312" w:hAnsi="仿宋_GB2312" w:cs="仿宋_GB2312" w:eastAsia="仿宋_GB2312"/>
                <w:sz w:val="28"/>
                <w:b/>
              </w:rPr>
              <w:t>三、其他部分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、本工程采用商品混凝土</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2、垃圾外运暂按10km计取；</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工程量清单计价软件采用广联达工程量清单计价软件</w:t>
            </w:r>
            <w:r>
              <w:rPr>
                <w:rFonts w:ascii="仿宋_GB2312" w:hAnsi="仿宋_GB2312" w:cs="仿宋_GB2312" w:eastAsia="仿宋_GB2312"/>
                <w:sz w:val="28"/>
              </w:rPr>
              <w:t>—广联达云计价平台GCCP7.0（版本：</w:t>
            </w:r>
            <w:r>
              <w:rPr>
                <w:rFonts w:ascii="仿宋_GB2312" w:hAnsi="仿宋_GB2312" w:cs="仿宋_GB2312" w:eastAsia="仿宋_GB2312"/>
                <w:sz w:val="28"/>
              </w:rPr>
              <w:t>7.5000.23.</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四、工程量清单及图纸详见附件。</w:t>
            </w:r>
          </w:p>
          <w:p>
            <w:pPr>
              <w:pStyle w:val="null3"/>
              <w:ind w:firstLine="560"/>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100日历天；2、工程地点：采购人指定地点；3、已标价工程量清单应按我省最新计划规范要求，在规定位置加盖供应商公章及供应商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或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有依法缴纳税收和社会保障资金的良好记录：提供2025年5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开标时间不足一年的可提供成立后任意时段的资产负债表）或开标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项目负责人需具备建筑相关专业中级及以上职称，且未担任其他在建工程项目负责人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商务要求响应表.docx 响应文件封面 项目管理机构组成表 残疾人福利性单位声明函 施工方案.docx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100日历天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针对本项目提供具体可行的施工部署方案，包括但不限于：①施工目标：安全目标、工期目标、质量目标；②资源配备计划：主要施工设备、劳动力等配备计划及主材进场计划；③拟投入人员配备。 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提供供应商2023年5月1日至今具有类似项目业绩；响应文件中需附合同复印件并加盖公章，以合同签订时间为准。每提供1个得2分，满分10分。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2.磋商报价得分=（磋商基准价/最终磋商报价）×40的公式计算得分。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