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版本号：SXWXZBDL2026-ZC-CS103820260814001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新城区高校毕业生就业服务项目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SXWXZBDL2026-ZC-CS1038</w:t>
      </w:r>
      <w:r>
        <w:br/>
      </w:r>
      <w:r>
        <w:br/>
      </w:r>
      <w:r>
        <w:br/>
      </w:r>
    </w:p>
    <w:p>
      <w:pPr>
        <w:pStyle w:val="null3"/>
        <w:jc w:val="center"/>
        <w:outlineLvl w:val="2"/>
      </w:pPr>
      <w:r>
        <w:rPr>
          <w:rFonts w:ascii="仿宋_GB2312" w:hAnsi="仿宋_GB2312" w:cs="仿宋_GB2312" w:eastAsia="仿宋_GB2312"/>
          <w:sz w:val="28"/>
          <w:b/>
        </w:rPr>
        <w:t>西安市新城区人力资源和社会保障局</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西安市新城区人力资源和社会保障局</w:t>
      </w:r>
      <w:r>
        <w:rPr>
          <w:rFonts w:ascii="仿宋_GB2312" w:hAnsi="仿宋_GB2312" w:cs="仿宋_GB2312" w:eastAsia="仿宋_GB2312"/>
        </w:rPr>
        <w:t>委托，拟对</w:t>
      </w:r>
      <w:r>
        <w:rPr>
          <w:rFonts w:ascii="仿宋_GB2312" w:hAnsi="仿宋_GB2312" w:cs="仿宋_GB2312" w:eastAsia="仿宋_GB2312"/>
        </w:rPr>
        <w:t>新城区高校毕业生就业服务项目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新城区高校毕业生就业服务项目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为已建成的高校就业创业服务驿站开展日常运营及特色活动，打造高校毕业生就业帮扶新城服务品牌；2.开展校园招聘会、定制化等高校毕业生就业服务活动，有效提升毕业生求职竞争力和岗位匹配度；3.严格落实工作机制，开展“1131”离校未就业高校毕业生就业帮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采购包1（新城区高校毕业生就业服务项目）：属于专门面向中小企业采购。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西安市新城区尚德路115号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029-87424213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董雪、张小娜、李玉萍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西安市新城区人力资源和社会保障局</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1.高校就业创业服务驿站运营；2.高校毕业生就业服务活动；3.1131离校未就业高校毕业生就业帮扶工作。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新城区高校毕业生就业服务项目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标的名称：新城区高校毕业生就业服务项目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一、项目概况：</w:t>
            </w:r>
            <w:r>
              <w:rPr>
                <w:rFonts w:ascii="仿宋_GB2312" w:hAnsi="仿宋_GB2312" w:cs="仿宋_GB2312" w:eastAsia="仿宋_GB2312"/>
                <w:sz w:val="24"/>
              </w:rPr>
              <w:t>1.高校就业创业服务驿站运营；2.高校毕业生就业服务活动；3.1131离校未就业高校毕业生就业帮扶工作。</w:t>
            </w:r>
          </w:p>
          <w:p>
            <w:pPr>
              <w:pStyle w:val="null3"/>
              <w:ind w:firstLine="480"/>
              <w:jc w:val="left"/>
            </w:pPr>
            <w:r>
              <w:rPr>
                <w:rFonts w:ascii="仿宋_GB2312" w:hAnsi="仿宋_GB2312" w:cs="仿宋_GB2312" w:eastAsia="仿宋_GB2312"/>
                <w:sz w:val="24"/>
              </w:rPr>
              <w:t>二、项目名称：</w:t>
            </w:r>
            <w:r>
              <w:rPr>
                <w:rFonts w:ascii="仿宋_GB2312" w:hAnsi="仿宋_GB2312" w:cs="仿宋_GB2312" w:eastAsia="仿宋_GB2312"/>
                <w:sz w:val="24"/>
              </w:rPr>
              <w:t>新城区高校毕业生就业服务项目</w:t>
            </w:r>
          </w:p>
          <w:p>
            <w:pPr>
              <w:pStyle w:val="null3"/>
              <w:ind w:firstLine="480"/>
              <w:jc w:val="left"/>
            </w:pPr>
            <w:r>
              <w:rPr>
                <w:rFonts w:ascii="仿宋_GB2312" w:hAnsi="仿宋_GB2312" w:cs="仿宋_GB2312" w:eastAsia="仿宋_GB2312"/>
                <w:sz w:val="24"/>
              </w:rPr>
              <w:t>三、</w:t>
            </w:r>
            <w:r>
              <w:rPr>
                <w:rFonts w:ascii="仿宋_GB2312" w:hAnsi="仿宋_GB2312" w:cs="仿宋_GB2312" w:eastAsia="仿宋_GB2312"/>
                <w:sz w:val="24"/>
              </w:rPr>
              <w:t>采购内容</w:t>
            </w:r>
            <w:r>
              <w:rPr>
                <w:rFonts w:ascii="仿宋_GB2312" w:hAnsi="仿宋_GB2312" w:cs="仿宋_GB2312" w:eastAsia="仿宋_GB2312"/>
                <w:sz w:val="24"/>
              </w:rPr>
              <w:t>：</w:t>
            </w:r>
            <w:r>
              <w:rPr>
                <w:rFonts w:ascii="仿宋_GB2312" w:hAnsi="仿宋_GB2312" w:cs="仿宋_GB2312" w:eastAsia="仿宋_GB2312"/>
                <w:sz w:val="24"/>
              </w:rPr>
              <w:t>1.为已建成的高校就业创业服务驿站开展日常运营及特色活动，打造高校毕业生就业帮扶新城服务品牌；</w:t>
            </w:r>
            <w:r>
              <w:rPr>
                <w:rFonts w:ascii="仿宋_GB2312" w:hAnsi="仿宋_GB2312" w:cs="仿宋_GB2312" w:eastAsia="仿宋_GB2312"/>
                <w:sz w:val="24"/>
              </w:rPr>
              <w:t>2.</w:t>
            </w:r>
            <w:r>
              <w:rPr>
                <w:rFonts w:ascii="仿宋_GB2312" w:hAnsi="仿宋_GB2312" w:cs="仿宋_GB2312" w:eastAsia="仿宋_GB2312"/>
                <w:sz w:val="24"/>
              </w:rPr>
              <w:t>开展校园招聘会、定制化等高校毕业生就业服务活动，有效提升毕业生求职竞争力和岗位匹配度</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严格落实工作机制，开展</w:t>
            </w:r>
            <w:r>
              <w:rPr>
                <w:rFonts w:ascii="仿宋_GB2312" w:hAnsi="仿宋_GB2312" w:cs="仿宋_GB2312" w:eastAsia="仿宋_GB2312"/>
                <w:sz w:val="24"/>
              </w:rPr>
              <w:t>“1131”离校未就业高校毕业生就业帮扶工作。</w:t>
            </w:r>
          </w:p>
          <w:p>
            <w:pPr>
              <w:pStyle w:val="null3"/>
              <w:ind w:firstLine="480"/>
              <w:jc w:val="left"/>
            </w:pPr>
            <w:r>
              <w:rPr>
                <w:rFonts w:ascii="仿宋_GB2312" w:hAnsi="仿宋_GB2312" w:cs="仿宋_GB2312" w:eastAsia="仿宋_GB2312"/>
                <w:sz w:val="24"/>
              </w:rPr>
              <w:t>四、服务期：</w:t>
            </w:r>
            <w:r>
              <w:rPr>
                <w:rFonts w:ascii="仿宋_GB2312" w:hAnsi="仿宋_GB2312" w:cs="仿宋_GB2312" w:eastAsia="仿宋_GB2312"/>
                <w:sz w:val="24"/>
              </w:rPr>
              <w:t>自合同签订之日起一年</w:t>
            </w:r>
            <w:r>
              <w:rPr>
                <w:rFonts w:ascii="仿宋_GB2312" w:hAnsi="仿宋_GB2312" w:cs="仿宋_GB2312" w:eastAsia="仿宋_GB2312"/>
                <w:sz w:val="24"/>
              </w:rPr>
              <w:t>。</w:t>
            </w:r>
          </w:p>
          <w:p>
            <w:pPr>
              <w:pStyle w:val="null3"/>
              <w:ind w:left="480"/>
              <w:jc w:val="left"/>
            </w:pPr>
            <w:r>
              <w:rPr>
                <w:rFonts w:ascii="仿宋_GB2312" w:hAnsi="仿宋_GB2312" w:cs="仿宋_GB2312" w:eastAsia="仿宋_GB2312"/>
                <w:sz w:val="24"/>
              </w:rPr>
              <w:t>五、工作要求：</w:t>
            </w:r>
          </w:p>
          <w:p>
            <w:pPr>
              <w:pStyle w:val="null3"/>
            </w:pPr>
            <w:r>
              <w:rPr>
                <w:rFonts w:ascii="仿宋_GB2312" w:hAnsi="仿宋_GB2312" w:cs="仿宋_GB2312" w:eastAsia="仿宋_GB2312"/>
                <w:sz w:val="24"/>
              </w:rPr>
              <w:t>设立专职就业导师负责驿站常态化值守，依托驿站阵地收集毕业生求职需求并建立台账，定向推送岗位和政策信息，精准进行求职能力赋能，累计举办特色活动不少于</w:t>
            </w:r>
            <w:r>
              <w:rPr>
                <w:rFonts w:ascii="仿宋_GB2312" w:hAnsi="仿宋_GB2312" w:cs="仿宋_GB2312" w:eastAsia="仿宋_GB2312"/>
                <w:sz w:val="24"/>
              </w:rPr>
              <w:t>20</w:t>
            </w:r>
            <w:r>
              <w:rPr>
                <w:rFonts w:ascii="仿宋_GB2312" w:hAnsi="仿宋_GB2312" w:cs="仿宋_GB2312" w:eastAsia="仿宋_GB2312"/>
                <w:sz w:val="24"/>
              </w:rPr>
              <w:t>场；结合产业用工需求与高校生源特点，摸排开发适配岗位，开展校园招聘及定制化就业服务活动不少于</w:t>
            </w:r>
            <w:r>
              <w:rPr>
                <w:rFonts w:ascii="仿宋_GB2312" w:hAnsi="仿宋_GB2312" w:cs="仿宋_GB2312" w:eastAsia="仿宋_GB2312"/>
                <w:sz w:val="24"/>
              </w:rPr>
              <w:t>4场；严格落实1131工作机制，确保离校未就业高校毕业生帮扶就业率不低于90%，困难毕业生帮扶就业率100%；及时反馈活动效果，汇总特色案例并进行宣传。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严格按照国家相关标准、行业标准、地方标准或者其他标准、规范标准执行。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进度款，合同履行完毕并验收合格，乙方无任何服务质量问题，开具发票后，达到付款条件起15个工作日内，支付合同总金额的40.0%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1.本项目为专门面向中小企业采购。 2.本项目属性为服务。 3.本项目采购标的所属行业为：其他未列明行业。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（9）本项目不接受联合体磋商。</w:t>
            </w:r>
          </w:p>
        </w:tc>
        <w:tc>
          <w:tcPr>
            <w:tcW w:type="dxa" w:w="1661"/>
          </w:tcPr>
          <w:p>
            <w:pPr>
              <w:pStyle w:val="null3"/>
            </w:pPr>
            <w:r>
              <w:rPr>
                <w:rFonts w:ascii="仿宋_GB2312" w:hAnsi="仿宋_GB2312" w:cs="仿宋_GB2312" w:eastAsia="仿宋_GB2312"/>
              </w:rPr>
              <w:t>中小企业声明函 承诺书.docx 报价表 资格证明文件.docx 磋商服务方案.docx 响应文件封面 关系关联承诺书.docx 残疾人福利性单位声明函 标的清单 响应函 商务条款偏离表.docx 监狱企业的证明文件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一、评审内容：（1）高校就业创业服务驿站日常运营方案及特色活动开展实施方案、（2）校园招聘会及定制化高校毕业生就业服务活动实施方案、（3）“1131”离校未就业高校毕业生就业帮扶工作实施方案。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服务应答表.docx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一、评审内容：（1）场地资源保障、（2）内部控制管理措施、（3）物料物资保障。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一、评审内容：（1）前期宣传方案、（2）后期宣传方案。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一、评审内容：制定合理、可行的各种突发情况①包含前置预警环节；②一般突发事件；③紧急类突发事件；④重大及以上突发事件的应急预案（如现场突发安全情况、停电、断网、设备故障及其他）。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项评审内容全部满足评审标准得12分，评审内容缺项每项扣3分，每有一项评审内容存在缺陷，根据缺陷内容，每出现一处缺陷扣0.5分，扣完为止。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1.项目负责人：具有类似项目（组织活动类）经验，每提供一份得2.5分，满分5分。 备注：提供相关证明材料。 2、团队配置：本项目专项服务团队基础配置需至少覆盖项目负责人、文案采编、运营、审核专员4类核心岗位，足额配齐上述4类岗位且每岗不少于1人的，得基础分4分。 在此基础上，为匹配项目全周期服务强度、保障多环节并行交付效率，专项服务团队额外增配同类岗位人员的，按以下标准叠加得分： ①文案采编岗在基础1人之外每增配1名专职采编人员，得2分； ②运营岗在基础1人之外每增配1名专职运营执行人员，得2分； ③审核专员岗在基础1人之外每增配1名专职内容审核人员，得2分； 本项总分最高不超过14分。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设施设备配置方案</w:t>
            </w:r>
          </w:p>
        </w:tc>
        <w:tc>
          <w:tcPr>
            <w:tcW w:type="dxa" w:w="2492"/>
          </w:tcPr>
          <w:p>
            <w:pPr>
              <w:pStyle w:val="null3"/>
            </w:pPr>
            <w:r>
              <w:rPr>
                <w:rFonts w:ascii="仿宋_GB2312" w:hAnsi="仿宋_GB2312" w:cs="仿宋_GB2312" w:eastAsia="仿宋_GB2312"/>
              </w:rPr>
              <w:t>针对本项目提供设施设备配置方案，内容须包含以下4项要素： 线上招聘设施设备配置方案； 线下招聘设施设备配置方案； 安全防护与应急设施设备配置方案； 设施设备运行与维护方案。 以上要素全部提供得4分，每缺少1项扣1分。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供应商针对本项目的服务响应，包括①与采购人配合的响应；②项目任务实施进度及任务响应效率；③项目服务时限内团队稳定；④驻场人员在期限内到位情况；⑤不能完全履行承诺时愿意接受相关处罚。 上述内容每提供一项计2分，满分10分。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类似项目业绩，每提供1份得2分，最高得12分；业绩证明（时间以合同（协议）签订时间或中标（成交）通知书落款时间为准，须在响应文件中附合同（协议）或中标（成交）通知书的扫描件加盖单位公章）弄虚作假者，取消其成交资格（不得与项目负责人业绩重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1.满足磋商文件实质性要求且最终报价最低的供应商的价格为磋商基准价，其价格分为满分15分。2.磋商总报价得分=(磋商基准价／最终磋商总报价)×15。注：计算分数时四舍五入取小数点后两位。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详见附件：关系关联承诺书.docx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