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528D3">
      <w:pPr>
        <w:jc w:val="center"/>
        <w:rPr>
          <w:rFonts w:hint="eastAsia" w:ascii="宋体" w:hAnsi="宋体" w:cs="宋体"/>
          <w:b/>
          <w:sz w:val="32"/>
          <w:szCs w:val="32"/>
          <w:highlight w:val="none"/>
        </w:rPr>
        <w:sectPr>
          <w:headerReference r:id="rId4" w:type="first"/>
          <w:footerReference r:id="rId6" w:type="first"/>
          <w:headerReference r:id="rId3" w:type="default"/>
          <w:footerReference r:id="rId5" w:type="default"/>
          <w:pgSz w:w="11906" w:h="16838"/>
          <w:pgMar w:top="1417" w:right="1417" w:bottom="1417" w:left="1559" w:header="850" w:footer="992" w:gutter="0"/>
          <w:cols w:space="0" w:num="1"/>
          <w:rtlGutter w:val="0"/>
          <w:docGrid w:type="lines" w:linePitch="312" w:charSpace="0"/>
        </w:sectPr>
      </w:pPr>
      <w:r>
        <w:drawing>
          <wp:inline distT="0" distB="0" distL="114300" distR="114300">
            <wp:extent cx="5687695" cy="7233920"/>
            <wp:effectExtent l="0" t="0" r="8255" b="508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5"/>
                    <a:stretch>
                      <a:fillRect/>
                    </a:stretch>
                  </pic:blipFill>
                  <pic:spPr>
                    <a:xfrm>
                      <a:off x="0" y="0"/>
                      <a:ext cx="5687695" cy="7233920"/>
                    </a:xfrm>
                    <a:prstGeom prst="rect">
                      <a:avLst/>
                    </a:prstGeom>
                    <a:noFill/>
                    <a:ln>
                      <a:noFill/>
                    </a:ln>
                  </pic:spPr>
                </pic:pic>
              </a:graphicData>
            </a:graphic>
          </wp:inline>
        </w:drawing>
      </w:r>
    </w:p>
    <w:p w14:paraId="3DF76715">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14:paraId="0EA27C05">
      <w:pPr>
        <w:jc w:val="center"/>
        <w:rPr>
          <w:rFonts w:hint="eastAsia" w:ascii="宋体" w:hAnsi="宋体" w:eastAsia="宋体" w:cs="宋体"/>
          <w:sz w:val="32"/>
          <w:highlight w:val="none"/>
        </w:rPr>
      </w:pPr>
    </w:p>
    <w:p w14:paraId="76ABA5D0">
      <w:pPr>
        <w:pStyle w:val="22"/>
        <w:tabs>
          <w:tab w:val="right" w:leader="dot" w:pos="8930"/>
        </w:tabs>
        <w:rPr>
          <w:rFonts w:hint="eastAsia" w:ascii="宋体" w:hAnsi="宋体" w:eastAsia="宋体" w:cs="宋体"/>
          <w:sz w:val="28"/>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TOC \o "1-2" \h \z \u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Cs w:val="0"/>
          <w:sz w:val="28"/>
          <w:szCs w:val="36"/>
          <w:highlight w:val="none"/>
        </w:rPr>
        <w:fldChar w:fldCharType="begin"/>
      </w:r>
      <w:r>
        <w:rPr>
          <w:rFonts w:hint="eastAsia" w:ascii="宋体" w:hAnsi="宋体" w:eastAsia="宋体" w:cs="宋体"/>
          <w:bCs w:val="0"/>
          <w:sz w:val="28"/>
          <w:szCs w:val="36"/>
          <w:highlight w:val="none"/>
        </w:rPr>
        <w:instrText xml:space="preserve"> HYPERLINK \l _Toc30826 </w:instrText>
      </w:r>
      <w:r>
        <w:rPr>
          <w:rFonts w:hint="eastAsia" w:ascii="宋体" w:hAnsi="宋体" w:eastAsia="宋体" w:cs="宋体"/>
          <w:bCs w:val="0"/>
          <w:sz w:val="28"/>
          <w:szCs w:val="36"/>
          <w:highlight w:val="none"/>
        </w:rPr>
        <w:fldChar w:fldCharType="separate"/>
      </w:r>
      <w:r>
        <w:rPr>
          <w:rFonts w:hint="eastAsia" w:ascii="宋体" w:hAnsi="宋体" w:eastAsia="宋体" w:cs="宋体"/>
          <w:sz w:val="28"/>
          <w:szCs w:val="40"/>
          <w:highlight w:val="none"/>
          <w:lang w:eastAsia="zh-CN"/>
        </w:rPr>
        <w:t>第一章</w:t>
      </w:r>
      <w:r>
        <w:rPr>
          <w:rFonts w:hint="eastAsia" w:ascii="宋体" w:hAnsi="宋体" w:eastAsia="宋体" w:cs="宋体"/>
          <w:sz w:val="28"/>
          <w:szCs w:val="40"/>
          <w:highlight w:val="none"/>
        </w:rPr>
        <w:t xml:space="preserve"> </w:t>
      </w:r>
      <w:r>
        <w:rPr>
          <w:rFonts w:hint="eastAsia" w:ascii="宋体" w:hAnsi="宋体" w:eastAsia="宋体" w:cs="宋体"/>
          <w:sz w:val="28"/>
          <w:szCs w:val="40"/>
          <w:highlight w:val="none"/>
          <w:lang w:eastAsia="zh-CN"/>
        </w:rPr>
        <w:t>竞争性谈判公告</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_Toc30826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1</w:t>
      </w:r>
      <w:r>
        <w:rPr>
          <w:rFonts w:hint="eastAsia" w:ascii="宋体" w:hAnsi="宋体" w:eastAsia="宋体" w:cs="宋体"/>
          <w:sz w:val="28"/>
          <w:szCs w:val="24"/>
          <w:highlight w:val="none"/>
        </w:rPr>
        <w:fldChar w:fldCharType="end"/>
      </w:r>
      <w:r>
        <w:rPr>
          <w:rFonts w:hint="eastAsia" w:ascii="宋体" w:hAnsi="宋体" w:eastAsia="宋体" w:cs="宋体"/>
          <w:bCs w:val="0"/>
          <w:sz w:val="28"/>
          <w:szCs w:val="36"/>
          <w:highlight w:val="none"/>
        </w:rPr>
        <w:fldChar w:fldCharType="end"/>
      </w:r>
    </w:p>
    <w:p w14:paraId="3833C390">
      <w:pPr>
        <w:pStyle w:val="22"/>
        <w:tabs>
          <w:tab w:val="right" w:leader="dot" w:pos="8930"/>
        </w:tabs>
        <w:rPr>
          <w:rFonts w:hint="eastAsia" w:ascii="宋体" w:hAnsi="宋体" w:eastAsia="宋体" w:cs="宋体"/>
          <w:sz w:val="28"/>
          <w:szCs w:val="24"/>
          <w:highlight w:val="none"/>
        </w:rPr>
      </w:pPr>
      <w:r>
        <w:rPr>
          <w:rFonts w:hint="eastAsia" w:ascii="宋体" w:hAnsi="宋体" w:eastAsia="宋体" w:cs="宋体"/>
          <w:bCs w:val="0"/>
          <w:sz w:val="28"/>
          <w:szCs w:val="36"/>
          <w:highlight w:val="none"/>
        </w:rPr>
        <w:fldChar w:fldCharType="begin"/>
      </w:r>
      <w:r>
        <w:rPr>
          <w:rFonts w:hint="eastAsia" w:ascii="宋体" w:hAnsi="宋体" w:eastAsia="宋体" w:cs="宋体"/>
          <w:bCs w:val="0"/>
          <w:sz w:val="28"/>
          <w:szCs w:val="36"/>
          <w:highlight w:val="none"/>
        </w:rPr>
        <w:instrText xml:space="preserve"> HYPERLINK \l _Toc26697 </w:instrText>
      </w:r>
      <w:r>
        <w:rPr>
          <w:rFonts w:hint="eastAsia" w:ascii="宋体" w:hAnsi="宋体" w:eastAsia="宋体" w:cs="宋体"/>
          <w:bCs w:val="0"/>
          <w:sz w:val="28"/>
          <w:szCs w:val="36"/>
          <w:highlight w:val="none"/>
        </w:rPr>
        <w:fldChar w:fldCharType="separate"/>
      </w:r>
      <w:r>
        <w:rPr>
          <w:rFonts w:hint="eastAsia" w:ascii="宋体" w:hAnsi="宋体" w:eastAsia="宋体" w:cs="宋体"/>
          <w:kern w:val="0"/>
          <w:sz w:val="28"/>
          <w:szCs w:val="40"/>
          <w:highlight w:val="none"/>
        </w:rPr>
        <w:t>第二章 供应商须知</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_Toc26697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7</w:t>
      </w:r>
      <w:r>
        <w:rPr>
          <w:rFonts w:hint="eastAsia" w:ascii="宋体" w:hAnsi="宋体" w:eastAsia="宋体" w:cs="宋体"/>
          <w:sz w:val="28"/>
          <w:szCs w:val="24"/>
          <w:highlight w:val="none"/>
        </w:rPr>
        <w:fldChar w:fldCharType="end"/>
      </w:r>
      <w:r>
        <w:rPr>
          <w:rFonts w:hint="eastAsia" w:ascii="宋体" w:hAnsi="宋体" w:eastAsia="宋体" w:cs="宋体"/>
          <w:bCs w:val="0"/>
          <w:sz w:val="28"/>
          <w:szCs w:val="36"/>
          <w:highlight w:val="none"/>
        </w:rPr>
        <w:fldChar w:fldCharType="end"/>
      </w:r>
    </w:p>
    <w:p w14:paraId="5A4E7116">
      <w:pPr>
        <w:pStyle w:val="22"/>
        <w:tabs>
          <w:tab w:val="right" w:leader="dot" w:pos="8930"/>
        </w:tabs>
        <w:rPr>
          <w:rFonts w:hint="eastAsia" w:ascii="宋体" w:hAnsi="宋体" w:eastAsia="宋体" w:cs="宋体"/>
          <w:sz w:val="28"/>
          <w:szCs w:val="24"/>
          <w:highlight w:val="none"/>
        </w:rPr>
      </w:pPr>
      <w:r>
        <w:rPr>
          <w:rFonts w:hint="eastAsia" w:ascii="宋体" w:hAnsi="宋体" w:eastAsia="宋体" w:cs="宋体"/>
          <w:bCs w:val="0"/>
          <w:sz w:val="28"/>
          <w:szCs w:val="36"/>
          <w:highlight w:val="none"/>
        </w:rPr>
        <w:fldChar w:fldCharType="begin"/>
      </w:r>
      <w:r>
        <w:rPr>
          <w:rFonts w:hint="eastAsia" w:ascii="宋体" w:hAnsi="宋体" w:eastAsia="宋体" w:cs="宋体"/>
          <w:bCs w:val="0"/>
          <w:sz w:val="28"/>
          <w:szCs w:val="36"/>
          <w:highlight w:val="none"/>
        </w:rPr>
        <w:instrText xml:space="preserve"> HYPERLINK \l _Toc24924 </w:instrText>
      </w:r>
      <w:r>
        <w:rPr>
          <w:rFonts w:hint="eastAsia" w:ascii="宋体" w:hAnsi="宋体" w:eastAsia="宋体" w:cs="宋体"/>
          <w:bCs w:val="0"/>
          <w:sz w:val="28"/>
          <w:szCs w:val="36"/>
          <w:highlight w:val="none"/>
        </w:rPr>
        <w:fldChar w:fldCharType="separate"/>
      </w:r>
      <w:r>
        <w:rPr>
          <w:rFonts w:hint="eastAsia" w:ascii="宋体" w:hAnsi="宋体" w:eastAsia="宋体" w:cs="宋体"/>
          <w:bCs/>
          <w:sz w:val="28"/>
          <w:szCs w:val="44"/>
          <w:highlight w:val="none"/>
        </w:rPr>
        <w:t>第三章 谈判方法</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_Toc24924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39</w:t>
      </w:r>
      <w:r>
        <w:rPr>
          <w:rFonts w:hint="eastAsia" w:ascii="宋体" w:hAnsi="宋体" w:eastAsia="宋体" w:cs="宋体"/>
          <w:sz w:val="28"/>
          <w:szCs w:val="24"/>
          <w:highlight w:val="none"/>
        </w:rPr>
        <w:fldChar w:fldCharType="end"/>
      </w:r>
      <w:r>
        <w:rPr>
          <w:rFonts w:hint="eastAsia" w:ascii="宋体" w:hAnsi="宋体" w:eastAsia="宋体" w:cs="宋体"/>
          <w:bCs w:val="0"/>
          <w:sz w:val="28"/>
          <w:szCs w:val="36"/>
          <w:highlight w:val="none"/>
        </w:rPr>
        <w:fldChar w:fldCharType="end"/>
      </w:r>
    </w:p>
    <w:p w14:paraId="15CABF48">
      <w:pPr>
        <w:pStyle w:val="22"/>
        <w:tabs>
          <w:tab w:val="right" w:leader="dot" w:pos="8930"/>
        </w:tabs>
        <w:rPr>
          <w:rFonts w:hint="eastAsia" w:ascii="宋体" w:hAnsi="宋体" w:eastAsia="宋体" w:cs="宋体"/>
          <w:sz w:val="28"/>
          <w:szCs w:val="24"/>
          <w:highlight w:val="none"/>
        </w:rPr>
      </w:pPr>
      <w:r>
        <w:rPr>
          <w:rFonts w:hint="eastAsia" w:ascii="宋体" w:hAnsi="宋体" w:eastAsia="宋体" w:cs="宋体"/>
          <w:bCs w:val="0"/>
          <w:sz w:val="28"/>
          <w:szCs w:val="36"/>
          <w:highlight w:val="none"/>
        </w:rPr>
        <w:fldChar w:fldCharType="begin"/>
      </w:r>
      <w:r>
        <w:rPr>
          <w:rFonts w:hint="eastAsia" w:ascii="宋体" w:hAnsi="宋体" w:eastAsia="宋体" w:cs="宋体"/>
          <w:bCs w:val="0"/>
          <w:sz w:val="28"/>
          <w:szCs w:val="36"/>
          <w:highlight w:val="none"/>
        </w:rPr>
        <w:instrText xml:space="preserve"> HYPERLINK \l _Toc529 </w:instrText>
      </w:r>
      <w:r>
        <w:rPr>
          <w:rFonts w:hint="eastAsia" w:ascii="宋体" w:hAnsi="宋体" w:eastAsia="宋体" w:cs="宋体"/>
          <w:bCs w:val="0"/>
          <w:sz w:val="28"/>
          <w:szCs w:val="36"/>
          <w:highlight w:val="none"/>
        </w:rPr>
        <w:fldChar w:fldCharType="separate"/>
      </w:r>
      <w:r>
        <w:rPr>
          <w:rFonts w:hint="eastAsia" w:ascii="宋体" w:hAnsi="宋体" w:eastAsia="宋体" w:cs="宋体"/>
          <w:kern w:val="0"/>
          <w:sz w:val="28"/>
          <w:szCs w:val="44"/>
          <w:highlight w:val="none"/>
        </w:rPr>
        <w:t>第四章 合同条款及格式</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_Toc529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48</w:t>
      </w:r>
      <w:r>
        <w:rPr>
          <w:rFonts w:hint="eastAsia" w:ascii="宋体" w:hAnsi="宋体" w:eastAsia="宋体" w:cs="宋体"/>
          <w:sz w:val="28"/>
          <w:szCs w:val="24"/>
          <w:highlight w:val="none"/>
        </w:rPr>
        <w:fldChar w:fldCharType="end"/>
      </w:r>
      <w:r>
        <w:rPr>
          <w:rFonts w:hint="eastAsia" w:ascii="宋体" w:hAnsi="宋体" w:eastAsia="宋体" w:cs="宋体"/>
          <w:bCs w:val="0"/>
          <w:sz w:val="28"/>
          <w:szCs w:val="36"/>
          <w:highlight w:val="none"/>
        </w:rPr>
        <w:fldChar w:fldCharType="end"/>
      </w:r>
    </w:p>
    <w:p w14:paraId="0DBFE8EA">
      <w:pPr>
        <w:pStyle w:val="22"/>
        <w:tabs>
          <w:tab w:val="right" w:leader="dot" w:pos="8930"/>
        </w:tabs>
        <w:rPr>
          <w:rFonts w:hint="eastAsia" w:ascii="宋体" w:hAnsi="宋体" w:eastAsia="宋体" w:cs="宋体"/>
          <w:sz w:val="28"/>
          <w:szCs w:val="24"/>
          <w:highlight w:val="none"/>
        </w:rPr>
      </w:pPr>
      <w:r>
        <w:rPr>
          <w:rFonts w:hint="eastAsia" w:ascii="宋体" w:hAnsi="宋体" w:eastAsia="宋体" w:cs="宋体"/>
          <w:bCs w:val="0"/>
          <w:sz w:val="28"/>
          <w:szCs w:val="36"/>
          <w:highlight w:val="none"/>
        </w:rPr>
        <w:fldChar w:fldCharType="begin"/>
      </w:r>
      <w:r>
        <w:rPr>
          <w:rFonts w:hint="eastAsia" w:ascii="宋体" w:hAnsi="宋体" w:eastAsia="宋体" w:cs="宋体"/>
          <w:bCs w:val="0"/>
          <w:sz w:val="28"/>
          <w:szCs w:val="36"/>
          <w:highlight w:val="none"/>
        </w:rPr>
        <w:instrText xml:space="preserve"> HYPERLINK \l _Toc10487 </w:instrText>
      </w:r>
      <w:r>
        <w:rPr>
          <w:rFonts w:hint="eastAsia" w:ascii="宋体" w:hAnsi="宋体" w:eastAsia="宋体" w:cs="宋体"/>
          <w:bCs w:val="0"/>
          <w:sz w:val="28"/>
          <w:szCs w:val="36"/>
          <w:highlight w:val="none"/>
        </w:rPr>
        <w:fldChar w:fldCharType="separate"/>
      </w:r>
      <w:r>
        <w:rPr>
          <w:rFonts w:hint="eastAsia" w:ascii="宋体" w:hAnsi="宋体" w:eastAsia="宋体" w:cs="宋体"/>
          <w:kern w:val="0"/>
          <w:sz w:val="28"/>
          <w:szCs w:val="40"/>
          <w:highlight w:val="none"/>
        </w:rPr>
        <w:t>第五章 采购</w:t>
      </w:r>
      <w:r>
        <w:rPr>
          <w:rFonts w:hint="eastAsia" w:ascii="宋体" w:hAnsi="宋体" w:cs="宋体"/>
          <w:kern w:val="0"/>
          <w:sz w:val="28"/>
          <w:szCs w:val="40"/>
          <w:highlight w:val="none"/>
          <w:lang w:eastAsia="zh-CN"/>
        </w:rPr>
        <w:t>需求</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_Toc10487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54</w:t>
      </w:r>
      <w:r>
        <w:rPr>
          <w:rFonts w:hint="eastAsia" w:ascii="宋体" w:hAnsi="宋体" w:eastAsia="宋体" w:cs="宋体"/>
          <w:sz w:val="28"/>
          <w:szCs w:val="24"/>
          <w:highlight w:val="none"/>
        </w:rPr>
        <w:fldChar w:fldCharType="end"/>
      </w:r>
      <w:r>
        <w:rPr>
          <w:rFonts w:hint="eastAsia" w:ascii="宋体" w:hAnsi="宋体" w:eastAsia="宋体" w:cs="宋体"/>
          <w:bCs w:val="0"/>
          <w:sz w:val="28"/>
          <w:szCs w:val="36"/>
          <w:highlight w:val="none"/>
        </w:rPr>
        <w:fldChar w:fldCharType="end"/>
      </w:r>
    </w:p>
    <w:p w14:paraId="6FEE122F">
      <w:pPr>
        <w:pStyle w:val="22"/>
        <w:tabs>
          <w:tab w:val="right" w:leader="dot" w:pos="8930"/>
        </w:tabs>
        <w:rPr>
          <w:highlight w:val="none"/>
        </w:rPr>
      </w:pPr>
      <w:r>
        <w:rPr>
          <w:rFonts w:hint="eastAsia" w:ascii="宋体" w:hAnsi="宋体" w:eastAsia="宋体" w:cs="宋体"/>
          <w:bCs w:val="0"/>
          <w:sz w:val="28"/>
          <w:szCs w:val="36"/>
          <w:highlight w:val="none"/>
        </w:rPr>
        <w:fldChar w:fldCharType="begin"/>
      </w:r>
      <w:r>
        <w:rPr>
          <w:rFonts w:hint="eastAsia" w:ascii="宋体" w:hAnsi="宋体" w:eastAsia="宋体" w:cs="宋体"/>
          <w:bCs w:val="0"/>
          <w:sz w:val="28"/>
          <w:szCs w:val="36"/>
          <w:highlight w:val="none"/>
        </w:rPr>
        <w:instrText xml:space="preserve"> HYPERLINK \l _Toc14624 </w:instrText>
      </w:r>
      <w:r>
        <w:rPr>
          <w:rFonts w:hint="eastAsia" w:ascii="宋体" w:hAnsi="宋体" w:eastAsia="宋体" w:cs="宋体"/>
          <w:bCs w:val="0"/>
          <w:sz w:val="28"/>
          <w:szCs w:val="36"/>
          <w:highlight w:val="none"/>
        </w:rPr>
        <w:fldChar w:fldCharType="separate"/>
      </w:r>
      <w:r>
        <w:rPr>
          <w:rFonts w:hint="eastAsia" w:ascii="宋体" w:hAnsi="宋体" w:eastAsia="宋体" w:cs="宋体"/>
          <w:bCs/>
          <w:kern w:val="0"/>
          <w:sz w:val="28"/>
          <w:szCs w:val="48"/>
          <w:highlight w:val="none"/>
        </w:rPr>
        <w:t>第六章 竞争性谈判响应文件格式</w:t>
      </w:r>
      <w:r>
        <w:rPr>
          <w:rFonts w:hint="eastAsia" w:ascii="宋体" w:hAnsi="宋体" w:eastAsia="宋体" w:cs="宋体"/>
          <w:sz w:val="28"/>
          <w:szCs w:val="24"/>
          <w:highlight w:val="none"/>
        </w:rPr>
        <w:tab/>
      </w:r>
      <w:r>
        <w:rPr>
          <w:rFonts w:hint="eastAsia" w:ascii="宋体" w:hAnsi="宋体" w:eastAsia="宋体" w:cs="宋体"/>
          <w:sz w:val="28"/>
          <w:szCs w:val="24"/>
          <w:highlight w:val="none"/>
        </w:rPr>
        <w:fldChar w:fldCharType="begin"/>
      </w:r>
      <w:r>
        <w:rPr>
          <w:rFonts w:hint="eastAsia" w:ascii="宋体" w:hAnsi="宋体" w:eastAsia="宋体" w:cs="宋体"/>
          <w:sz w:val="28"/>
          <w:szCs w:val="24"/>
          <w:highlight w:val="none"/>
        </w:rPr>
        <w:instrText xml:space="preserve"> PAGEREF _Toc14624 \h </w:instrText>
      </w:r>
      <w:r>
        <w:rPr>
          <w:rFonts w:hint="eastAsia" w:ascii="宋体" w:hAnsi="宋体" w:eastAsia="宋体" w:cs="宋体"/>
          <w:sz w:val="28"/>
          <w:szCs w:val="24"/>
          <w:highlight w:val="none"/>
        </w:rPr>
        <w:fldChar w:fldCharType="separate"/>
      </w:r>
      <w:r>
        <w:rPr>
          <w:rFonts w:hint="eastAsia" w:ascii="宋体" w:hAnsi="宋体" w:eastAsia="宋体" w:cs="宋体"/>
          <w:sz w:val="28"/>
          <w:szCs w:val="24"/>
          <w:highlight w:val="none"/>
        </w:rPr>
        <w:t>65</w:t>
      </w:r>
      <w:r>
        <w:rPr>
          <w:rFonts w:hint="eastAsia" w:ascii="宋体" w:hAnsi="宋体" w:eastAsia="宋体" w:cs="宋体"/>
          <w:sz w:val="28"/>
          <w:szCs w:val="24"/>
          <w:highlight w:val="none"/>
        </w:rPr>
        <w:fldChar w:fldCharType="end"/>
      </w:r>
      <w:r>
        <w:rPr>
          <w:rFonts w:hint="eastAsia" w:ascii="宋体" w:hAnsi="宋体" w:eastAsia="宋体" w:cs="宋体"/>
          <w:bCs w:val="0"/>
          <w:sz w:val="28"/>
          <w:szCs w:val="36"/>
          <w:highlight w:val="none"/>
        </w:rPr>
        <w:fldChar w:fldCharType="end"/>
      </w:r>
    </w:p>
    <w:p w14:paraId="199BE22E">
      <w:pPr>
        <w:pStyle w:val="25"/>
        <w:tabs>
          <w:tab w:val="right" w:leader="dot" w:pos="8930"/>
        </w:tabs>
        <w:rPr>
          <w:highlight w:val="none"/>
        </w:rPr>
      </w:pPr>
    </w:p>
    <w:p w14:paraId="13F96158">
      <w:pPr>
        <w:rPr>
          <w:rFonts w:hint="eastAsia" w:ascii="宋体" w:hAnsi="宋体" w:eastAsia="宋体" w:cs="宋体"/>
          <w:sz w:val="32"/>
          <w:highlight w:val="none"/>
        </w:rPr>
      </w:pPr>
      <w:r>
        <w:rPr>
          <w:rFonts w:hint="eastAsia" w:ascii="宋体" w:hAnsi="宋体" w:eastAsia="宋体" w:cs="宋体"/>
          <w:bCs w:val="0"/>
          <w:szCs w:val="24"/>
          <w:highlight w:val="none"/>
        </w:rPr>
        <w:fldChar w:fldCharType="end"/>
      </w:r>
    </w:p>
    <w:p w14:paraId="58C082AA">
      <w:pPr>
        <w:jc w:val="center"/>
        <w:rPr>
          <w:rFonts w:hint="eastAsia" w:ascii="宋体" w:hAnsi="宋体" w:eastAsia="宋体" w:cs="宋体"/>
          <w:b/>
          <w:sz w:val="44"/>
          <w:highlight w:val="none"/>
        </w:rPr>
      </w:pPr>
    </w:p>
    <w:p w14:paraId="5E643EBC">
      <w:pPr>
        <w:jc w:val="center"/>
        <w:rPr>
          <w:rFonts w:hint="eastAsia" w:ascii="宋体" w:hAnsi="宋体" w:eastAsia="宋体" w:cs="宋体"/>
          <w:b/>
          <w:sz w:val="44"/>
          <w:highlight w:val="none"/>
        </w:rPr>
      </w:pPr>
    </w:p>
    <w:p w14:paraId="55C9BDB3">
      <w:pPr>
        <w:pStyle w:val="5"/>
        <w:numPr>
          <w:ilvl w:val="0"/>
          <w:numId w:val="1"/>
        </w:numPr>
        <w:rPr>
          <w:rFonts w:hint="eastAsia" w:ascii="宋体" w:hAnsi="宋体" w:eastAsia="宋体" w:cs="宋体"/>
          <w:sz w:val="28"/>
          <w:szCs w:val="24"/>
          <w:highlight w:val="none"/>
        </w:rPr>
        <w:sectPr>
          <w:headerReference r:id="rId8" w:type="first"/>
          <w:footerReference r:id="rId9" w:type="first"/>
          <w:headerReference r:id="rId7" w:type="default"/>
          <w:pgSz w:w="11906" w:h="16838"/>
          <w:pgMar w:top="1417" w:right="1417" w:bottom="1417" w:left="1559" w:header="850" w:footer="992" w:gutter="0"/>
          <w:pgBorders>
            <w:top w:val="none" w:sz="0" w:space="0"/>
            <w:left w:val="none" w:sz="0" w:space="0"/>
            <w:bottom w:val="none" w:sz="0" w:space="0"/>
            <w:right w:val="none" w:sz="0" w:space="0"/>
          </w:pgBorders>
          <w:pgNumType w:fmt="decimal"/>
          <w:cols w:space="0" w:num="1"/>
          <w:rtlGutter w:val="0"/>
          <w:docGrid w:type="lines" w:linePitch="312" w:charSpace="0"/>
        </w:sectPr>
      </w:pPr>
      <w:bookmarkStart w:id="0" w:name="_Toc495674326"/>
    </w:p>
    <w:p w14:paraId="5A94C02D">
      <w:pPr>
        <w:pStyle w:val="4"/>
        <w:bidi w:val="0"/>
        <w:jc w:val="center"/>
        <w:rPr>
          <w:rFonts w:hint="eastAsia"/>
          <w:highlight w:val="none"/>
        </w:rPr>
      </w:pPr>
      <w:bookmarkStart w:id="1" w:name="_Toc30826"/>
      <w:r>
        <w:rPr>
          <w:rFonts w:hint="eastAsia"/>
          <w:highlight w:val="none"/>
          <w:lang w:eastAsia="zh-CN"/>
        </w:rPr>
        <w:t>第一章</w:t>
      </w:r>
      <w:r>
        <w:rPr>
          <w:rFonts w:hint="eastAsia"/>
          <w:highlight w:val="none"/>
        </w:rPr>
        <w:t xml:space="preserve"> </w:t>
      </w:r>
      <w:bookmarkEnd w:id="0"/>
      <w:bookmarkStart w:id="2" w:name="_Toc495674327"/>
      <w:r>
        <w:rPr>
          <w:rFonts w:hint="eastAsia"/>
          <w:highlight w:val="none"/>
          <w:lang w:eastAsia="zh-CN"/>
        </w:rPr>
        <w:t>竞争性谈判公告</w:t>
      </w:r>
      <w:bookmarkEnd w:id="1"/>
    </w:p>
    <w:p w14:paraId="69C24766">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项目概况</w:t>
      </w:r>
    </w:p>
    <w:p w14:paraId="31A6631B">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麟游县2026年度省级林业草原改革发展资金野生动物收容救护能力提升项目(二次)</w:t>
      </w:r>
      <w:r>
        <w:rPr>
          <w:rFonts w:hint="eastAsia" w:ascii="宋体" w:hAnsi="宋体" w:eastAsia="宋体" w:cs="宋体"/>
          <w:color w:val="auto"/>
          <w:sz w:val="24"/>
          <w:szCs w:val="24"/>
          <w:highlight w:val="none"/>
        </w:rPr>
        <w:t>的潜在供应商应在全国公共资源交易平台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陕西省.宝鸡市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获取采购文件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时00分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前提交响应文件。</w:t>
      </w:r>
    </w:p>
    <w:p w14:paraId="25FC8E61">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74FA3E5D">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XSLZZC-2026-07-001.1B1</w:t>
      </w:r>
    </w:p>
    <w:p w14:paraId="49FA249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val="en-US" w:eastAsia="zh-CN"/>
        </w:rPr>
        <w:t>麟游县2026年度省级林业草原改革发展资金野生动物收容救护能力提升项目(二次)</w:t>
      </w:r>
    </w:p>
    <w:p w14:paraId="30DFCF7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采购方式：竞争性</w:t>
      </w:r>
      <w:r>
        <w:rPr>
          <w:rFonts w:hint="eastAsia" w:ascii="宋体" w:hAnsi="宋体" w:cs="宋体"/>
          <w:color w:val="auto"/>
          <w:sz w:val="24"/>
          <w:szCs w:val="24"/>
          <w:highlight w:val="none"/>
          <w:lang w:eastAsia="zh-CN"/>
        </w:rPr>
        <w:t>谈判</w:t>
      </w:r>
    </w:p>
    <w:p w14:paraId="2272D50D">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300</w:t>
      </w:r>
      <w:r>
        <w:rPr>
          <w:rFonts w:hint="eastAsia" w:ascii="宋体" w:hAnsi="宋体" w:eastAsia="宋体" w:cs="宋体"/>
          <w:color w:val="auto"/>
          <w:sz w:val="24"/>
          <w:szCs w:val="24"/>
          <w:highlight w:val="none"/>
        </w:rPr>
        <w:t>000.00元</w:t>
      </w:r>
    </w:p>
    <w:p w14:paraId="1C9A573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332274CA">
      <w:pPr>
        <w:keepNext w:val="0"/>
        <w:keepLines w:val="0"/>
        <w:pageBreakBefore w:val="0"/>
        <w:widowControl w:val="0"/>
        <w:kinsoku/>
        <w:wordWrap/>
        <w:overflowPunct/>
        <w:topLinePunct w:val="0"/>
        <w:autoSpaceDE/>
        <w:autoSpaceDN/>
        <w:bidi w:val="0"/>
        <w:adjustRightInd w:val="0"/>
        <w:snapToGrid w:val="0"/>
        <w:spacing w:line="52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cs="宋体"/>
          <w:color w:val="auto"/>
          <w:sz w:val="24"/>
          <w:szCs w:val="24"/>
          <w:highlight w:val="none"/>
          <w:lang w:val="en-US" w:eastAsia="zh-CN"/>
        </w:rPr>
        <w:t>麟游县2026年度省级林业草原改革发展资金野生动物收容救护能力提升项目</w:t>
      </w:r>
      <w:r>
        <w:rPr>
          <w:rFonts w:hint="eastAsia" w:ascii="宋体" w:hAnsi="宋体" w:eastAsia="宋体" w:cs="宋体"/>
          <w:color w:val="auto"/>
          <w:sz w:val="24"/>
          <w:szCs w:val="24"/>
          <w:highlight w:val="none"/>
        </w:rPr>
        <w:t>):</w:t>
      </w:r>
    </w:p>
    <w:p w14:paraId="0961AEA2">
      <w:pPr>
        <w:keepNext w:val="0"/>
        <w:keepLines w:val="0"/>
        <w:pageBreakBefore w:val="0"/>
        <w:widowControl w:val="0"/>
        <w:kinsoku/>
        <w:wordWrap/>
        <w:overflowPunct/>
        <w:topLinePunct w:val="0"/>
        <w:autoSpaceDE/>
        <w:autoSpaceDN/>
        <w:bidi w:val="0"/>
        <w:adjustRightInd w:val="0"/>
        <w:snapToGrid w:val="0"/>
        <w:spacing w:line="52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w:t>
      </w:r>
      <w:r>
        <w:rPr>
          <w:rFonts w:hint="eastAsia" w:ascii="宋体" w:hAnsi="宋体" w:cs="宋体"/>
          <w:color w:val="auto"/>
          <w:sz w:val="24"/>
          <w:szCs w:val="24"/>
          <w:highlight w:val="none"/>
          <w:lang w:val="en-US" w:eastAsia="zh-CN"/>
        </w:rPr>
        <w:t>300</w:t>
      </w:r>
      <w:r>
        <w:rPr>
          <w:rFonts w:hint="eastAsia" w:ascii="宋体" w:hAnsi="宋体" w:eastAsia="宋体" w:cs="宋体"/>
          <w:color w:val="auto"/>
          <w:sz w:val="24"/>
          <w:szCs w:val="24"/>
          <w:highlight w:val="none"/>
        </w:rPr>
        <w:t>000.00元</w:t>
      </w:r>
    </w:p>
    <w:p w14:paraId="13F4649A">
      <w:pPr>
        <w:keepNext w:val="0"/>
        <w:keepLines w:val="0"/>
        <w:pageBreakBefore w:val="0"/>
        <w:widowControl w:val="0"/>
        <w:kinsoku/>
        <w:wordWrap/>
        <w:overflowPunct/>
        <w:topLinePunct w:val="0"/>
        <w:autoSpaceDE/>
        <w:autoSpaceDN/>
        <w:bidi w:val="0"/>
        <w:adjustRightInd w:val="0"/>
        <w:snapToGrid w:val="0"/>
        <w:spacing w:after="156" w:afterLines="50" w:line="520" w:lineRule="exact"/>
        <w:ind w:firstLine="960" w:firstLineChars="400"/>
        <w:textAlignment w:val="auto"/>
        <w:rPr>
          <w:rFonts w:hint="eastAsia"/>
          <w:color w:val="auto"/>
          <w:highlight w:val="none"/>
        </w:rPr>
      </w:pPr>
      <w:r>
        <w:rPr>
          <w:rFonts w:hint="eastAsia" w:ascii="宋体" w:hAnsi="宋体" w:eastAsia="宋体" w:cs="宋体"/>
          <w:color w:val="auto"/>
          <w:sz w:val="24"/>
          <w:szCs w:val="24"/>
          <w:highlight w:val="none"/>
        </w:rPr>
        <w:t>合同包最高限价：</w:t>
      </w:r>
      <w:r>
        <w:rPr>
          <w:rFonts w:hint="eastAsia" w:ascii="宋体" w:hAnsi="宋体" w:cs="宋体"/>
          <w:color w:val="auto"/>
          <w:sz w:val="24"/>
          <w:szCs w:val="24"/>
          <w:highlight w:val="none"/>
          <w:lang w:val="en-US" w:eastAsia="zh-CN"/>
        </w:rPr>
        <w:t>262500</w:t>
      </w:r>
      <w:r>
        <w:rPr>
          <w:rFonts w:hint="eastAsia" w:ascii="宋体" w:hAnsi="宋体" w:eastAsia="宋体" w:cs="宋体"/>
          <w:color w:val="auto"/>
          <w:sz w:val="24"/>
          <w:szCs w:val="24"/>
          <w:highlight w:val="none"/>
        </w:rPr>
        <w:t>.00元</w:t>
      </w:r>
    </w:p>
    <w:tbl>
      <w:tblPr>
        <w:tblStyle w:val="31"/>
        <w:tblW w:w="4996" w:type="pct"/>
        <w:jc w:val="center"/>
        <w:shd w:val="clear" w:color="auto" w:fill="FFFFFF"/>
        <w:tblLayout w:type="autofit"/>
        <w:tblCellMar>
          <w:top w:w="0" w:type="dxa"/>
          <w:left w:w="0" w:type="dxa"/>
          <w:bottom w:w="0" w:type="dxa"/>
          <w:right w:w="0" w:type="dxa"/>
        </w:tblCellMar>
      </w:tblPr>
      <w:tblGrid>
        <w:gridCol w:w="821"/>
        <w:gridCol w:w="1332"/>
        <w:gridCol w:w="2421"/>
        <w:gridCol w:w="1499"/>
        <w:gridCol w:w="1455"/>
        <w:gridCol w:w="1635"/>
      </w:tblGrid>
      <w:tr w14:paraId="7642AF94">
        <w:tblPrEx>
          <w:shd w:val="clear" w:color="auto" w:fill="FFFFFF"/>
          <w:tblCellMar>
            <w:top w:w="0" w:type="dxa"/>
            <w:left w:w="0" w:type="dxa"/>
            <w:bottom w:w="0" w:type="dxa"/>
            <w:right w:w="0" w:type="dxa"/>
          </w:tblCellMar>
        </w:tblPrEx>
        <w:trPr>
          <w:trHeight w:val="644" w:hRule="atLeast"/>
          <w:tblHeader/>
          <w:jc w:val="center"/>
        </w:trPr>
        <w:tc>
          <w:tcPr>
            <w:tcW w:w="448"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94BC0A2">
            <w:pPr>
              <w:widowControl/>
              <w:wordWrap w:val="0"/>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品目号</w:t>
            </w:r>
          </w:p>
        </w:tc>
        <w:tc>
          <w:tcPr>
            <w:tcW w:w="727"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2C73CFBC">
            <w:pPr>
              <w:widowControl/>
              <w:wordWrap w:val="0"/>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品目名称</w:t>
            </w:r>
          </w:p>
        </w:tc>
        <w:tc>
          <w:tcPr>
            <w:tcW w:w="1321"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46E083E">
            <w:pPr>
              <w:widowControl/>
              <w:wordWrap w:val="0"/>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采购标的</w:t>
            </w:r>
          </w:p>
        </w:tc>
        <w:tc>
          <w:tcPr>
            <w:tcW w:w="818"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F090627">
            <w:pPr>
              <w:widowControl/>
              <w:wordWrap w:val="0"/>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p w14:paraId="47E757A5">
            <w:pPr>
              <w:widowControl/>
              <w:wordWrap w:val="0"/>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794"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E2086AA">
            <w:pPr>
              <w:widowControl/>
              <w:wordWrap w:val="0"/>
              <w:jc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技术规格</w:t>
            </w:r>
          </w:p>
          <w:p w14:paraId="3FCB9758">
            <w:pPr>
              <w:widowControl/>
              <w:wordWrap w:val="0"/>
              <w:jc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参数及要求</w:t>
            </w:r>
          </w:p>
        </w:tc>
        <w:tc>
          <w:tcPr>
            <w:tcW w:w="1519"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30BEFB97">
            <w:pPr>
              <w:widowControl/>
              <w:wordWrap w:val="0"/>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品目预算(元)</w:t>
            </w:r>
          </w:p>
        </w:tc>
      </w:tr>
      <w:tr w14:paraId="372EB810">
        <w:tblPrEx>
          <w:tblCellMar>
            <w:top w:w="0" w:type="dxa"/>
            <w:left w:w="0" w:type="dxa"/>
            <w:bottom w:w="0" w:type="dxa"/>
            <w:right w:w="0" w:type="dxa"/>
          </w:tblCellMar>
        </w:tblPrEx>
        <w:trPr>
          <w:trHeight w:val="1111" w:hRule="atLeast"/>
          <w:jc w:val="center"/>
        </w:trPr>
        <w:tc>
          <w:tcPr>
            <w:tcW w:w="448"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9FC4849">
            <w:pPr>
              <w:widowControl/>
              <w:wordWrap w:val="0"/>
              <w:spacing w:line="240" w:lineRule="exact"/>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727"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32984B10">
            <w:pPr>
              <w:widowControl/>
              <w:wordWrap w:val="0"/>
              <w:spacing w:line="240" w:lineRule="exact"/>
              <w:jc w:val="center"/>
              <w:textAlignment w:val="center"/>
              <w:rPr>
                <w:rFonts w:hint="eastAsia" w:ascii="宋体" w:hAnsi="宋体" w:eastAsia="宋体" w:cs="宋体"/>
                <w:color w:val="auto"/>
                <w:sz w:val="22"/>
                <w:szCs w:val="22"/>
                <w:highlight w:val="none"/>
              </w:rPr>
            </w:pPr>
            <w:r>
              <w:rPr>
                <w:rFonts w:hint="eastAsia" w:ascii="宋体" w:hAnsi="宋体" w:eastAsia="宋体" w:cs="宋体"/>
                <w:b w:val="0"/>
                <w:bCs w:val="0"/>
                <w:color w:val="auto"/>
                <w:sz w:val="24"/>
                <w:szCs w:val="24"/>
                <w:highlight w:val="none"/>
              </w:rPr>
              <w:t>其他医疗设备</w:t>
            </w:r>
          </w:p>
        </w:tc>
        <w:tc>
          <w:tcPr>
            <w:tcW w:w="1321"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D7CC3EC">
            <w:pPr>
              <w:widowControl/>
              <w:wordWrap w:val="0"/>
              <w:spacing w:line="240" w:lineRule="exact"/>
              <w:jc w:val="center"/>
              <w:textAlignment w:val="center"/>
              <w:rPr>
                <w:rFonts w:hint="eastAsia" w:ascii="宋体" w:hAnsi="宋体" w:eastAsia="宋体" w:cs="宋体"/>
                <w:color w:val="auto"/>
                <w:sz w:val="22"/>
                <w:szCs w:val="22"/>
                <w:highlight w:val="none"/>
              </w:rPr>
            </w:pPr>
            <w:r>
              <w:rPr>
                <w:rFonts w:hint="eastAsia" w:ascii="宋体" w:hAnsi="宋体" w:eastAsia="宋体" w:cs="宋体"/>
                <w:b w:val="0"/>
                <w:bCs w:val="0"/>
                <w:color w:val="auto"/>
                <w:sz w:val="24"/>
                <w:szCs w:val="24"/>
                <w:highlight w:val="none"/>
              </w:rPr>
              <w:t>诊疗设备、救护物资、器具、药品、饲料、其他专业技术服务</w:t>
            </w:r>
          </w:p>
        </w:tc>
        <w:tc>
          <w:tcPr>
            <w:tcW w:w="818"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2E90D8B4">
            <w:pPr>
              <w:widowControl/>
              <w:wordWrap w:val="0"/>
              <w:spacing w:line="240" w:lineRule="exact"/>
              <w:jc w:val="center"/>
              <w:textAlignment w:val="center"/>
              <w:rPr>
                <w:rFonts w:hint="eastAsia" w:ascii="宋体" w:hAnsi="宋体" w:eastAsia="宋体" w:cs="宋体"/>
                <w:color w:val="auto"/>
                <w:sz w:val="22"/>
                <w:szCs w:val="22"/>
                <w:highlight w:val="none"/>
                <w:lang w:eastAsia="zh-CN"/>
              </w:rPr>
            </w:pPr>
            <w:r>
              <w:rPr>
                <w:rFonts w:hint="eastAsia" w:ascii="宋体" w:hAnsi="宋体" w:eastAsia="宋体" w:cs="宋体"/>
                <w:b w:val="0"/>
                <w:bCs w:val="0"/>
                <w:color w:val="auto"/>
                <w:sz w:val="24"/>
                <w:szCs w:val="24"/>
                <w:highlight w:val="none"/>
              </w:rPr>
              <w:t>1(批)</w:t>
            </w:r>
          </w:p>
        </w:tc>
        <w:tc>
          <w:tcPr>
            <w:tcW w:w="794" w:type="pct"/>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3EE97D9">
            <w:pPr>
              <w:widowControl/>
              <w:wordWrap w:val="0"/>
              <w:spacing w:line="240" w:lineRule="exact"/>
              <w:jc w:val="center"/>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详见</w:t>
            </w:r>
          </w:p>
          <w:p w14:paraId="13104490">
            <w:pPr>
              <w:widowControl/>
              <w:wordWrap w:val="0"/>
              <w:spacing w:line="240" w:lineRule="exact"/>
              <w:jc w:val="center"/>
              <w:textAlignment w:val="center"/>
              <w:rPr>
                <w:rFonts w:hint="eastAsia" w:ascii="宋体" w:hAnsi="宋体" w:eastAsia="宋体" w:cs="宋体"/>
                <w:color w:val="auto"/>
                <w:sz w:val="22"/>
                <w:szCs w:val="22"/>
                <w:highlight w:val="none"/>
              </w:rPr>
            </w:pPr>
            <w:r>
              <w:rPr>
                <w:rFonts w:hint="eastAsia" w:ascii="宋体" w:hAnsi="宋体" w:eastAsia="宋体" w:cs="宋体"/>
                <w:b w:val="0"/>
                <w:bCs w:val="0"/>
                <w:color w:val="auto"/>
                <w:sz w:val="24"/>
                <w:szCs w:val="24"/>
                <w:highlight w:val="none"/>
              </w:rPr>
              <w:t>采购文件</w:t>
            </w:r>
          </w:p>
        </w:tc>
        <w:tc>
          <w:tcPr>
            <w:tcW w:w="1519"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218BB59">
            <w:pPr>
              <w:widowControl/>
              <w:wordWrap w:val="0"/>
              <w:spacing w:line="240" w:lineRule="exact"/>
              <w:jc w:val="center"/>
              <w:textAlignment w:val="center"/>
              <w:rPr>
                <w:rFonts w:hint="default" w:ascii="宋体" w:hAnsi="宋体" w:eastAsia="宋体" w:cs="宋体"/>
                <w:color w:val="auto"/>
                <w:sz w:val="22"/>
                <w:szCs w:val="22"/>
                <w:highlight w:val="none"/>
                <w:lang w:val="en-US" w:eastAsia="zh-CN"/>
              </w:rPr>
            </w:pPr>
            <w:r>
              <w:rPr>
                <w:rFonts w:hint="eastAsia" w:ascii="宋体" w:hAnsi="宋体" w:eastAsia="宋体" w:cs="宋体"/>
                <w:b w:val="0"/>
                <w:bCs w:val="0"/>
                <w:color w:val="auto"/>
                <w:sz w:val="24"/>
                <w:szCs w:val="24"/>
                <w:highlight w:val="none"/>
              </w:rPr>
              <w:t>300,000.00</w:t>
            </w:r>
          </w:p>
        </w:tc>
      </w:tr>
    </w:tbl>
    <w:p w14:paraId="73093FA1">
      <w:pPr>
        <w:keepNext w:val="0"/>
        <w:keepLines w:val="0"/>
        <w:pageBreakBefore w:val="0"/>
        <w:kinsoku/>
        <w:overflowPunct/>
        <w:topLinePunct w:val="0"/>
        <w:autoSpaceDE/>
        <w:autoSpaceDN/>
        <w:bidi w:val="0"/>
        <w:adjustRightInd/>
        <w:snapToGrid/>
        <w:spacing w:line="56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6249AAF2">
      <w:pPr>
        <w:keepNext w:val="0"/>
        <w:keepLines w:val="0"/>
        <w:pageBreakBefore w:val="0"/>
        <w:kinsoku/>
        <w:overflowPunct/>
        <w:topLinePunct w:val="0"/>
        <w:autoSpaceDE/>
        <w:autoSpaceDN/>
        <w:bidi w:val="0"/>
        <w:adjustRightInd/>
        <w:snapToGrid/>
        <w:spacing w:line="560" w:lineRule="exact"/>
        <w:ind w:firstLine="960" w:firstLineChars="4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详见采购文件。</w:t>
      </w:r>
    </w:p>
    <w:p w14:paraId="01A4E137">
      <w:pPr>
        <w:keepNext w:val="0"/>
        <w:keepLines w:val="0"/>
        <w:pageBreakBefore w:val="0"/>
        <w:widowControl/>
        <w:kinsoku/>
        <w:overflowPunct/>
        <w:topLinePunct w:val="0"/>
        <w:autoSpaceDE/>
        <w:autoSpaceDN/>
        <w:bidi w:val="0"/>
        <w:adjustRightInd/>
        <w:snapToGrid/>
        <w:spacing w:line="56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25E617B0">
      <w:pPr>
        <w:keepNext w:val="0"/>
        <w:keepLines w:val="0"/>
        <w:pageBreakBefore w:val="0"/>
        <w:widowControl/>
        <w:kinsoku/>
        <w:overflowPunct/>
        <w:topLinePunct w:val="0"/>
        <w:autoSpaceDE/>
        <w:autoSpaceDN/>
        <w:bidi w:val="0"/>
        <w:adjustRightInd/>
        <w:snapToGrid/>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869EE57">
      <w:pPr>
        <w:keepNext w:val="0"/>
        <w:keepLines w:val="0"/>
        <w:pageBreakBefore w:val="0"/>
        <w:kinsoku/>
        <w:overflowPunct/>
        <w:topLinePunct w:val="0"/>
        <w:autoSpaceDE/>
        <w:autoSpaceDN/>
        <w:bidi w:val="0"/>
        <w:adjustRightInd/>
        <w:snapToGrid/>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2338AF75">
      <w:pPr>
        <w:keepNext w:val="0"/>
        <w:keepLines w:val="0"/>
        <w:pageBreakBefore w:val="0"/>
        <w:kinsoku/>
        <w:wordWrap/>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cs="宋体"/>
          <w:color w:val="auto"/>
          <w:sz w:val="24"/>
          <w:szCs w:val="24"/>
          <w:highlight w:val="none"/>
          <w:lang w:eastAsia="zh-CN"/>
        </w:rPr>
        <w:t>麟游县2026年度省级林业草原改革发展资金野生动物收容救护能力提升项目</w:t>
      </w:r>
      <w:r>
        <w:rPr>
          <w:rFonts w:hint="eastAsia" w:ascii="宋体" w:hAnsi="宋体" w:eastAsia="宋体" w:cs="宋体"/>
          <w:color w:val="auto"/>
          <w:sz w:val="24"/>
          <w:szCs w:val="24"/>
          <w:highlight w:val="none"/>
        </w:rPr>
        <w:t>)落实政府采购政策需满足的资格要求如下:</w:t>
      </w:r>
    </w:p>
    <w:p w14:paraId="5071171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2.1 </w:t>
      </w:r>
      <w:r>
        <w:rPr>
          <w:rFonts w:hint="eastAsia" w:ascii="宋体" w:hAnsi="宋体" w:eastAsia="宋体" w:cs="宋体"/>
          <w:i w:val="0"/>
          <w:iCs w:val="0"/>
          <w:caps w:val="0"/>
          <w:color w:val="auto"/>
          <w:spacing w:val="0"/>
          <w:sz w:val="24"/>
          <w:szCs w:val="24"/>
          <w:highlight w:val="none"/>
          <w:shd w:val="clear" w:fill="FFFFFF"/>
        </w:rPr>
        <w:t>《财政部国家发展改革委关于印发〈节能产品政府采购实施意见〉的通知》（财库〔2004〕185号）；</w:t>
      </w:r>
    </w:p>
    <w:p w14:paraId="660C71D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2.2</w:t>
      </w:r>
      <w:r>
        <w:rPr>
          <w:rFonts w:hint="eastAsia" w:cs="宋体"/>
          <w:i w:val="0"/>
          <w:iCs w:val="0"/>
          <w:caps w:val="0"/>
          <w:snapToGrid w:val="0"/>
          <w:color w:val="auto"/>
          <w:spacing w:val="0"/>
          <w:kern w:val="0"/>
          <w:sz w:val="24"/>
          <w:szCs w:val="24"/>
          <w:highlight w:val="none"/>
          <w:shd w:val="clear" w:fill="FFFFFF"/>
          <w:lang w:val="en-US" w:eastAsia="zh-CN" w:bidi="ar"/>
        </w:rPr>
        <w:t xml:space="preserve"> </w:t>
      </w: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 </w:t>
      </w:r>
      <w:r>
        <w:rPr>
          <w:rFonts w:hint="eastAsia" w:ascii="宋体" w:hAnsi="宋体" w:eastAsia="宋体" w:cs="宋体"/>
          <w:i w:val="0"/>
          <w:iCs w:val="0"/>
          <w:caps w:val="0"/>
          <w:color w:val="auto"/>
          <w:spacing w:val="0"/>
          <w:sz w:val="24"/>
          <w:szCs w:val="24"/>
          <w:highlight w:val="none"/>
          <w:shd w:val="clear" w:fill="FFFFFF"/>
        </w:rPr>
        <w:t>《国务院办公厅关于建立政府强制采购节能产品制度的通知》（国办发〔2007〕51号）；</w:t>
      </w:r>
    </w:p>
    <w:p w14:paraId="3F178FE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2.3 </w:t>
      </w:r>
      <w:r>
        <w:rPr>
          <w:rFonts w:hint="eastAsia" w:ascii="宋体" w:hAnsi="宋体" w:eastAsia="宋体" w:cs="宋体"/>
          <w:i w:val="0"/>
          <w:iCs w:val="0"/>
          <w:caps w:val="0"/>
          <w:color w:val="auto"/>
          <w:spacing w:val="0"/>
          <w:sz w:val="24"/>
          <w:szCs w:val="24"/>
          <w:highlight w:val="none"/>
          <w:shd w:val="clear" w:fill="FFFFFF"/>
        </w:rPr>
        <w:t>《财政部环保总局关于环境标志产品政府采购实施的意见》（财库〔2006〕90号）；</w:t>
      </w:r>
    </w:p>
    <w:p w14:paraId="1FFD2A7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2.4 </w:t>
      </w:r>
      <w:r>
        <w:rPr>
          <w:rFonts w:hint="eastAsia" w:ascii="宋体" w:hAnsi="宋体" w:eastAsia="宋体" w:cs="宋体"/>
          <w:i w:val="0"/>
          <w:iCs w:val="0"/>
          <w:caps w:val="0"/>
          <w:color w:val="auto"/>
          <w:spacing w:val="0"/>
          <w:sz w:val="24"/>
          <w:szCs w:val="24"/>
          <w:highlight w:val="none"/>
          <w:shd w:val="clear" w:fill="FFFFFF"/>
        </w:rPr>
        <w:t>《政府采购促进中小企业发展管理办法》（财库〔2020〕46号）；</w:t>
      </w:r>
    </w:p>
    <w:p w14:paraId="5CB3C0B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2.5 </w:t>
      </w:r>
      <w:r>
        <w:rPr>
          <w:rFonts w:hint="eastAsia" w:ascii="宋体" w:hAnsi="宋体" w:eastAsia="宋体" w:cs="宋体"/>
          <w:i w:val="0"/>
          <w:iCs w:val="0"/>
          <w:caps w:val="0"/>
          <w:color w:val="auto"/>
          <w:spacing w:val="0"/>
          <w:sz w:val="24"/>
          <w:szCs w:val="24"/>
          <w:highlight w:val="none"/>
          <w:shd w:val="clear" w:fill="FFFFFF"/>
        </w:rPr>
        <w:t>《财政部关于进一步加大政府采购支持中小企业力度的通知》（财库〔2022〕19号）；</w:t>
      </w:r>
    </w:p>
    <w:p w14:paraId="17BCB79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2.6 </w:t>
      </w:r>
      <w:r>
        <w:rPr>
          <w:rFonts w:hint="eastAsia" w:ascii="宋体" w:hAnsi="宋体" w:eastAsia="宋体" w:cs="宋体"/>
          <w:i w:val="0"/>
          <w:iCs w:val="0"/>
          <w:caps w:val="0"/>
          <w:color w:val="auto"/>
          <w:spacing w:val="0"/>
          <w:sz w:val="24"/>
          <w:szCs w:val="24"/>
          <w:highlight w:val="none"/>
          <w:shd w:val="clear" w:fill="FFFFFF"/>
        </w:rPr>
        <w:t>《财政部司法部关于政府采购支持监狱企业发展有关问题的通知》（财库〔2014〕68号）；</w:t>
      </w:r>
    </w:p>
    <w:p w14:paraId="2228CA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2.7 </w:t>
      </w:r>
      <w:r>
        <w:rPr>
          <w:rFonts w:hint="eastAsia" w:ascii="宋体" w:hAnsi="宋体" w:eastAsia="宋体" w:cs="宋体"/>
          <w:i w:val="0"/>
          <w:iCs w:val="0"/>
          <w:caps w:val="0"/>
          <w:color w:val="auto"/>
          <w:spacing w:val="0"/>
          <w:sz w:val="24"/>
          <w:szCs w:val="24"/>
          <w:highlight w:val="none"/>
          <w:shd w:val="clear" w:fill="FFFFFF"/>
        </w:rPr>
        <w:t>《三部门联合发布关于促进残疾人就业政府采购政策的通知》（财库〔2017〕141号）；</w:t>
      </w:r>
    </w:p>
    <w:p w14:paraId="5619814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2.8 </w:t>
      </w:r>
      <w:r>
        <w:rPr>
          <w:rFonts w:hint="eastAsia" w:ascii="宋体" w:hAnsi="宋体" w:eastAsia="宋体" w:cs="宋体"/>
          <w:i w:val="0"/>
          <w:iCs w:val="0"/>
          <w:caps w:val="0"/>
          <w:color w:val="auto"/>
          <w:spacing w:val="0"/>
          <w:sz w:val="24"/>
          <w:szCs w:val="24"/>
          <w:highlight w:val="none"/>
          <w:shd w:val="clear" w:fill="FFFFFF"/>
        </w:rPr>
        <w:t>《财政部发展改革委生态环境部市场监管总局关于调整优化节能产品、环境标志产品政府采购执行机制的通知》（财库〔2019〕9号）；</w:t>
      </w:r>
    </w:p>
    <w:p w14:paraId="4FACA2D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2.9 </w:t>
      </w:r>
      <w:r>
        <w:rPr>
          <w:rFonts w:hint="eastAsia" w:ascii="宋体" w:hAnsi="宋体" w:eastAsia="宋体" w:cs="宋体"/>
          <w:i w:val="0"/>
          <w:iCs w:val="0"/>
          <w:caps w:val="0"/>
          <w:color w:val="auto"/>
          <w:spacing w:val="0"/>
          <w:sz w:val="24"/>
          <w:szCs w:val="24"/>
          <w:highlight w:val="none"/>
          <w:shd w:val="clear" w:fill="FFFFFF"/>
        </w:rPr>
        <w:t>《财政部农业农村部国家乡村振兴局关于运用政府采购政策支持乡村产业振兴的通知》财库〔2021〕19号；</w:t>
      </w:r>
    </w:p>
    <w:p w14:paraId="5B908E6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2.10 </w:t>
      </w:r>
      <w:r>
        <w:rPr>
          <w:rFonts w:hint="eastAsia" w:ascii="宋体" w:hAnsi="宋体" w:eastAsia="宋体" w:cs="宋体"/>
          <w:i w:val="0"/>
          <w:iCs w:val="0"/>
          <w:caps w:val="0"/>
          <w:color w:val="auto"/>
          <w:spacing w:val="0"/>
          <w:sz w:val="24"/>
          <w:szCs w:val="24"/>
          <w:highlight w:val="none"/>
          <w:shd w:val="clear" w:fill="FFFFFF"/>
        </w:rPr>
        <w:t>《陕西省财政厅关于印发陕西省中小企业政府采购信用融资办法》（陕财办采〔2018〕23号）；</w:t>
      </w:r>
    </w:p>
    <w:p w14:paraId="40B3C330">
      <w:pPr>
        <w:keepNext w:val="0"/>
        <w:keepLines w:val="0"/>
        <w:pageBreakBefore w:val="0"/>
        <w:kinsoku/>
        <w:wordWrap/>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snapToGrid w:val="0"/>
          <w:color w:val="auto"/>
          <w:spacing w:val="0"/>
          <w:kern w:val="0"/>
          <w:sz w:val="24"/>
          <w:szCs w:val="24"/>
          <w:highlight w:val="none"/>
          <w:shd w:val="clear" w:fill="FFFFFF"/>
          <w:lang w:val="en-US" w:eastAsia="zh-CN" w:bidi="ar"/>
        </w:rPr>
        <w:t xml:space="preserve">2.11 </w:t>
      </w:r>
      <w:r>
        <w:rPr>
          <w:rFonts w:hint="eastAsia" w:ascii="宋体" w:hAnsi="宋体" w:eastAsia="宋体" w:cs="宋体"/>
          <w:color w:val="auto"/>
          <w:sz w:val="24"/>
          <w:szCs w:val="24"/>
          <w:highlight w:val="none"/>
          <w:lang w:val="en-US" w:eastAsia="zh-CN"/>
        </w:rPr>
        <w:t>《国务院办公厅关于在政府采购中实施本国产品标准及相关政策的通知》国办发〔2025〕34号</w:t>
      </w:r>
      <w:r>
        <w:rPr>
          <w:rFonts w:hint="eastAsia" w:ascii="宋体" w:hAnsi="宋体" w:cs="宋体"/>
          <w:color w:val="auto"/>
          <w:sz w:val="24"/>
          <w:szCs w:val="24"/>
          <w:highlight w:val="none"/>
          <w:lang w:val="en-US" w:eastAsia="zh-CN"/>
        </w:rPr>
        <w:t>；</w:t>
      </w:r>
    </w:p>
    <w:p w14:paraId="45E06E3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val="0"/>
        <w:spacing w:before="0" w:beforeAutospacing="0" w:after="0" w:afterAutospacing="0" w:line="54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cs="宋体"/>
          <w:color w:val="auto"/>
          <w:sz w:val="24"/>
          <w:szCs w:val="24"/>
          <w:highlight w:val="none"/>
          <w:lang w:val="en-US" w:eastAsia="zh-CN"/>
        </w:rPr>
        <w:t xml:space="preserve">2.12 </w:t>
      </w:r>
      <w:r>
        <w:rPr>
          <w:rFonts w:hint="eastAsia" w:ascii="宋体" w:hAnsi="宋体" w:eastAsia="宋体" w:cs="宋体"/>
          <w:i w:val="0"/>
          <w:iCs w:val="0"/>
          <w:caps w:val="0"/>
          <w:color w:val="auto"/>
          <w:spacing w:val="0"/>
          <w:sz w:val="24"/>
          <w:szCs w:val="24"/>
          <w:highlight w:val="none"/>
          <w:shd w:val="clear" w:fill="FFFFFF"/>
          <w:lang w:val="en-US" w:eastAsia="zh-CN"/>
        </w:rPr>
        <w:t>其他需要落实的政府采购政策（如有最新颁布的政府采购政策，按最新文件执行）</w:t>
      </w:r>
      <w:r>
        <w:rPr>
          <w:rFonts w:hint="eastAsia" w:ascii="宋体" w:hAnsi="宋体" w:eastAsia="宋体" w:cs="宋体"/>
          <w:i w:val="0"/>
          <w:iCs w:val="0"/>
          <w:caps w:val="0"/>
          <w:color w:val="auto"/>
          <w:spacing w:val="0"/>
          <w:sz w:val="24"/>
          <w:szCs w:val="24"/>
          <w:highlight w:val="none"/>
          <w:shd w:val="clear" w:fill="FFFFFF"/>
        </w:rPr>
        <w:t>。</w:t>
      </w:r>
    </w:p>
    <w:p w14:paraId="6D38FB6B">
      <w:pPr>
        <w:pStyle w:val="2"/>
        <w:rPr>
          <w:rFonts w:hint="default"/>
          <w:color w:val="auto"/>
          <w:highlight w:val="none"/>
          <w:lang w:val="en-US" w:eastAsia="zh-CN"/>
        </w:rPr>
      </w:pPr>
    </w:p>
    <w:p w14:paraId="0F23E385">
      <w:pPr>
        <w:keepNext w:val="0"/>
        <w:keepLines w:val="0"/>
        <w:pageBreakBefore w:val="0"/>
        <w:kinsoku/>
        <w:wordWrap/>
        <w:overflowPunct/>
        <w:topLinePunct w:val="0"/>
        <w:autoSpaceDE/>
        <w:autoSpaceDN/>
        <w:bidi w:val="0"/>
        <w:adjustRightInd/>
        <w:snapToGrid/>
        <w:spacing w:line="540" w:lineRule="exact"/>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rPr>
        <w:t>本项目专门面向</w:t>
      </w:r>
      <w:r>
        <w:rPr>
          <w:rFonts w:hint="eastAsia" w:ascii="宋体" w:hAnsi="宋体" w:cs="宋体"/>
          <w:b/>
          <w:bCs/>
          <w:color w:val="auto"/>
          <w:kern w:val="0"/>
          <w:sz w:val="24"/>
          <w:szCs w:val="24"/>
          <w:highlight w:val="none"/>
          <w:lang w:val="en-US" w:eastAsia="zh-CN"/>
        </w:rPr>
        <w:t>中</w:t>
      </w:r>
      <w:r>
        <w:rPr>
          <w:rFonts w:hint="eastAsia" w:ascii="宋体" w:hAnsi="宋体" w:eastAsia="宋体" w:cs="宋体"/>
          <w:b/>
          <w:bCs/>
          <w:color w:val="auto"/>
          <w:kern w:val="0"/>
          <w:sz w:val="24"/>
          <w:szCs w:val="24"/>
          <w:highlight w:val="none"/>
          <w:lang w:val="en-US" w:eastAsia="zh-CN"/>
        </w:rPr>
        <w:t>小企业采购，供应商须提供</w:t>
      </w:r>
      <w:r>
        <w:rPr>
          <w:rFonts w:hint="eastAsia" w:ascii="宋体" w:hAnsi="宋体" w:cs="宋体"/>
          <w:b/>
          <w:bCs/>
          <w:color w:val="auto"/>
          <w:kern w:val="0"/>
          <w:sz w:val="24"/>
          <w:szCs w:val="24"/>
          <w:highlight w:val="none"/>
          <w:lang w:val="en-US" w:eastAsia="zh-CN"/>
        </w:rPr>
        <w:t>中</w:t>
      </w:r>
      <w:r>
        <w:rPr>
          <w:rFonts w:hint="eastAsia" w:ascii="宋体" w:hAnsi="宋体" w:eastAsia="宋体" w:cs="宋体"/>
          <w:b/>
          <w:bCs/>
          <w:color w:val="auto"/>
          <w:kern w:val="0"/>
          <w:sz w:val="24"/>
          <w:szCs w:val="24"/>
          <w:highlight w:val="none"/>
          <w:lang w:val="en-US" w:eastAsia="zh-CN"/>
        </w:rPr>
        <w:t>小企业声明函（如有虚假，将依法承担相应责任）</w:t>
      </w:r>
      <w:r>
        <w:rPr>
          <w:rFonts w:hint="eastAsia" w:ascii="宋体" w:hAnsi="宋体" w:eastAsia="宋体" w:cs="宋体"/>
          <w:b/>
          <w:bCs/>
          <w:color w:val="auto"/>
          <w:sz w:val="24"/>
          <w:szCs w:val="24"/>
          <w:highlight w:val="none"/>
        </w:rPr>
        <w:t>。</w:t>
      </w:r>
    </w:p>
    <w:p w14:paraId="44ECBF8C">
      <w:pPr>
        <w:keepNext w:val="0"/>
        <w:keepLines w:val="0"/>
        <w:pageBreakBefore w:val="0"/>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3695948B">
      <w:pPr>
        <w:keepNext w:val="0"/>
        <w:keepLines w:val="0"/>
        <w:pageBreakBefore w:val="0"/>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cs="宋体"/>
          <w:color w:val="auto"/>
          <w:sz w:val="24"/>
          <w:szCs w:val="24"/>
          <w:highlight w:val="none"/>
          <w:lang w:eastAsia="zh-CN"/>
        </w:rPr>
        <w:t>麟游县2026年度省级林业草原改革发展资金野生动物收容救护能力提升项目</w:t>
      </w:r>
      <w:r>
        <w:rPr>
          <w:rFonts w:hint="eastAsia" w:ascii="宋体" w:hAnsi="宋体" w:eastAsia="宋体" w:cs="宋体"/>
          <w:color w:val="auto"/>
          <w:sz w:val="24"/>
          <w:szCs w:val="24"/>
          <w:highlight w:val="none"/>
        </w:rPr>
        <w:t>)特定资格要求如下:</w:t>
      </w:r>
    </w:p>
    <w:p w14:paraId="21CD0780">
      <w:pPr>
        <w:pStyle w:val="67"/>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3.1</w:t>
      </w:r>
      <w:r>
        <w:rPr>
          <w:rFonts w:hint="eastAsia" w:asciiTheme="minorEastAsia" w:hAnsiTheme="minorEastAsia" w:eastAsiaTheme="minorEastAsia" w:cstheme="minorEastAsia"/>
          <w:color w:val="auto"/>
          <w:kern w:val="2"/>
          <w:sz w:val="24"/>
          <w:szCs w:val="24"/>
          <w:highlight w:val="none"/>
          <w:lang w:val="en-US" w:eastAsia="zh-CN" w:bidi="ar-SA"/>
        </w:rPr>
        <w:t>专业资格要求：</w:t>
      </w:r>
      <w:r>
        <w:rPr>
          <w:rFonts w:hint="eastAsia" w:asciiTheme="minorEastAsia" w:hAnsiTheme="minorEastAsia" w:eastAsiaTheme="minorEastAsia" w:cstheme="minorEastAsia"/>
          <w:color w:val="auto"/>
          <w:sz w:val="24"/>
          <w:szCs w:val="24"/>
          <w:highlight w:val="none"/>
          <w:lang w:val="en-US" w:eastAsia="zh-CN"/>
        </w:rPr>
        <w:t>供应商为生产厂家的须具备有效的《医疗器械生产许可证》、《辐射安全许可证》</w:t>
      </w:r>
      <w:r>
        <w:rPr>
          <w:rFonts w:hint="eastAsia" w:asciiTheme="minorEastAsia" w:hAnsiTheme="minorEastAsia" w:eastAsiaTheme="minorEastAsia" w:cstheme="minorEastAsia"/>
          <w:color w:val="auto"/>
          <w:kern w:val="2"/>
          <w:sz w:val="24"/>
          <w:szCs w:val="24"/>
          <w:highlight w:val="none"/>
          <w:lang w:val="en-US" w:eastAsia="zh-CN" w:bidi="ar-SA"/>
        </w:rPr>
        <w:t>；</w:t>
      </w:r>
      <w:r>
        <w:rPr>
          <w:rFonts w:hint="eastAsia" w:asciiTheme="minorEastAsia" w:hAnsiTheme="minorEastAsia" w:eastAsiaTheme="minorEastAsia" w:cstheme="minorEastAsia"/>
          <w:color w:val="auto"/>
          <w:sz w:val="24"/>
          <w:szCs w:val="24"/>
          <w:highlight w:val="none"/>
          <w:lang w:val="en-US" w:eastAsia="zh-CN"/>
        </w:rPr>
        <w:t>供应商为经销商/代理商的须具备有效的《医疗器械经营许可证》或备案凭证，所投产品生产企业的《医疗器械生产许可证》、《辐射安全许可证》；</w:t>
      </w:r>
    </w:p>
    <w:p w14:paraId="2647F092">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具有独立承担民事责任</w:t>
      </w:r>
      <w:r>
        <w:rPr>
          <w:rFonts w:hint="eastAsia" w:ascii="宋体" w:hAnsi="宋体" w:eastAsia="宋体" w:cs="宋体"/>
          <w:color w:val="auto"/>
          <w:sz w:val="24"/>
          <w:szCs w:val="24"/>
          <w:highlight w:val="none"/>
          <w:lang w:val="en-US" w:eastAsia="zh-CN"/>
        </w:rPr>
        <w:t>能力的法人、其他组织或自然人，并出具合法有效的营业执照或事业单位法人证书等国家规定的相关证明，自然人参与的提供其身份证明（复印件加盖供应商公章）；</w:t>
      </w:r>
    </w:p>
    <w:p w14:paraId="6ACD3348">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法定代表人直接参加谈判的，须提供法定代表人身份证明书（附法定代表人身份证复印件并加盖公章）；委托代理人参加谈判的，须提供法定代表人授权委托书（附法定代表人及委托代理人身份证复印件并加盖公章）；</w:t>
      </w:r>
    </w:p>
    <w:p w14:paraId="007510E4">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提供2025年度经审计的财务报告（至少包括资产负债表和利润表，成立时间至提交响应文件截止时间不足一年的可提供成立后任意时段的资产负债表），报告须真实有效并符合《关于加强审计报告查验工作的通知》（财会[2023]15号）文件的要求，报告须赋二维码；或其开标前三个月内基本存款账户开户银行出具的资信证明及基本存款账户开户许可证（或基本存款账户信息）；或信用担保机构出具的投标担保函。（以上三种形式的资料提供任何一种即可，复印件加盖供应商公章）； </w:t>
      </w:r>
    </w:p>
    <w:p w14:paraId="246946C9">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有依法缴纳社会保障资金的良好记录：提供2026年1月至今任意一个月已缴存的社会保障资金缴存单据或社保机构开具的社会保险参保缴费情况证明。依法不需要缴纳社会保障资金的供应商应提供相关文件证明（复印件加盖供应商公章）；</w:t>
      </w:r>
    </w:p>
    <w:p w14:paraId="1AA530D1">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有依法缴纳税收的良好记录：提供2026年1月至今任意一个月已缴纳的纳税证明或完税证明，依法免税的供应商应提供相关证明材料（复印件加盖供应商公章）；</w:t>
      </w:r>
    </w:p>
    <w:p w14:paraId="1F98EC78">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供应商未被列入“中国执行信息公开网”（https：//zxgk.court.gov.cn/shixin/）失信被执行人名单，未被列入“信用中国”网站（https：//www.creditchina.gov.cn/）重大税收违法失信主体，未被列入“中国政府采购网”（https：//www.ccgp.gov.cn）政府采购严重违法失信行为记录名单；</w:t>
      </w:r>
    </w:p>
    <w:p w14:paraId="68F11DF5">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参加政府采购活动前三年内，在经营活动中没有重大违法记录：提供参加本次政府采购活动前三年内在经营活动中没有重大违法记录的书面声明； </w:t>
      </w:r>
    </w:p>
    <w:p w14:paraId="0E2B47CE">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color w:val="auto"/>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具有履行合同所必需的设备和专业技术能力：提供具有履行本合同所必需的设备和专业技术能力的承诺书；</w:t>
      </w:r>
    </w:p>
    <w:p w14:paraId="622671EF">
      <w:pPr>
        <w:keepNext w:val="0"/>
        <w:keepLines w:val="0"/>
        <w:pageBreakBefore w:val="0"/>
        <w:widowControl/>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本项目不接受联合体</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w:t>
      </w:r>
    </w:p>
    <w:p w14:paraId="61FDD879">
      <w:pPr>
        <w:keepNext w:val="0"/>
        <w:keepLines w:val="0"/>
        <w:pageBreakBefore w:val="0"/>
        <w:widowControl/>
        <w:kinsoku/>
        <w:wordWrap w:val="0"/>
        <w:overflowPunct/>
        <w:topLinePunct w:val="0"/>
        <w:autoSpaceDE/>
        <w:autoSpaceDN/>
        <w:bidi w:val="0"/>
        <w:adjustRightInd/>
        <w:snapToGrid/>
        <w:spacing w:line="54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p>
    <w:p w14:paraId="3C1B07E7">
      <w:pPr>
        <w:keepNext w:val="0"/>
        <w:keepLines w:val="0"/>
        <w:pageBreakBefore w:val="0"/>
        <w:widowControl/>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02</w:t>
      </w:r>
      <w:r>
        <w:rPr>
          <w:rFonts w:hint="eastAsia" w:ascii="宋体" w:hAnsi="宋体" w:eastAsia="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每天上午 00:00:00 至 12:00:00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下午12:00:00至23:59:59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北京时间,法定节假日除外</w:t>
      </w:r>
      <w:r>
        <w:rPr>
          <w:rFonts w:hint="eastAsia" w:ascii="宋体" w:hAnsi="宋体" w:eastAsia="宋体" w:cs="宋体"/>
          <w:color w:val="auto"/>
          <w:sz w:val="24"/>
          <w:szCs w:val="24"/>
          <w:highlight w:val="none"/>
          <w:lang w:eastAsia="zh-CN"/>
        </w:rPr>
        <w:t>）</w:t>
      </w:r>
    </w:p>
    <w:p w14:paraId="303F89CE">
      <w:pPr>
        <w:keepNext w:val="0"/>
        <w:keepLines w:val="0"/>
        <w:pageBreakBefore w:val="0"/>
        <w:widowControl/>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途径：全国公共资源交易平台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陕西省.宝鸡市</w:t>
      </w:r>
      <w:r>
        <w:rPr>
          <w:rFonts w:hint="eastAsia" w:ascii="宋体" w:hAnsi="宋体" w:eastAsia="宋体" w:cs="宋体"/>
          <w:color w:val="auto"/>
          <w:sz w:val="24"/>
          <w:szCs w:val="24"/>
          <w:highlight w:val="none"/>
          <w:lang w:eastAsia="zh-CN"/>
        </w:rPr>
        <w:t>）</w:t>
      </w:r>
    </w:p>
    <w:p w14:paraId="29E50AD2">
      <w:pPr>
        <w:keepNext w:val="0"/>
        <w:keepLines w:val="0"/>
        <w:pageBreakBefore w:val="0"/>
        <w:widowControl/>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方式：在线获取</w:t>
      </w:r>
    </w:p>
    <w:p w14:paraId="476179DD">
      <w:pPr>
        <w:keepNext w:val="0"/>
        <w:keepLines w:val="0"/>
        <w:pageBreakBefore w:val="0"/>
        <w:widowControl/>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售价：0元</w:t>
      </w:r>
    </w:p>
    <w:p w14:paraId="07E0220B">
      <w:pPr>
        <w:keepNext w:val="0"/>
        <w:keepLines w:val="0"/>
        <w:pageBreakBefore w:val="0"/>
        <w:widowControl/>
        <w:kinsoku/>
        <w:overflowPunct/>
        <w:topLinePunct w:val="0"/>
        <w:autoSpaceDE/>
        <w:autoSpaceDN/>
        <w:bidi w:val="0"/>
        <w:adjustRightInd/>
        <w:snapToGrid/>
        <w:spacing w:line="54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四、响应文件提交</w:t>
      </w:r>
    </w:p>
    <w:p w14:paraId="6CF8237C">
      <w:pPr>
        <w:keepNext w:val="0"/>
        <w:keepLines w:val="0"/>
        <w:pageBreakBefore w:val="0"/>
        <w:widowControl/>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截止时间：202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 xml:space="preserve">时00分00秒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eastAsia="zh-CN"/>
        </w:rPr>
        <w:t>）</w:t>
      </w:r>
    </w:p>
    <w:p w14:paraId="49BF1B6B">
      <w:pPr>
        <w:keepNext w:val="0"/>
        <w:keepLines w:val="0"/>
        <w:pageBreakBefore w:val="0"/>
        <w:widowControl/>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地点：全国公共资源交易平台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陕西省·宝鸡市</w:t>
      </w:r>
      <w:r>
        <w:rPr>
          <w:rFonts w:hint="eastAsia" w:ascii="宋体" w:hAnsi="宋体" w:eastAsia="宋体" w:cs="宋体"/>
          <w:color w:val="auto"/>
          <w:sz w:val="24"/>
          <w:szCs w:val="24"/>
          <w:highlight w:val="none"/>
          <w:lang w:eastAsia="zh-CN"/>
        </w:rPr>
        <w:t>）</w:t>
      </w:r>
    </w:p>
    <w:p w14:paraId="6CEA316B">
      <w:pPr>
        <w:keepNext w:val="0"/>
        <w:keepLines w:val="0"/>
        <w:pageBreakBefore w:val="0"/>
        <w:widowControl/>
        <w:kinsoku/>
        <w:overflowPunct/>
        <w:topLinePunct w:val="0"/>
        <w:autoSpaceDE/>
        <w:autoSpaceDN/>
        <w:bidi w:val="0"/>
        <w:adjustRightInd/>
        <w:snapToGrid/>
        <w:spacing w:line="54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五、开启</w:t>
      </w:r>
    </w:p>
    <w:p w14:paraId="6532D046">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时间：2026年0</w:t>
      </w:r>
      <w:r>
        <w:rPr>
          <w:rFonts w:hint="eastAsia" w:ascii="宋体" w:hAnsi="宋体" w:cs="宋体"/>
          <w:color w:val="0000FF"/>
          <w:sz w:val="24"/>
          <w:szCs w:val="24"/>
          <w:highlight w:val="none"/>
          <w:lang w:val="en-US" w:eastAsia="zh-CN"/>
        </w:rPr>
        <w:t>9</w:t>
      </w:r>
      <w:r>
        <w:rPr>
          <w:rFonts w:hint="eastAsia" w:ascii="宋体" w:hAnsi="宋体" w:eastAsia="宋体" w:cs="宋体"/>
          <w:color w:val="0000FF"/>
          <w:sz w:val="24"/>
          <w:szCs w:val="24"/>
          <w:highlight w:val="none"/>
        </w:rPr>
        <w:t>月</w:t>
      </w:r>
      <w:r>
        <w:rPr>
          <w:rFonts w:hint="eastAsia" w:ascii="宋体" w:hAnsi="宋体" w:cs="宋体"/>
          <w:color w:val="0000FF"/>
          <w:sz w:val="24"/>
          <w:szCs w:val="24"/>
          <w:highlight w:val="none"/>
          <w:lang w:val="en-US" w:eastAsia="zh-CN"/>
        </w:rPr>
        <w:t>10</w:t>
      </w:r>
      <w:r>
        <w:rPr>
          <w:rFonts w:hint="eastAsia" w:ascii="宋体" w:hAnsi="宋体" w:eastAsia="宋体" w:cs="宋体"/>
          <w:color w:val="0000FF"/>
          <w:sz w:val="24"/>
          <w:szCs w:val="24"/>
          <w:highlight w:val="none"/>
        </w:rPr>
        <w:t>日</w:t>
      </w:r>
      <w:r>
        <w:rPr>
          <w:rFonts w:hint="eastAsia" w:ascii="宋体" w:hAnsi="宋体" w:cs="宋体"/>
          <w:color w:val="0000FF"/>
          <w:sz w:val="24"/>
          <w:szCs w:val="24"/>
          <w:highlight w:val="none"/>
          <w:lang w:val="en-US" w:eastAsia="zh-CN"/>
        </w:rPr>
        <w:t>14</w:t>
      </w:r>
      <w:r>
        <w:rPr>
          <w:rFonts w:hint="eastAsia" w:ascii="宋体" w:hAnsi="宋体" w:eastAsia="宋体" w:cs="宋体"/>
          <w:color w:val="0000FF"/>
          <w:sz w:val="24"/>
          <w:szCs w:val="24"/>
          <w:highlight w:val="none"/>
        </w:rPr>
        <w:t>时00分00秒（北京时间）</w:t>
      </w:r>
    </w:p>
    <w:p w14:paraId="78996753">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地点：全国公共资源交易平台(陕西省·宝鸡市)→不见面开标</w:t>
      </w:r>
    </w:p>
    <w:p w14:paraId="38AD88ED">
      <w:pPr>
        <w:keepNext w:val="0"/>
        <w:keepLines w:val="0"/>
        <w:pageBreakBefore w:val="0"/>
        <w:widowControl/>
        <w:kinsoku/>
        <w:overflowPunct/>
        <w:topLinePunct w:val="0"/>
        <w:autoSpaceDE/>
        <w:autoSpaceDN/>
        <w:bidi w:val="0"/>
        <w:adjustRightInd/>
        <w:snapToGrid/>
        <w:spacing w:line="54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六、公告期限</w:t>
      </w:r>
    </w:p>
    <w:p w14:paraId="3827F3B7">
      <w:pPr>
        <w:keepNext w:val="0"/>
        <w:keepLines w:val="0"/>
        <w:pageBreakBefore w:val="0"/>
        <w:widowControl/>
        <w:kinsoku/>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37C4002B">
      <w:pPr>
        <w:keepNext w:val="0"/>
        <w:keepLines w:val="0"/>
        <w:pageBreakBefore w:val="0"/>
        <w:widowControl/>
        <w:kinsoku/>
        <w:overflowPunct/>
        <w:topLinePunct w:val="0"/>
        <w:autoSpaceDE/>
        <w:autoSpaceDN/>
        <w:bidi w:val="0"/>
        <w:adjustRightInd/>
        <w:snapToGrid/>
        <w:spacing w:line="54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七、其他补充事宜</w:t>
      </w:r>
    </w:p>
    <w:p w14:paraId="629C913B">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本项目的潜在供应商使用捆绑CA证书登录全国公共资源交易平台（陕西省.宝鸡市）宝鸡市公共资源交易中心（http://ggzy.baoji.gov.cn/），交易平台〖首页〉电子交易平台〉企业端〗后，在〖招标公告/出让公告〗模块中选择有意向的项目点击“我要投标”，可从〖我的项目〉项目流程〉交易文件下载〗中下载电子文件（*.SXSZF 格式）。网上响应成功并在文件下载时限内从电子交易平台下载采购文件后，应随时关注交易平台。如有答疑文件，应及时下载答疑文件（*.sxstf 格式）并使用最终答疑文件编制响应文件。如因自身原因未在下载时限内从电子交易平台下载采购文件，或未下载并使用最终答疑文件编制响应文件，导致无法编制（上传）响应文件，自行承担不利后果；</w:t>
      </w:r>
    </w:p>
    <w:p w14:paraId="5AD3185E">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.供应商在网上填写单位信息（单位名称、营业执照相关信息）时应与采购文件要求及后期上传的电子响应文件中相关信息一致，否则造成资格审查不通过的后果自负；</w:t>
      </w:r>
    </w:p>
    <w:p w14:paraId="5CE76205">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本项目为“全流程电子化”，不见面开标模式，实行线上电子投标方式，各供应商须自行在网上下载采购文件、缴纳投标保证金，登录全国公共资源交易平台（陕西省.宝鸡市）宝鸡市公共资源交易中心（http://ggzy.baoji.gov.cn/）-服务指南-下载专区-下载“政府采购电子化交易-投标单位培训实操演示及操作手册”和“宝鸡不见面开标大厅操作手册-投标人”，并下载政府采购电子标书制作工具，按照流程制作电子标书并在规定的响应文件递交截止时前上传加密电子响应文件。开启时间前提前登录“宝鸡市公共资源交易不见面开标大厅”；</w:t>
      </w:r>
    </w:p>
    <w:p w14:paraId="0E3B6513">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.请供应商按照陕西省财政厅关于《关于政府采购供应商注册登记有关事项的通知》的要求，通过陕西省政府采购网（http://www.ccgp-shaanxi.gov.cn/）注册登记加入陕西省政府采购供应商库；</w:t>
      </w:r>
    </w:p>
    <w:p w14:paraId="2EE2266D">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根据陕西省财政厅关于印发《陕西省中小企业政府采购信用融资办法》陕财办采〔2018〕23号相关规定，有融资需求的供应商可根据自身情况，在陕西省政府采购信用融资平台（http://www.ccgp-shaanxi.gov.cn/zcdservice/zcd/shanxi/）自主选择金融机构及其融资产品，凭政府采购中标（成交）通知书或政府采购合同提出融资申请，办理“政采贷”业务。</w:t>
      </w:r>
    </w:p>
    <w:p w14:paraId="4FBD5B9D">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.质疑渠道：采购代理机构 杨工 0917-3235808，</w:t>
      </w:r>
    </w:p>
    <w:p w14:paraId="64025151">
      <w:pPr>
        <w:keepNext w:val="0"/>
        <w:keepLines w:val="0"/>
        <w:pageBreakBefore w:val="0"/>
        <w:widowControl/>
        <w:kinsoku/>
        <w:wordWrap/>
        <w:overflowPunct/>
        <w:topLinePunct w:val="0"/>
        <w:autoSpaceDE/>
        <w:autoSpaceDN/>
        <w:bidi w:val="0"/>
        <w:adjustRightInd/>
        <w:snapToGrid/>
        <w:spacing w:line="540" w:lineRule="exact"/>
        <w:ind w:firstLine="1920" w:firstLineChars="8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采购人 </w:t>
      </w:r>
      <w:r>
        <w:rPr>
          <w:rFonts w:hint="eastAsia" w:ascii="宋体" w:hAnsi="宋体" w:cs="宋体"/>
          <w:color w:val="auto"/>
          <w:kern w:val="0"/>
          <w:sz w:val="24"/>
          <w:szCs w:val="24"/>
          <w:highlight w:val="none"/>
          <w:lang w:eastAsia="zh-CN"/>
        </w:rPr>
        <w:t>陈</w:t>
      </w:r>
      <w:r>
        <w:rPr>
          <w:rFonts w:hint="eastAsia" w:ascii="宋体" w:hAnsi="宋体" w:eastAsia="宋体" w:cs="宋体"/>
          <w:color w:val="auto"/>
          <w:kern w:val="0"/>
          <w:sz w:val="24"/>
          <w:szCs w:val="24"/>
          <w:highlight w:val="none"/>
        </w:rPr>
        <w:t>工 0917-7962012</w:t>
      </w:r>
      <w:r>
        <w:rPr>
          <w:rFonts w:hint="eastAsia" w:ascii="宋体" w:hAnsi="宋体" w:cs="宋体"/>
          <w:color w:val="auto"/>
          <w:kern w:val="0"/>
          <w:sz w:val="24"/>
          <w:szCs w:val="24"/>
          <w:highlight w:val="none"/>
          <w:lang w:eastAsia="zh-CN"/>
        </w:rPr>
        <w:t>，</w:t>
      </w:r>
    </w:p>
    <w:p w14:paraId="2D177D7A">
      <w:pPr>
        <w:keepNext w:val="0"/>
        <w:keepLines w:val="0"/>
        <w:pageBreakBefore w:val="0"/>
        <w:widowControl/>
        <w:kinsoku/>
        <w:overflowPunct/>
        <w:topLinePunct w:val="0"/>
        <w:autoSpaceDE/>
        <w:autoSpaceDN/>
        <w:bidi w:val="0"/>
        <w:adjustRightInd/>
        <w:snapToGrid/>
        <w:spacing w:line="540" w:lineRule="exact"/>
        <w:ind w:firstLine="1920" w:firstLineChars="8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投诉渠道：宝鸡市</w:t>
      </w:r>
      <w:r>
        <w:rPr>
          <w:rFonts w:hint="eastAsia" w:ascii="宋体" w:hAnsi="宋体" w:cs="宋体"/>
          <w:color w:val="auto"/>
          <w:kern w:val="0"/>
          <w:sz w:val="24"/>
          <w:szCs w:val="24"/>
          <w:highlight w:val="none"/>
          <w:lang w:eastAsia="zh-CN"/>
        </w:rPr>
        <w:t>麟游</w:t>
      </w:r>
      <w:r>
        <w:rPr>
          <w:rFonts w:hint="eastAsia" w:ascii="宋体" w:hAnsi="宋体" w:eastAsia="宋体" w:cs="宋体"/>
          <w:color w:val="auto"/>
          <w:kern w:val="0"/>
          <w:sz w:val="24"/>
          <w:szCs w:val="24"/>
          <w:highlight w:val="none"/>
        </w:rPr>
        <w:t>县</w:t>
      </w:r>
      <w:r>
        <w:rPr>
          <w:rFonts w:hint="eastAsia" w:ascii="宋体" w:hAnsi="宋体" w:cs="宋体"/>
          <w:color w:val="auto"/>
          <w:kern w:val="0"/>
          <w:sz w:val="24"/>
          <w:szCs w:val="24"/>
          <w:highlight w:val="none"/>
          <w:lang w:eastAsia="zh-CN"/>
        </w:rPr>
        <w:t>财政局</w:t>
      </w:r>
      <w:r>
        <w:rPr>
          <w:rFonts w:hint="eastAsia" w:ascii="宋体" w:hAnsi="宋体" w:eastAsia="宋体" w:cs="宋体"/>
          <w:color w:val="auto"/>
          <w:kern w:val="0"/>
          <w:sz w:val="24"/>
          <w:szCs w:val="24"/>
          <w:highlight w:val="none"/>
        </w:rPr>
        <w:t>采购股  0917-7963552。</w:t>
      </w:r>
    </w:p>
    <w:p w14:paraId="1A770860">
      <w:pPr>
        <w:keepNext w:val="0"/>
        <w:keepLines w:val="0"/>
        <w:pageBreakBefore w:val="0"/>
        <w:widowControl/>
        <w:kinsoku/>
        <w:overflowPunct/>
        <w:topLinePunct w:val="0"/>
        <w:autoSpaceDE/>
        <w:autoSpaceDN/>
        <w:bidi w:val="0"/>
        <w:adjustRightInd/>
        <w:snapToGrid/>
        <w:spacing w:line="54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八、对本次采购提出询问，请按以下方式联系。</w:t>
      </w:r>
    </w:p>
    <w:p w14:paraId="1AF3EB85">
      <w:pPr>
        <w:keepNext w:val="0"/>
        <w:keepLines w:val="0"/>
        <w:pageBreakBefore w:val="0"/>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18D4B783">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val="en-US" w:eastAsia="zh-CN"/>
        </w:rPr>
        <w:t>麟游县林业工作站</w:t>
      </w:r>
    </w:p>
    <w:p w14:paraId="59E2B8BE">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宝鸡市麟游县九成宫镇东大街27号</w:t>
      </w:r>
    </w:p>
    <w:p w14:paraId="08E18570">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0917-7962012</w:t>
      </w:r>
    </w:p>
    <w:p w14:paraId="67E630B0">
      <w:pPr>
        <w:keepNext w:val="0"/>
        <w:keepLines w:val="0"/>
        <w:pageBreakBefore w:val="0"/>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35D0407F">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名称：陕西鑫盛龙泽项目管理有限公司</w:t>
      </w:r>
    </w:p>
    <w:p w14:paraId="4CD78C7E">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kern w:val="0"/>
          <w:sz w:val="24"/>
          <w:szCs w:val="24"/>
          <w:highlight w:val="none"/>
        </w:rPr>
        <w:t>宝鸡市高新开发区华厦悦世界壹空间14层1408室</w:t>
      </w:r>
    </w:p>
    <w:p w14:paraId="6A29863A">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0917-3235808</w:t>
      </w:r>
    </w:p>
    <w:p w14:paraId="436403CD">
      <w:pPr>
        <w:keepNext w:val="0"/>
        <w:keepLines w:val="0"/>
        <w:pageBreakBefore w:val="0"/>
        <w:kinsoku/>
        <w:wordWrap w:val="0"/>
        <w:overflowPunct/>
        <w:topLinePunct w:val="0"/>
        <w:autoSpaceDE/>
        <w:autoSpaceDN/>
        <w:bidi w:val="0"/>
        <w:adjustRightInd/>
        <w:snapToGrid/>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439E6D40">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eastAsia="zh-CN"/>
        </w:rPr>
        <w:t>杨工</w:t>
      </w:r>
      <w:r>
        <w:rPr>
          <w:rFonts w:hint="eastAsia" w:ascii="宋体" w:hAnsi="宋体" w:cs="宋体"/>
          <w:color w:val="auto"/>
          <w:sz w:val="24"/>
          <w:szCs w:val="24"/>
          <w:highlight w:val="none"/>
          <w:lang w:val="en-US" w:eastAsia="zh-CN"/>
        </w:rPr>
        <w:t xml:space="preserve"> </w:t>
      </w:r>
    </w:p>
    <w:p w14:paraId="41458211">
      <w:pPr>
        <w:keepNext w:val="0"/>
        <w:keepLines w:val="0"/>
        <w:pageBreakBefore w:val="0"/>
        <w:kinsoku/>
        <w:wordWrap w:val="0"/>
        <w:overflowPunct/>
        <w:topLinePunct w:val="0"/>
        <w:autoSpaceDE/>
        <w:autoSpaceDN/>
        <w:bidi w:val="0"/>
        <w:adjustRightInd/>
        <w:snapToGrid/>
        <w:spacing w:line="540" w:lineRule="exact"/>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0917-3235808</w:t>
      </w:r>
      <w:r>
        <w:rPr>
          <w:rFonts w:hint="eastAsia" w:ascii="宋体" w:hAnsi="宋体" w:eastAsia="宋体" w:cs="宋体"/>
          <w:color w:val="auto"/>
          <w:kern w:val="0"/>
          <w:sz w:val="24"/>
          <w:szCs w:val="24"/>
          <w:highlight w:val="none"/>
          <w:lang w:val="en-US" w:eastAsia="zh-CN"/>
        </w:rPr>
        <w:t xml:space="preserve"> </w:t>
      </w:r>
    </w:p>
    <w:p w14:paraId="1CB0225A">
      <w:pPr>
        <w:pStyle w:val="27"/>
        <w:keepNext w:val="0"/>
        <w:keepLines w:val="0"/>
        <w:pageBreakBefore w:val="0"/>
        <w:kinsoku/>
        <w:wordWrap w:val="0"/>
        <w:overflowPunct/>
        <w:topLinePunct w:val="0"/>
        <w:autoSpaceDE/>
        <w:autoSpaceDN/>
        <w:bidi w:val="0"/>
        <w:adjustRightInd/>
        <w:snapToGrid/>
        <w:spacing w:beforeAutospacing="0" w:afterAutospacing="0" w:line="560" w:lineRule="exact"/>
        <w:ind w:firstLine="480" w:firstLineChars="200"/>
        <w:jc w:val="right"/>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陕西鑫盛龙泽项目管理有限公司</w:t>
      </w:r>
    </w:p>
    <w:p w14:paraId="7EE86487">
      <w:pPr>
        <w:pStyle w:val="27"/>
        <w:keepNext w:val="0"/>
        <w:keepLines w:val="0"/>
        <w:pageBreakBefore w:val="0"/>
        <w:shd w:val="clear" w:color="auto" w:fill="FFFFFF"/>
        <w:kinsoku/>
        <w:overflowPunct/>
        <w:topLinePunct w:val="0"/>
        <w:autoSpaceDE/>
        <w:autoSpaceDN/>
        <w:bidi w:val="0"/>
        <w:adjustRightInd/>
        <w:snapToGrid/>
        <w:spacing w:before="0" w:beforeAutospacing="0" w:after="0" w:afterAutospacing="0" w:line="560" w:lineRule="exact"/>
        <w:ind w:firstLine="480"/>
        <w:jc w:val="center"/>
        <w:textAlignment w:val="baseline"/>
        <w:rPr>
          <w:rFonts w:hint="eastAsia" w:ascii="宋体" w:hAnsi="宋体" w:eastAsia="宋体" w:cs="宋体"/>
          <w:color w:val="auto"/>
          <w:highlight w:val="none"/>
          <w:shd w:val="clear" w:color="auto" w:fill="FFFFFF"/>
        </w:rPr>
      </w:pPr>
      <w:r>
        <w:rPr>
          <w:rFonts w:hint="eastAsia"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202</w:t>
      </w:r>
      <w:r>
        <w:rPr>
          <w:rFonts w:hint="eastAsia"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cs="宋体"/>
          <w:color w:val="auto"/>
          <w:highlight w:val="none"/>
          <w:shd w:val="clear" w:color="auto" w:fill="FFFFFF"/>
          <w:lang w:val="en-US" w:eastAsia="zh-CN"/>
        </w:rPr>
        <w:t>9</w:t>
      </w:r>
      <w:r>
        <w:rPr>
          <w:rFonts w:hint="eastAsia" w:ascii="宋体" w:hAnsi="宋体" w:eastAsia="宋体" w:cs="宋体"/>
          <w:color w:val="auto"/>
          <w:highlight w:val="none"/>
          <w:shd w:val="clear" w:color="auto" w:fill="FFFFFF"/>
        </w:rPr>
        <w:t>月</w:t>
      </w:r>
      <w:r>
        <w:rPr>
          <w:rFonts w:hint="eastAsia" w:cs="宋体"/>
          <w:color w:val="auto"/>
          <w:highlight w:val="none"/>
          <w:shd w:val="clear" w:color="auto" w:fill="FFFFFF"/>
          <w:lang w:val="en-US" w:eastAsia="zh-CN"/>
        </w:rPr>
        <w:t>1</w:t>
      </w:r>
      <w:r>
        <w:rPr>
          <w:rFonts w:hint="eastAsia" w:ascii="宋体" w:hAnsi="宋体" w:eastAsia="宋体" w:cs="宋体"/>
          <w:color w:val="auto"/>
          <w:highlight w:val="none"/>
          <w:shd w:val="clear" w:color="auto" w:fill="FFFFFF"/>
        </w:rPr>
        <w:t>日</w:t>
      </w:r>
    </w:p>
    <w:p w14:paraId="22E3AD83">
      <w:pPr>
        <w:pStyle w:val="27"/>
        <w:keepNext w:val="0"/>
        <w:keepLines w:val="0"/>
        <w:pageBreakBefore w:val="0"/>
        <w:shd w:val="clear" w:color="auto" w:fill="FFFFFF"/>
        <w:kinsoku/>
        <w:overflowPunct/>
        <w:topLinePunct w:val="0"/>
        <w:autoSpaceDE/>
        <w:autoSpaceDN/>
        <w:bidi w:val="0"/>
        <w:adjustRightInd/>
        <w:snapToGrid/>
        <w:spacing w:before="0" w:beforeAutospacing="0" w:after="0" w:afterAutospacing="0" w:line="560" w:lineRule="exact"/>
        <w:ind w:firstLine="480"/>
        <w:jc w:val="center"/>
        <w:textAlignment w:val="baseline"/>
        <w:rPr>
          <w:rFonts w:hint="eastAsia" w:ascii="宋体" w:hAnsi="宋体" w:eastAsia="宋体" w:cs="宋体"/>
          <w:color w:val="auto"/>
          <w:highlight w:val="none"/>
          <w:shd w:val="clear" w:color="auto" w:fill="FFFFFF"/>
        </w:rPr>
      </w:pPr>
    </w:p>
    <w:p w14:paraId="0CB14600">
      <w:pPr>
        <w:pStyle w:val="27"/>
        <w:keepNext w:val="0"/>
        <w:keepLines w:val="0"/>
        <w:pageBreakBefore w:val="0"/>
        <w:shd w:val="clear" w:color="auto" w:fill="FFFFFF"/>
        <w:kinsoku/>
        <w:overflowPunct/>
        <w:topLinePunct w:val="0"/>
        <w:autoSpaceDE/>
        <w:autoSpaceDN/>
        <w:bidi w:val="0"/>
        <w:adjustRightInd/>
        <w:snapToGrid/>
        <w:spacing w:before="0" w:beforeAutospacing="0" w:after="0" w:afterAutospacing="0" w:line="560" w:lineRule="exact"/>
        <w:ind w:firstLine="480"/>
        <w:jc w:val="center"/>
        <w:textAlignment w:val="baseline"/>
        <w:rPr>
          <w:rFonts w:hint="eastAsia" w:ascii="宋体" w:hAnsi="宋体" w:eastAsia="宋体" w:cs="宋体"/>
          <w:color w:val="auto"/>
          <w:highlight w:val="none"/>
          <w:shd w:val="clear" w:color="auto" w:fill="FFFFFF"/>
        </w:rPr>
      </w:pPr>
    </w:p>
    <w:p w14:paraId="62E5F341">
      <w:pPr>
        <w:pStyle w:val="27"/>
        <w:keepNext w:val="0"/>
        <w:keepLines w:val="0"/>
        <w:pageBreakBefore w:val="0"/>
        <w:shd w:val="clear" w:color="auto" w:fill="FFFFFF"/>
        <w:kinsoku/>
        <w:overflowPunct/>
        <w:topLinePunct w:val="0"/>
        <w:autoSpaceDE/>
        <w:autoSpaceDN/>
        <w:bidi w:val="0"/>
        <w:adjustRightInd/>
        <w:snapToGrid/>
        <w:spacing w:before="0" w:beforeAutospacing="0" w:after="0" w:afterAutospacing="0" w:line="560" w:lineRule="exact"/>
        <w:ind w:firstLine="480"/>
        <w:jc w:val="center"/>
        <w:textAlignment w:val="baseline"/>
        <w:rPr>
          <w:rFonts w:hint="eastAsia" w:ascii="宋体" w:hAnsi="宋体" w:eastAsia="宋体" w:cs="宋体"/>
          <w:color w:val="auto"/>
          <w:highlight w:val="none"/>
          <w:shd w:val="clear" w:color="auto" w:fill="FFFFFF"/>
        </w:rPr>
      </w:pPr>
    </w:p>
    <w:p w14:paraId="5191B7C9">
      <w:pPr>
        <w:pStyle w:val="27"/>
        <w:keepNext w:val="0"/>
        <w:keepLines w:val="0"/>
        <w:pageBreakBefore w:val="0"/>
        <w:shd w:val="clear" w:color="auto" w:fill="FFFFFF"/>
        <w:kinsoku/>
        <w:overflowPunct/>
        <w:topLinePunct w:val="0"/>
        <w:autoSpaceDE/>
        <w:autoSpaceDN/>
        <w:bidi w:val="0"/>
        <w:adjustRightInd/>
        <w:snapToGrid/>
        <w:spacing w:before="0" w:beforeAutospacing="0" w:after="0" w:afterAutospacing="0" w:line="560" w:lineRule="exact"/>
        <w:ind w:firstLine="480"/>
        <w:jc w:val="center"/>
        <w:textAlignment w:val="baseline"/>
        <w:rPr>
          <w:rFonts w:hint="eastAsia" w:ascii="宋体" w:hAnsi="宋体" w:eastAsia="宋体" w:cs="宋体"/>
          <w:color w:val="auto"/>
          <w:highlight w:val="none"/>
          <w:shd w:val="clear" w:color="auto" w:fill="FFFFFF"/>
        </w:rPr>
      </w:pPr>
    </w:p>
    <w:p w14:paraId="0389BD61">
      <w:pPr>
        <w:pStyle w:val="27"/>
        <w:keepNext w:val="0"/>
        <w:keepLines w:val="0"/>
        <w:pageBreakBefore w:val="0"/>
        <w:shd w:val="clear" w:color="auto" w:fill="FFFFFF"/>
        <w:kinsoku/>
        <w:overflowPunct/>
        <w:topLinePunct w:val="0"/>
        <w:autoSpaceDE/>
        <w:autoSpaceDN/>
        <w:bidi w:val="0"/>
        <w:adjustRightInd/>
        <w:snapToGrid/>
        <w:spacing w:before="0" w:beforeAutospacing="0" w:after="0" w:afterAutospacing="0" w:line="560" w:lineRule="exact"/>
        <w:ind w:firstLine="480"/>
        <w:jc w:val="center"/>
        <w:textAlignment w:val="baseline"/>
        <w:rPr>
          <w:rFonts w:hint="eastAsia" w:ascii="宋体" w:hAnsi="宋体" w:eastAsia="宋体" w:cs="宋体"/>
          <w:color w:val="auto"/>
          <w:highlight w:val="none"/>
          <w:shd w:val="clear" w:color="auto" w:fill="FFFFFF"/>
        </w:rPr>
      </w:pPr>
    </w:p>
    <w:p w14:paraId="5F322F92">
      <w:pPr>
        <w:pStyle w:val="27"/>
        <w:keepNext w:val="0"/>
        <w:keepLines w:val="0"/>
        <w:pageBreakBefore w:val="0"/>
        <w:shd w:val="clear" w:color="auto" w:fill="FFFFFF"/>
        <w:kinsoku/>
        <w:overflowPunct/>
        <w:topLinePunct w:val="0"/>
        <w:autoSpaceDE/>
        <w:autoSpaceDN/>
        <w:bidi w:val="0"/>
        <w:adjustRightInd/>
        <w:snapToGrid/>
        <w:spacing w:before="0" w:beforeAutospacing="0" w:after="0" w:afterAutospacing="0" w:line="560" w:lineRule="exact"/>
        <w:ind w:firstLine="480"/>
        <w:jc w:val="center"/>
        <w:textAlignment w:val="baseline"/>
        <w:rPr>
          <w:rFonts w:hint="eastAsia" w:ascii="宋体" w:hAnsi="宋体" w:eastAsia="宋体" w:cs="宋体"/>
          <w:color w:val="auto"/>
          <w:highlight w:val="none"/>
          <w:shd w:val="clear" w:color="auto" w:fill="FFFFFF"/>
        </w:rPr>
      </w:pPr>
    </w:p>
    <w:p w14:paraId="54437914">
      <w:pPr>
        <w:pStyle w:val="5"/>
        <w:keepNext w:val="0"/>
        <w:keepLines w:val="0"/>
        <w:pageBreakBefore w:val="0"/>
        <w:widowControl w:val="0"/>
        <w:kinsoku/>
        <w:wordWrap/>
        <w:overflowPunct/>
        <w:topLinePunct w:val="0"/>
        <w:autoSpaceDE/>
        <w:autoSpaceDN/>
        <w:bidi w:val="0"/>
        <w:adjustRightInd/>
        <w:snapToGrid/>
        <w:spacing w:before="0" w:after="0" w:line="520" w:lineRule="exact"/>
        <w:ind w:left="0" w:leftChars="0" w:firstLine="0" w:firstLineChars="0"/>
        <w:jc w:val="center"/>
        <w:textAlignment w:val="auto"/>
        <w:rPr>
          <w:rFonts w:hint="eastAsia" w:ascii="宋体" w:hAnsi="宋体" w:eastAsia="宋体" w:cs="宋体"/>
          <w:kern w:val="0"/>
          <w:sz w:val="28"/>
          <w:szCs w:val="28"/>
          <w:highlight w:val="none"/>
        </w:rPr>
      </w:pPr>
      <w:bookmarkStart w:id="3" w:name="_Toc18239"/>
      <w:bookmarkStart w:id="4" w:name="_Toc26697"/>
      <w:r>
        <w:rPr>
          <w:rFonts w:hint="eastAsia" w:ascii="宋体" w:hAnsi="宋体" w:eastAsia="宋体" w:cs="宋体"/>
          <w:kern w:val="0"/>
          <w:sz w:val="28"/>
          <w:szCs w:val="28"/>
          <w:highlight w:val="none"/>
        </w:rPr>
        <w:t>第二章  供应商须知</w:t>
      </w:r>
      <w:bookmarkEnd w:id="2"/>
      <w:bookmarkEnd w:id="3"/>
      <w:bookmarkEnd w:id="4"/>
      <w:bookmarkStart w:id="5" w:name="_Toc31266"/>
      <w:bookmarkStart w:id="6" w:name="_Toc495674328"/>
      <w:bookmarkStart w:id="7" w:name="_Toc5058"/>
    </w:p>
    <w:p w14:paraId="0FC4430A">
      <w:pPr>
        <w:pStyle w:val="5"/>
        <w:keepNext w:val="0"/>
        <w:keepLines w:val="0"/>
        <w:pageBreakBefore w:val="0"/>
        <w:widowControl w:val="0"/>
        <w:kinsoku/>
        <w:wordWrap/>
        <w:overflowPunct/>
        <w:topLinePunct w:val="0"/>
        <w:autoSpaceDE/>
        <w:autoSpaceDN/>
        <w:bidi w:val="0"/>
        <w:adjustRightInd/>
        <w:snapToGrid/>
        <w:spacing w:before="0" w:after="0" w:line="520" w:lineRule="exact"/>
        <w:ind w:left="0" w:leftChars="0" w:firstLine="0" w:firstLineChars="0"/>
        <w:jc w:val="center"/>
        <w:textAlignment w:val="auto"/>
        <w:rPr>
          <w:rFonts w:hint="eastAsia" w:ascii="宋体" w:hAnsi="宋体" w:eastAsia="宋体" w:cs="宋体"/>
          <w:b/>
          <w:sz w:val="28"/>
          <w:szCs w:val="28"/>
          <w:highlight w:val="none"/>
        </w:rPr>
      </w:pPr>
      <w:bookmarkStart w:id="8" w:name="_Toc13106"/>
      <w:r>
        <w:rPr>
          <w:rFonts w:hint="eastAsia" w:ascii="宋体" w:hAnsi="宋体" w:eastAsia="宋体" w:cs="宋体"/>
          <w:b/>
          <w:sz w:val="28"/>
          <w:szCs w:val="28"/>
          <w:highlight w:val="none"/>
        </w:rPr>
        <w:t>供应商须知前附表</w:t>
      </w:r>
      <w:bookmarkEnd w:id="5"/>
      <w:bookmarkEnd w:id="6"/>
      <w:bookmarkEnd w:id="7"/>
      <w:bookmarkEnd w:id="8"/>
    </w:p>
    <w:tbl>
      <w:tblPr>
        <w:tblStyle w:val="31"/>
        <w:tblW w:w="94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68"/>
        <w:gridCol w:w="2113"/>
        <w:gridCol w:w="299"/>
        <w:gridCol w:w="6112"/>
      </w:tblGrid>
      <w:tr w14:paraId="5FB7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968" w:type="dxa"/>
            <w:shd w:val="clear" w:color="auto" w:fill="auto"/>
            <w:vAlign w:val="center"/>
          </w:tcPr>
          <w:p w14:paraId="10C525CC">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sz w:val="22"/>
                <w:szCs w:val="22"/>
                <w:highlight w:val="none"/>
              </w:rPr>
            </w:pPr>
            <w:r>
              <w:rPr>
                <w:rFonts w:hint="eastAsia" w:ascii="宋体" w:hAnsi="宋体" w:eastAsia="宋体" w:cs="宋体"/>
                <w:b/>
                <w:sz w:val="22"/>
                <w:szCs w:val="22"/>
                <w:highlight w:val="none"/>
              </w:rPr>
              <w:t>条款号</w:t>
            </w:r>
          </w:p>
        </w:tc>
        <w:tc>
          <w:tcPr>
            <w:tcW w:w="2113" w:type="dxa"/>
            <w:shd w:val="clear" w:color="auto" w:fill="auto"/>
            <w:vAlign w:val="center"/>
          </w:tcPr>
          <w:p w14:paraId="3F8C80BF">
            <w:pPr>
              <w:keepNext w:val="0"/>
              <w:keepLines w:val="0"/>
              <w:pageBreakBefore w:val="0"/>
              <w:widowControl w:val="0"/>
              <w:kinsoku/>
              <w:wordWrap/>
              <w:overflowPunct/>
              <w:topLinePunct w:val="0"/>
              <w:autoSpaceDE/>
              <w:autoSpaceDN/>
              <w:bidi w:val="0"/>
              <w:adjustRightInd w:val="0"/>
              <w:snapToGrid w:val="0"/>
              <w:spacing w:line="520" w:lineRule="exact"/>
              <w:ind w:firstLine="213"/>
              <w:jc w:val="center"/>
              <w:textAlignment w:val="auto"/>
              <w:rPr>
                <w:rFonts w:hint="eastAsia" w:ascii="宋体" w:hAnsi="宋体" w:eastAsia="宋体" w:cs="宋体"/>
                <w:b/>
                <w:sz w:val="22"/>
                <w:szCs w:val="22"/>
                <w:highlight w:val="none"/>
              </w:rPr>
            </w:pPr>
            <w:r>
              <w:rPr>
                <w:rFonts w:hint="eastAsia" w:ascii="宋体" w:hAnsi="宋体" w:eastAsia="宋体" w:cs="宋体"/>
                <w:b/>
                <w:sz w:val="22"/>
                <w:szCs w:val="22"/>
                <w:highlight w:val="none"/>
              </w:rPr>
              <w:t>条  款  名  称</w:t>
            </w:r>
          </w:p>
        </w:tc>
        <w:tc>
          <w:tcPr>
            <w:tcW w:w="6411" w:type="dxa"/>
            <w:gridSpan w:val="2"/>
            <w:shd w:val="clear" w:color="auto" w:fill="auto"/>
            <w:vAlign w:val="center"/>
          </w:tcPr>
          <w:p w14:paraId="2E04CFF1">
            <w:pPr>
              <w:keepNext w:val="0"/>
              <w:keepLines w:val="0"/>
              <w:pageBreakBefore w:val="0"/>
              <w:widowControl w:val="0"/>
              <w:kinsoku/>
              <w:wordWrap/>
              <w:overflowPunct/>
              <w:topLinePunct w:val="0"/>
              <w:autoSpaceDE/>
              <w:autoSpaceDN/>
              <w:bidi w:val="0"/>
              <w:adjustRightInd w:val="0"/>
              <w:snapToGrid w:val="0"/>
              <w:spacing w:line="520" w:lineRule="exact"/>
              <w:ind w:firstLine="193"/>
              <w:jc w:val="center"/>
              <w:textAlignment w:val="auto"/>
              <w:rPr>
                <w:rFonts w:hint="eastAsia" w:ascii="宋体" w:hAnsi="宋体" w:eastAsia="宋体" w:cs="宋体"/>
                <w:b/>
                <w:sz w:val="22"/>
                <w:szCs w:val="22"/>
                <w:highlight w:val="none"/>
              </w:rPr>
            </w:pPr>
            <w:r>
              <w:rPr>
                <w:rFonts w:hint="eastAsia" w:ascii="宋体" w:hAnsi="宋体" w:eastAsia="宋体" w:cs="宋体"/>
                <w:b/>
                <w:sz w:val="22"/>
                <w:szCs w:val="22"/>
                <w:highlight w:val="none"/>
              </w:rPr>
              <w:t>编  列  内  容</w:t>
            </w:r>
          </w:p>
        </w:tc>
      </w:tr>
      <w:tr w14:paraId="4288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4F5E1388">
            <w:pPr>
              <w:keepNext w:val="0"/>
              <w:keepLines w:val="0"/>
              <w:pageBreakBefore w:val="0"/>
              <w:widowControl w:val="0"/>
              <w:kinsoku/>
              <w:wordWrap/>
              <w:overflowPunct/>
              <w:topLinePunct w:val="0"/>
              <w:autoSpaceDE/>
              <w:autoSpaceDN/>
              <w:bidi w:val="0"/>
              <w:adjustRightInd w:val="0"/>
              <w:snapToGrid w:val="0"/>
              <w:spacing w:line="520" w:lineRule="exact"/>
              <w:ind w:left="-107" w:leftChars="-51"/>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1.1.2</w:t>
            </w:r>
          </w:p>
        </w:tc>
        <w:tc>
          <w:tcPr>
            <w:tcW w:w="2113" w:type="dxa"/>
            <w:shd w:val="clear" w:color="auto" w:fill="auto"/>
            <w:vAlign w:val="center"/>
          </w:tcPr>
          <w:p w14:paraId="1BF0B37D">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采购人</w:t>
            </w:r>
          </w:p>
        </w:tc>
        <w:tc>
          <w:tcPr>
            <w:tcW w:w="6411" w:type="dxa"/>
            <w:gridSpan w:val="2"/>
            <w:shd w:val="clear" w:color="auto" w:fill="auto"/>
            <w:vAlign w:val="center"/>
          </w:tcPr>
          <w:p w14:paraId="647FEC55">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名 称：</w:t>
            </w:r>
            <w:r>
              <w:rPr>
                <w:rFonts w:hint="eastAsia" w:ascii="宋体" w:hAnsi="宋体" w:cs="宋体"/>
                <w:sz w:val="22"/>
                <w:szCs w:val="22"/>
                <w:highlight w:val="none"/>
                <w:lang w:eastAsia="zh-CN"/>
              </w:rPr>
              <w:t>麟游县林业工作站</w:t>
            </w:r>
            <w:r>
              <w:rPr>
                <w:rFonts w:hint="eastAsia" w:ascii="宋体" w:hAnsi="宋体" w:eastAsia="宋体" w:cs="宋体"/>
                <w:sz w:val="22"/>
                <w:szCs w:val="22"/>
                <w:highlight w:val="none"/>
                <w:lang w:eastAsia="zh-CN"/>
              </w:rPr>
              <w:t xml:space="preserve"> </w:t>
            </w:r>
          </w:p>
          <w:p w14:paraId="3D1E73A9">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地址：宝鸡市麟游县九成宫镇东大街27号</w:t>
            </w:r>
          </w:p>
          <w:p w14:paraId="4894FEF7">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联系方式：</w:t>
            </w:r>
            <w:r>
              <w:rPr>
                <w:rFonts w:hint="eastAsia" w:ascii="宋体" w:hAnsi="宋体" w:eastAsia="宋体" w:cs="宋体"/>
                <w:sz w:val="22"/>
                <w:szCs w:val="22"/>
                <w:highlight w:val="none"/>
                <w:lang w:val="en-US" w:eastAsia="zh-CN"/>
              </w:rPr>
              <w:t>0917-7962012</w:t>
            </w:r>
          </w:p>
        </w:tc>
      </w:tr>
      <w:tr w14:paraId="2831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751710F7">
            <w:pPr>
              <w:keepNext w:val="0"/>
              <w:keepLines w:val="0"/>
              <w:pageBreakBefore w:val="0"/>
              <w:widowControl w:val="0"/>
              <w:kinsoku/>
              <w:wordWrap/>
              <w:overflowPunct/>
              <w:topLinePunct w:val="0"/>
              <w:autoSpaceDE/>
              <w:autoSpaceDN/>
              <w:bidi w:val="0"/>
              <w:adjustRightInd w:val="0"/>
              <w:snapToGrid w:val="0"/>
              <w:spacing w:line="520" w:lineRule="exact"/>
              <w:ind w:hanging="108"/>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1.1.3</w:t>
            </w:r>
          </w:p>
        </w:tc>
        <w:tc>
          <w:tcPr>
            <w:tcW w:w="2113" w:type="dxa"/>
            <w:shd w:val="clear" w:color="auto" w:fill="auto"/>
            <w:vAlign w:val="center"/>
          </w:tcPr>
          <w:p w14:paraId="2DA2E144">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采购代理机构</w:t>
            </w:r>
          </w:p>
        </w:tc>
        <w:tc>
          <w:tcPr>
            <w:tcW w:w="6411" w:type="dxa"/>
            <w:gridSpan w:val="2"/>
            <w:shd w:val="clear" w:color="auto" w:fill="auto"/>
            <w:vAlign w:val="center"/>
          </w:tcPr>
          <w:p w14:paraId="1A9073A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名称：陕西鑫盛龙泽项目管理有限公司</w:t>
            </w:r>
          </w:p>
          <w:p w14:paraId="279A57B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地址：宝鸡市高新开发区华厦悦世界壹空间14层1408室</w:t>
            </w:r>
          </w:p>
          <w:p w14:paraId="52EF5163">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联系方式：</w:t>
            </w:r>
            <w:r>
              <w:rPr>
                <w:rFonts w:hint="eastAsia" w:ascii="宋体" w:hAnsi="宋体" w:eastAsia="宋体" w:cs="宋体"/>
                <w:sz w:val="22"/>
                <w:szCs w:val="22"/>
                <w:highlight w:val="none"/>
                <w:lang w:val="en-US" w:eastAsia="zh-CN"/>
              </w:rPr>
              <w:t>0917-3235808</w:t>
            </w:r>
          </w:p>
        </w:tc>
      </w:tr>
      <w:tr w14:paraId="22A4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3BF1110C">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1.1.4</w:t>
            </w:r>
          </w:p>
        </w:tc>
        <w:tc>
          <w:tcPr>
            <w:tcW w:w="2113" w:type="dxa"/>
            <w:shd w:val="clear" w:color="auto" w:fill="auto"/>
            <w:vAlign w:val="center"/>
          </w:tcPr>
          <w:p w14:paraId="7D3A6C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竞争性谈判采购</w:t>
            </w:r>
          </w:p>
          <w:p w14:paraId="6C1041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项目名称</w:t>
            </w:r>
          </w:p>
        </w:tc>
        <w:tc>
          <w:tcPr>
            <w:tcW w:w="6411" w:type="dxa"/>
            <w:gridSpan w:val="2"/>
            <w:shd w:val="clear" w:color="auto" w:fill="auto"/>
            <w:vAlign w:val="center"/>
          </w:tcPr>
          <w:p w14:paraId="2B893A81">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麟游县2026年度省级林业草原改革发展资金野生动物收容救护能力提升项目(二次)</w:t>
            </w:r>
          </w:p>
        </w:tc>
      </w:tr>
      <w:tr w14:paraId="28205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68" w:type="dxa"/>
            <w:shd w:val="clear" w:color="auto" w:fill="auto"/>
            <w:vAlign w:val="center"/>
          </w:tcPr>
          <w:p w14:paraId="550FC7F9">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1.1.5</w:t>
            </w:r>
          </w:p>
        </w:tc>
        <w:tc>
          <w:tcPr>
            <w:tcW w:w="2113" w:type="dxa"/>
            <w:shd w:val="clear" w:color="auto" w:fill="auto"/>
            <w:vAlign w:val="center"/>
          </w:tcPr>
          <w:p w14:paraId="36B47AC4">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实施地点</w:t>
            </w:r>
          </w:p>
        </w:tc>
        <w:tc>
          <w:tcPr>
            <w:tcW w:w="6411" w:type="dxa"/>
            <w:gridSpan w:val="2"/>
            <w:shd w:val="clear" w:color="auto" w:fill="auto"/>
            <w:vAlign w:val="center"/>
          </w:tcPr>
          <w:p w14:paraId="223E82FD">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采购方指定地点</w:t>
            </w:r>
          </w:p>
        </w:tc>
      </w:tr>
      <w:tr w14:paraId="26E1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5B378F22">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1.2.1</w:t>
            </w:r>
          </w:p>
        </w:tc>
        <w:tc>
          <w:tcPr>
            <w:tcW w:w="2113" w:type="dxa"/>
            <w:shd w:val="clear" w:color="auto" w:fill="auto"/>
            <w:vAlign w:val="center"/>
          </w:tcPr>
          <w:p w14:paraId="0318E06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资金来源</w:t>
            </w:r>
          </w:p>
        </w:tc>
        <w:tc>
          <w:tcPr>
            <w:tcW w:w="6411" w:type="dxa"/>
            <w:gridSpan w:val="2"/>
            <w:shd w:val="clear" w:color="auto" w:fill="auto"/>
            <w:vAlign w:val="center"/>
          </w:tcPr>
          <w:p w14:paraId="63BA0915">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b w:val="0"/>
                <w:bCs w:val="0"/>
                <w:color w:val="000000"/>
                <w:sz w:val="22"/>
                <w:szCs w:val="22"/>
                <w:highlight w:val="none"/>
              </w:rPr>
              <w:t>2026年省级林业草原改革发展资金</w:t>
            </w:r>
          </w:p>
        </w:tc>
      </w:tr>
      <w:tr w14:paraId="1B2D0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23B63FB9">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1.2.2</w:t>
            </w:r>
          </w:p>
        </w:tc>
        <w:tc>
          <w:tcPr>
            <w:tcW w:w="2113" w:type="dxa"/>
            <w:shd w:val="clear" w:color="auto" w:fill="auto"/>
            <w:vAlign w:val="center"/>
          </w:tcPr>
          <w:p w14:paraId="11EBBFA4">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出资比例</w:t>
            </w:r>
          </w:p>
        </w:tc>
        <w:tc>
          <w:tcPr>
            <w:tcW w:w="6411" w:type="dxa"/>
            <w:gridSpan w:val="2"/>
            <w:shd w:val="clear" w:color="auto" w:fill="auto"/>
            <w:vAlign w:val="center"/>
          </w:tcPr>
          <w:p w14:paraId="0BA3062B">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100%</w:t>
            </w:r>
          </w:p>
        </w:tc>
      </w:tr>
      <w:tr w14:paraId="345B5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28B5DEEE">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1.2.3</w:t>
            </w:r>
          </w:p>
        </w:tc>
        <w:tc>
          <w:tcPr>
            <w:tcW w:w="2113" w:type="dxa"/>
            <w:shd w:val="clear" w:color="auto" w:fill="auto"/>
            <w:vAlign w:val="center"/>
          </w:tcPr>
          <w:p w14:paraId="0692B77D">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资金落实情况</w:t>
            </w:r>
          </w:p>
        </w:tc>
        <w:tc>
          <w:tcPr>
            <w:tcW w:w="6411" w:type="dxa"/>
            <w:gridSpan w:val="2"/>
            <w:shd w:val="clear" w:color="auto" w:fill="auto"/>
            <w:vAlign w:val="center"/>
          </w:tcPr>
          <w:p w14:paraId="5F4E84CC">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已落实</w:t>
            </w:r>
          </w:p>
        </w:tc>
      </w:tr>
      <w:tr w14:paraId="668DD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68" w:type="dxa"/>
            <w:shd w:val="clear" w:color="auto" w:fill="auto"/>
            <w:vAlign w:val="center"/>
          </w:tcPr>
          <w:p w14:paraId="29FEB53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1.3.1</w:t>
            </w:r>
          </w:p>
        </w:tc>
        <w:tc>
          <w:tcPr>
            <w:tcW w:w="2113" w:type="dxa"/>
            <w:shd w:val="clear" w:color="auto" w:fill="auto"/>
            <w:vAlign w:val="center"/>
          </w:tcPr>
          <w:p w14:paraId="4CA5623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竞争性谈判</w:t>
            </w:r>
          </w:p>
          <w:p w14:paraId="6758B5CB">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采购内容</w:t>
            </w:r>
          </w:p>
        </w:tc>
        <w:tc>
          <w:tcPr>
            <w:tcW w:w="6411" w:type="dxa"/>
            <w:gridSpan w:val="2"/>
            <w:shd w:val="clear" w:color="auto" w:fill="auto"/>
            <w:vAlign w:val="center"/>
          </w:tcPr>
          <w:p w14:paraId="24F56ACF">
            <w:pPr>
              <w:widowControl/>
              <w:kinsoku w:val="0"/>
              <w:autoSpaceDE w:val="0"/>
              <w:autoSpaceDN w:val="0"/>
              <w:adjustRightInd w:val="0"/>
              <w:snapToGrid w:val="0"/>
              <w:spacing w:line="420" w:lineRule="exact"/>
              <w:jc w:val="left"/>
              <w:textAlignment w:val="baseline"/>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本项目主要内容为购置野生动物救护防护物资547个(套、盒、双、袋)、购买野生动物救护医疗器具1686个(台、盏、片、支、把、盒、包、卷)、购买救护药品20种、购置救护野生动物诊疗设备3台、购买救护野生动物饲料100公斤；制作指示牌和标志牌各一面。</w:t>
            </w:r>
            <w:r>
              <w:rPr>
                <w:rFonts w:hint="eastAsia" w:ascii="宋体" w:hAnsi="宋体" w:eastAsia="宋体" w:cs="宋体"/>
                <w:sz w:val="22"/>
                <w:szCs w:val="22"/>
                <w:highlight w:val="none"/>
                <w:lang w:eastAsia="zh-CN"/>
              </w:rPr>
              <w:t>具体内容详见采购需求。</w:t>
            </w:r>
          </w:p>
        </w:tc>
      </w:tr>
      <w:tr w14:paraId="53E6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968" w:type="dxa"/>
            <w:shd w:val="clear" w:color="auto" w:fill="auto"/>
            <w:vAlign w:val="center"/>
          </w:tcPr>
          <w:p w14:paraId="7EBFDDC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1.3.2</w:t>
            </w:r>
          </w:p>
        </w:tc>
        <w:tc>
          <w:tcPr>
            <w:tcW w:w="2113" w:type="dxa"/>
            <w:shd w:val="clear" w:color="auto" w:fill="auto"/>
            <w:vAlign w:val="center"/>
          </w:tcPr>
          <w:p w14:paraId="366CBADE">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供货期</w:t>
            </w:r>
          </w:p>
        </w:tc>
        <w:tc>
          <w:tcPr>
            <w:tcW w:w="6411" w:type="dxa"/>
            <w:gridSpan w:val="2"/>
            <w:shd w:val="clear" w:color="auto" w:fill="auto"/>
            <w:vAlign w:val="center"/>
          </w:tcPr>
          <w:p w14:paraId="1CC145FD">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自签订合同之日起</w:t>
            </w:r>
            <w:r>
              <w:rPr>
                <w:rFonts w:hint="eastAsia" w:ascii="宋体" w:hAnsi="宋体" w:cs="宋体"/>
                <w:color w:val="auto"/>
                <w:sz w:val="22"/>
                <w:szCs w:val="22"/>
                <w:highlight w:val="none"/>
                <w:lang w:val="en-US" w:eastAsia="zh-CN"/>
              </w:rPr>
              <w:t>30</w:t>
            </w:r>
            <w:r>
              <w:rPr>
                <w:rFonts w:hint="eastAsia" w:ascii="宋体" w:hAnsi="宋体" w:eastAsia="宋体" w:cs="宋体"/>
                <w:color w:val="auto"/>
                <w:sz w:val="22"/>
                <w:szCs w:val="22"/>
                <w:highlight w:val="none"/>
                <w:lang w:val="en-US" w:eastAsia="zh-CN"/>
              </w:rPr>
              <w:t>日历天</w:t>
            </w:r>
          </w:p>
        </w:tc>
      </w:tr>
      <w:tr w14:paraId="05AD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968" w:type="dxa"/>
            <w:shd w:val="clear" w:color="auto" w:fill="auto"/>
            <w:vAlign w:val="center"/>
          </w:tcPr>
          <w:p w14:paraId="34AADA1C">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1.3.3</w:t>
            </w:r>
          </w:p>
        </w:tc>
        <w:tc>
          <w:tcPr>
            <w:tcW w:w="2113" w:type="dxa"/>
            <w:shd w:val="clear" w:color="auto" w:fill="auto"/>
            <w:vAlign w:val="center"/>
          </w:tcPr>
          <w:p w14:paraId="1F53F84E">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质量</w:t>
            </w:r>
            <w:r>
              <w:rPr>
                <w:rFonts w:hint="eastAsia" w:ascii="宋体" w:hAnsi="宋体" w:eastAsia="宋体" w:cs="宋体"/>
                <w:sz w:val="22"/>
                <w:szCs w:val="22"/>
                <w:highlight w:val="none"/>
                <w:lang w:eastAsia="zh-CN"/>
              </w:rPr>
              <w:t>要求</w:t>
            </w:r>
          </w:p>
        </w:tc>
        <w:tc>
          <w:tcPr>
            <w:tcW w:w="6411" w:type="dxa"/>
            <w:gridSpan w:val="2"/>
            <w:shd w:val="clear" w:color="auto" w:fill="auto"/>
            <w:vAlign w:val="center"/>
          </w:tcPr>
          <w:p w14:paraId="31F94DEF">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符合国家标准或行业规范，达到合格标准。</w:t>
            </w:r>
          </w:p>
        </w:tc>
      </w:tr>
      <w:tr w14:paraId="4D2E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968" w:type="dxa"/>
            <w:shd w:val="clear" w:color="auto" w:fill="auto"/>
            <w:vAlign w:val="center"/>
          </w:tcPr>
          <w:p w14:paraId="0CC52F01">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sz w:val="22"/>
                <w:szCs w:val="22"/>
                <w:highlight w:val="none"/>
              </w:rPr>
            </w:pPr>
            <w:r>
              <w:rPr>
                <w:rFonts w:hint="eastAsia" w:ascii="宋体" w:hAnsi="宋体" w:eastAsia="宋体" w:cs="宋体"/>
                <w:sz w:val="22"/>
                <w:szCs w:val="22"/>
                <w:highlight w:val="none"/>
              </w:rPr>
              <w:t>1.4.1</w:t>
            </w:r>
          </w:p>
        </w:tc>
        <w:tc>
          <w:tcPr>
            <w:tcW w:w="2113" w:type="dxa"/>
            <w:shd w:val="clear" w:color="auto" w:fill="auto"/>
            <w:vAlign w:val="center"/>
          </w:tcPr>
          <w:p w14:paraId="4BCD32D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0D51F1B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1ACB7B0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67F78B7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6D0EA5F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50DD78C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481F690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3163AB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7C773FF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50B04E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393218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54B854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1ED493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5D66A11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200E3A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4BCF4BD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02A9E6B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2CB308D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6E31CC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59F85CB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3DB4FF8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p>
          <w:p w14:paraId="769551A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供应商资格要求</w:t>
            </w:r>
          </w:p>
          <w:p w14:paraId="46FD77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sz w:val="22"/>
                <w:szCs w:val="22"/>
                <w:highlight w:val="none"/>
              </w:rPr>
            </w:pPr>
            <w:r>
              <w:rPr>
                <w:rFonts w:hint="eastAsia" w:ascii="宋体" w:hAnsi="宋体" w:eastAsia="宋体" w:cs="宋体"/>
                <w:sz w:val="22"/>
                <w:szCs w:val="22"/>
                <w:highlight w:val="none"/>
              </w:rPr>
              <w:t>及条件</w:t>
            </w:r>
          </w:p>
        </w:tc>
        <w:tc>
          <w:tcPr>
            <w:tcW w:w="6411" w:type="dxa"/>
            <w:gridSpan w:val="2"/>
            <w:shd w:val="clear" w:color="auto" w:fill="auto"/>
            <w:vAlign w:val="center"/>
          </w:tcPr>
          <w:p w14:paraId="1F992B85">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1、满足《中华人民共和国政府采购法》第二十二条规定</w:t>
            </w:r>
            <w:r>
              <w:rPr>
                <w:rFonts w:hint="eastAsia" w:ascii="宋体" w:hAnsi="宋体" w:eastAsia="宋体" w:cs="宋体"/>
                <w:b/>
                <w:bCs/>
                <w:sz w:val="22"/>
                <w:szCs w:val="22"/>
                <w:highlight w:val="none"/>
                <w:lang w:eastAsia="zh-CN"/>
              </w:rPr>
              <w:t>；</w:t>
            </w:r>
          </w:p>
          <w:p w14:paraId="5903CC91">
            <w:pPr>
              <w:keepNext w:val="0"/>
              <w:keepLines w:val="0"/>
              <w:pageBreakBefore w:val="0"/>
              <w:widowControl w:val="0"/>
              <w:kinsoku/>
              <w:wordWrap w:val="0"/>
              <w:overflowPunct/>
              <w:topLinePunct w:val="0"/>
              <w:autoSpaceDE/>
              <w:autoSpaceDN/>
              <w:bidi w:val="0"/>
              <w:adjustRightInd/>
              <w:snapToGrid/>
              <w:spacing w:line="420" w:lineRule="exact"/>
              <w:ind w:firstLine="440" w:firstLineChars="200"/>
              <w:textAlignment w:val="auto"/>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1.1</w:t>
            </w:r>
            <w:r>
              <w:rPr>
                <w:rFonts w:hint="eastAsia" w:ascii="宋体" w:hAnsi="宋体" w:eastAsia="宋体" w:cs="宋体"/>
                <w:b w:val="0"/>
                <w:bCs w:val="0"/>
                <w:sz w:val="22"/>
                <w:szCs w:val="22"/>
                <w:highlight w:val="none"/>
                <w:lang w:val="en-US" w:eastAsia="zh-CN"/>
              </w:rPr>
              <w:t>具有独立承担民事责任能力的法人、其他组织或自然人，并出具合法有效的营业执照或事业单位法人证书等国家规定的相关证明，自然人参与的提供其身份证明（复印件加盖供应商公章）</w:t>
            </w:r>
            <w:r>
              <w:rPr>
                <w:rFonts w:hint="eastAsia" w:ascii="宋体" w:hAnsi="宋体" w:eastAsia="宋体" w:cs="宋体"/>
                <w:b w:val="0"/>
                <w:bCs w:val="0"/>
                <w:sz w:val="22"/>
                <w:szCs w:val="22"/>
                <w:highlight w:val="none"/>
                <w:lang w:eastAsia="zh-CN"/>
              </w:rPr>
              <w:t>；</w:t>
            </w:r>
          </w:p>
          <w:p w14:paraId="2848A03F">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440" w:firstLineChars="200"/>
              <w:jc w:val="left"/>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1.2</w:t>
            </w:r>
            <w:r>
              <w:rPr>
                <w:rFonts w:hint="eastAsia" w:ascii="宋体" w:hAnsi="宋体" w:eastAsia="宋体" w:cs="宋体"/>
                <w:b w:val="0"/>
                <w:bCs w:val="0"/>
                <w:sz w:val="22"/>
                <w:szCs w:val="22"/>
                <w:highlight w:val="none"/>
                <w:lang w:val="en-US" w:eastAsia="zh-CN"/>
              </w:rPr>
              <w:t>提供2025年度经审计的财务报告（至少包括资产负债表和利润表，成立时间至提交响应文件截止时间不足一年的可提供成立后任意时段的资产负债表），报告须真实有效并符合《关于加强审计报告查验工作的通知》（财会[2023]15号）文件的要求，报告须赋二维码；或其开标前三个月内基本存款账户开户银行出具的资信证明及基本存款账户开户许可证（或基本存款账户信息）；或信用担保机构出具的投标担保函。（以上三种形式的资料提供任何一种即可，</w:t>
            </w:r>
            <w:r>
              <w:rPr>
                <w:rFonts w:hint="eastAsia" w:ascii="宋体" w:hAnsi="宋体" w:eastAsia="宋体" w:cs="宋体"/>
                <w:b w:val="0"/>
                <w:bCs w:val="0"/>
                <w:sz w:val="22"/>
                <w:szCs w:val="22"/>
                <w:highlight w:val="none"/>
                <w:lang w:eastAsia="zh-CN"/>
              </w:rPr>
              <w:t>复印件加盖供应商公章</w:t>
            </w:r>
            <w:r>
              <w:rPr>
                <w:rFonts w:hint="eastAsia" w:ascii="宋体" w:hAnsi="宋体" w:eastAsia="宋体" w:cs="宋体"/>
                <w:b w:val="0"/>
                <w:bCs w:val="0"/>
                <w:sz w:val="22"/>
                <w:szCs w:val="22"/>
                <w:highlight w:val="none"/>
                <w:lang w:val="en-US" w:eastAsia="zh-CN"/>
              </w:rPr>
              <w:t>）</w:t>
            </w:r>
            <w:r>
              <w:rPr>
                <w:rFonts w:hint="eastAsia" w:ascii="宋体" w:hAnsi="宋体" w:eastAsia="宋体" w:cs="宋体"/>
                <w:color w:val="auto"/>
                <w:kern w:val="0"/>
                <w:sz w:val="22"/>
                <w:szCs w:val="22"/>
                <w:highlight w:val="none"/>
                <w:lang w:val="en-US" w:eastAsia="zh-CN"/>
              </w:rPr>
              <w:t xml:space="preserve">； </w:t>
            </w:r>
          </w:p>
          <w:p w14:paraId="0B92D997">
            <w:pPr>
              <w:keepNext w:val="0"/>
              <w:keepLines w:val="0"/>
              <w:pageBreakBefore w:val="0"/>
              <w:widowControl w:val="0"/>
              <w:kinsoku/>
              <w:wordWrap w:val="0"/>
              <w:overflowPunct/>
              <w:topLinePunct w:val="0"/>
              <w:autoSpaceDE/>
              <w:autoSpaceDN/>
              <w:bidi w:val="0"/>
              <w:adjustRightInd/>
              <w:snapToGrid/>
              <w:spacing w:line="408" w:lineRule="auto"/>
              <w:ind w:firstLine="440" w:firstLineChars="200"/>
              <w:textAlignment w:val="auto"/>
              <w:rPr>
                <w:rFonts w:hint="eastAsia" w:ascii="宋体" w:hAnsi="宋体" w:eastAsia="宋体" w:cs="宋体"/>
                <w:sz w:val="22"/>
                <w:szCs w:val="22"/>
                <w:highlight w:val="none"/>
              </w:rPr>
            </w:pPr>
            <w:r>
              <w:rPr>
                <w:rFonts w:hint="eastAsia" w:ascii="宋体" w:hAnsi="宋体" w:cs="宋体"/>
                <w:color w:val="auto"/>
                <w:kern w:val="0"/>
                <w:sz w:val="22"/>
                <w:szCs w:val="22"/>
                <w:highlight w:val="none"/>
                <w:lang w:val="en-US" w:eastAsia="zh-CN"/>
              </w:rPr>
              <w:t>1.3</w:t>
            </w:r>
            <w:r>
              <w:rPr>
                <w:rFonts w:hint="eastAsia" w:ascii="宋体" w:hAnsi="宋体" w:eastAsia="宋体" w:cs="宋体"/>
                <w:b w:val="0"/>
                <w:bCs w:val="0"/>
                <w:sz w:val="22"/>
                <w:szCs w:val="22"/>
                <w:highlight w:val="none"/>
                <w:lang w:eastAsia="zh-CN"/>
              </w:rPr>
              <w:t>有依法缴纳社会保障资金的良好记录：提供</w:t>
            </w:r>
            <w:r>
              <w:rPr>
                <w:rFonts w:hint="eastAsia" w:ascii="宋体" w:hAnsi="宋体" w:eastAsia="宋体" w:cs="宋体"/>
                <w:b w:val="0"/>
                <w:bCs w:val="0"/>
                <w:sz w:val="22"/>
                <w:szCs w:val="22"/>
                <w:highlight w:val="none"/>
                <w:lang w:val="en-US" w:eastAsia="zh-CN"/>
              </w:rPr>
              <w:t>202</w:t>
            </w:r>
            <w:r>
              <w:rPr>
                <w:rFonts w:hint="eastAsia" w:ascii="宋体" w:hAnsi="宋体" w:cs="宋体"/>
                <w:b w:val="0"/>
                <w:bCs w:val="0"/>
                <w:sz w:val="22"/>
                <w:szCs w:val="22"/>
                <w:highlight w:val="none"/>
                <w:lang w:val="en-US" w:eastAsia="zh-CN"/>
              </w:rPr>
              <w:t>6</w:t>
            </w:r>
            <w:r>
              <w:rPr>
                <w:rFonts w:hint="eastAsia" w:ascii="宋体" w:hAnsi="宋体" w:eastAsia="宋体" w:cs="宋体"/>
                <w:b w:val="0"/>
                <w:bCs w:val="0"/>
                <w:sz w:val="22"/>
                <w:szCs w:val="22"/>
                <w:highlight w:val="none"/>
                <w:lang w:val="en-US" w:eastAsia="zh-CN"/>
              </w:rPr>
              <w:t>年1月至今</w:t>
            </w:r>
            <w:r>
              <w:rPr>
                <w:rFonts w:hint="eastAsia" w:ascii="宋体" w:hAnsi="宋体" w:eastAsia="宋体" w:cs="宋体"/>
                <w:b w:val="0"/>
                <w:bCs w:val="0"/>
                <w:sz w:val="22"/>
                <w:szCs w:val="22"/>
                <w:highlight w:val="none"/>
                <w:lang w:eastAsia="zh-CN"/>
              </w:rPr>
              <w:t>任意一个月</w:t>
            </w:r>
            <w:r>
              <w:rPr>
                <w:rFonts w:hint="eastAsia" w:ascii="宋体" w:hAnsi="宋体" w:eastAsia="宋体" w:cs="宋体"/>
                <w:b w:val="0"/>
                <w:bCs w:val="0"/>
                <w:sz w:val="22"/>
                <w:szCs w:val="22"/>
                <w:highlight w:val="none"/>
                <w:lang w:val="en-US" w:eastAsia="zh-CN"/>
              </w:rPr>
              <w:t>已缴存</w:t>
            </w:r>
            <w:r>
              <w:rPr>
                <w:rFonts w:hint="eastAsia" w:ascii="宋体" w:hAnsi="宋体" w:eastAsia="宋体" w:cs="宋体"/>
                <w:b w:val="0"/>
                <w:bCs w:val="0"/>
                <w:sz w:val="22"/>
                <w:szCs w:val="22"/>
                <w:highlight w:val="none"/>
                <w:lang w:eastAsia="zh-CN"/>
              </w:rPr>
              <w:t>的社会保障资金缴存单据或社保机构开具的社会保险参保缴费情况证明。依法不需要缴纳社会保障资金的供应商应提供相关文件证明（复印件加盖供应商公章）</w:t>
            </w:r>
            <w:r>
              <w:rPr>
                <w:rFonts w:hint="eastAsia" w:ascii="宋体" w:hAnsi="宋体" w:eastAsia="宋体" w:cs="宋体"/>
                <w:sz w:val="22"/>
                <w:szCs w:val="22"/>
                <w:highlight w:val="none"/>
              </w:rPr>
              <w:t>；</w:t>
            </w:r>
          </w:p>
          <w:p w14:paraId="4BCD72B8">
            <w:pPr>
              <w:keepNext w:val="0"/>
              <w:keepLines w:val="0"/>
              <w:pageBreakBefore w:val="0"/>
              <w:widowControl w:val="0"/>
              <w:kinsoku/>
              <w:wordWrap w:val="0"/>
              <w:overflowPunct/>
              <w:topLinePunct w:val="0"/>
              <w:autoSpaceDE/>
              <w:autoSpaceDN/>
              <w:bidi w:val="0"/>
              <w:adjustRightInd/>
              <w:snapToGrid/>
              <w:spacing w:line="408" w:lineRule="auto"/>
              <w:ind w:firstLine="440" w:firstLineChars="200"/>
              <w:textAlignment w:val="auto"/>
              <w:rPr>
                <w:rFonts w:hint="eastAsia" w:ascii="宋体" w:hAnsi="宋体" w:eastAsia="宋体" w:cs="宋体"/>
                <w:color w:val="0000FF"/>
                <w:kern w:val="0"/>
                <w:sz w:val="22"/>
                <w:szCs w:val="22"/>
                <w:highlight w:val="none"/>
                <w:lang w:val="en-US" w:eastAsia="zh-CN"/>
              </w:rPr>
            </w:pPr>
            <w:r>
              <w:rPr>
                <w:rFonts w:hint="eastAsia" w:ascii="宋体" w:hAnsi="宋体" w:cs="宋体"/>
                <w:sz w:val="22"/>
                <w:szCs w:val="22"/>
                <w:highlight w:val="none"/>
                <w:lang w:val="en-US" w:eastAsia="zh-CN"/>
              </w:rPr>
              <w:t>1.4</w:t>
            </w:r>
            <w:r>
              <w:rPr>
                <w:rFonts w:hint="eastAsia" w:ascii="宋体" w:hAnsi="宋体" w:eastAsia="宋体" w:cs="宋体"/>
                <w:b w:val="0"/>
                <w:bCs w:val="0"/>
                <w:sz w:val="22"/>
                <w:szCs w:val="22"/>
                <w:highlight w:val="none"/>
                <w:lang w:eastAsia="zh-CN"/>
              </w:rPr>
              <w:t>有依法缴纳税收的良好记录：提供</w:t>
            </w:r>
            <w:r>
              <w:rPr>
                <w:rFonts w:hint="eastAsia" w:ascii="宋体" w:hAnsi="宋体" w:eastAsia="宋体" w:cs="宋体"/>
                <w:b w:val="0"/>
                <w:bCs w:val="0"/>
                <w:sz w:val="22"/>
                <w:szCs w:val="22"/>
                <w:highlight w:val="none"/>
                <w:lang w:val="en-US" w:eastAsia="zh-CN"/>
              </w:rPr>
              <w:t>202</w:t>
            </w:r>
            <w:r>
              <w:rPr>
                <w:rFonts w:hint="eastAsia" w:ascii="宋体" w:hAnsi="宋体" w:cs="宋体"/>
                <w:b w:val="0"/>
                <w:bCs w:val="0"/>
                <w:sz w:val="22"/>
                <w:szCs w:val="22"/>
                <w:highlight w:val="none"/>
                <w:lang w:val="en-US" w:eastAsia="zh-CN"/>
              </w:rPr>
              <w:t>6</w:t>
            </w:r>
            <w:r>
              <w:rPr>
                <w:rFonts w:hint="eastAsia" w:ascii="宋体" w:hAnsi="宋体" w:eastAsia="宋体" w:cs="宋体"/>
                <w:b w:val="0"/>
                <w:bCs w:val="0"/>
                <w:sz w:val="22"/>
                <w:szCs w:val="22"/>
                <w:highlight w:val="none"/>
                <w:lang w:val="en-US" w:eastAsia="zh-CN"/>
              </w:rPr>
              <w:t>年1月至今</w:t>
            </w:r>
            <w:r>
              <w:rPr>
                <w:rFonts w:hint="eastAsia" w:ascii="宋体" w:hAnsi="宋体" w:eastAsia="宋体" w:cs="宋体"/>
                <w:b w:val="0"/>
                <w:bCs w:val="0"/>
                <w:sz w:val="22"/>
                <w:szCs w:val="22"/>
                <w:highlight w:val="none"/>
                <w:lang w:eastAsia="zh-CN"/>
              </w:rPr>
              <w:t>任意一个月</w:t>
            </w:r>
            <w:r>
              <w:rPr>
                <w:rFonts w:hint="eastAsia" w:ascii="宋体" w:hAnsi="宋体" w:eastAsia="宋体" w:cs="宋体"/>
                <w:b w:val="0"/>
                <w:bCs w:val="0"/>
                <w:sz w:val="22"/>
                <w:szCs w:val="22"/>
                <w:highlight w:val="none"/>
                <w:lang w:val="en-US" w:eastAsia="zh-CN"/>
              </w:rPr>
              <w:t>已缴纳</w:t>
            </w:r>
            <w:r>
              <w:rPr>
                <w:rFonts w:hint="eastAsia" w:ascii="宋体" w:hAnsi="宋体" w:eastAsia="宋体" w:cs="宋体"/>
                <w:b w:val="0"/>
                <w:bCs w:val="0"/>
                <w:sz w:val="22"/>
                <w:szCs w:val="22"/>
                <w:highlight w:val="none"/>
                <w:lang w:eastAsia="zh-CN"/>
              </w:rPr>
              <w:t>的纳税证明或完税证明，依法免税的供应商应提供相关证明材料（复印件加盖供应商公章）</w:t>
            </w:r>
            <w:r>
              <w:rPr>
                <w:rFonts w:hint="eastAsia" w:ascii="宋体" w:hAnsi="宋体" w:eastAsia="宋体" w:cs="宋体"/>
                <w:sz w:val="22"/>
                <w:szCs w:val="22"/>
                <w:highlight w:val="none"/>
              </w:rPr>
              <w:t>；</w:t>
            </w:r>
          </w:p>
          <w:p w14:paraId="79A9E706">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440" w:firstLineChars="200"/>
              <w:jc w:val="left"/>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1.5</w:t>
            </w:r>
            <w:r>
              <w:rPr>
                <w:rFonts w:hint="eastAsia" w:ascii="宋体" w:hAnsi="宋体" w:eastAsia="宋体" w:cs="宋体"/>
                <w:b w:val="0"/>
                <w:bCs w:val="0"/>
                <w:sz w:val="22"/>
                <w:szCs w:val="22"/>
                <w:highlight w:val="none"/>
                <w:lang w:eastAsia="zh-CN"/>
              </w:rPr>
              <w:t>参加政府采购活动前三年内，在经营活动中没有重大违法记录：提供参加本次政府采购活动前三年内在经营活动中没有重大违法记录的书面声明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kern w:val="0"/>
                <w:sz w:val="22"/>
                <w:szCs w:val="22"/>
                <w:highlight w:val="none"/>
                <w:lang w:val="en-US" w:eastAsia="zh-CN"/>
              </w:rPr>
              <w:t xml:space="preserve">； </w:t>
            </w:r>
          </w:p>
          <w:p w14:paraId="14404D81">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440" w:firstLineChars="200"/>
              <w:jc w:val="left"/>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1.6</w:t>
            </w:r>
            <w:r>
              <w:rPr>
                <w:rFonts w:hint="eastAsia" w:ascii="宋体" w:hAnsi="宋体" w:eastAsia="宋体" w:cs="宋体"/>
                <w:b w:val="0"/>
                <w:bCs w:val="0"/>
                <w:sz w:val="22"/>
                <w:szCs w:val="22"/>
                <w:highlight w:val="none"/>
                <w:lang w:eastAsia="zh-CN"/>
              </w:rPr>
              <w:t>具有履行合同所必需的设备和专业技术能力：提供具有履行本合同所必需的设备和专业技术能力的</w:t>
            </w:r>
            <w:r>
              <w:rPr>
                <w:rFonts w:hint="eastAsia" w:ascii="宋体" w:hAnsi="宋体" w:eastAsia="宋体" w:cs="宋体"/>
                <w:b w:val="0"/>
                <w:bCs w:val="0"/>
                <w:sz w:val="22"/>
                <w:szCs w:val="22"/>
                <w:highlight w:val="none"/>
                <w:lang w:val="en-US" w:eastAsia="zh-CN"/>
              </w:rPr>
              <w:t>承诺书</w:t>
            </w:r>
            <w:r>
              <w:rPr>
                <w:rFonts w:hint="eastAsia" w:ascii="宋体" w:hAnsi="宋体" w:eastAsia="宋体" w:cs="宋体"/>
                <w:color w:val="auto"/>
                <w:kern w:val="0"/>
                <w:sz w:val="22"/>
                <w:szCs w:val="22"/>
                <w:highlight w:val="none"/>
                <w:lang w:val="en-US" w:eastAsia="zh-CN"/>
              </w:rPr>
              <w:t>；</w:t>
            </w:r>
          </w:p>
          <w:p w14:paraId="035164F9">
            <w:pPr>
              <w:wordWrap w:val="0"/>
              <w:spacing w:line="42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2.落实政府采购政策需满足的资格要求：</w:t>
            </w:r>
          </w:p>
          <w:p w14:paraId="6EBC4947">
            <w:pPr>
              <w:tabs>
                <w:tab w:val="left" w:pos="1180"/>
              </w:tabs>
              <w:spacing w:line="420" w:lineRule="exact"/>
              <w:ind w:firstLine="440" w:firstLineChars="200"/>
              <w:rPr>
                <w:rFonts w:hint="eastAsia" w:ascii="宋体" w:hAnsi="宋体" w:eastAsia="宋体" w:cs="宋体"/>
                <w:b/>
                <w:bCs/>
                <w:sz w:val="22"/>
                <w:szCs w:val="22"/>
                <w:highlight w:val="none"/>
                <w:lang w:eastAsia="zh-CN"/>
              </w:rPr>
            </w:pPr>
            <w:r>
              <w:rPr>
                <w:rFonts w:hint="eastAsia" w:ascii="宋体" w:hAnsi="宋体" w:eastAsia="宋体" w:cs="宋体"/>
                <w:b w:val="0"/>
                <w:bCs w:val="0"/>
                <w:sz w:val="22"/>
                <w:szCs w:val="22"/>
                <w:highlight w:val="none"/>
                <w:lang w:eastAsia="zh-CN"/>
              </w:rPr>
              <w:t>本项目专门面向中小企业采购，供应商须提供中小企业声明函（监狱企业和残疾人福利性单位视为中小企业，如有虚假，将依法承担相应责任）。</w:t>
            </w:r>
            <w:r>
              <w:rPr>
                <w:rFonts w:hint="eastAsia" w:ascii="宋体" w:hAnsi="宋体" w:eastAsia="宋体" w:cs="宋体"/>
                <w:b/>
                <w:bCs/>
                <w:sz w:val="22"/>
                <w:szCs w:val="22"/>
                <w:highlight w:val="none"/>
                <w:lang w:eastAsia="zh-CN"/>
              </w:rPr>
              <w:t>（格式详见第二章附件二）</w:t>
            </w:r>
          </w:p>
          <w:p w14:paraId="79A5C999">
            <w:pPr>
              <w:tabs>
                <w:tab w:val="left" w:pos="1180"/>
              </w:tabs>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3.本项目的特定资格要求：</w:t>
            </w:r>
          </w:p>
          <w:p w14:paraId="7DF57FA8">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440" w:firstLineChars="200"/>
              <w:jc w:val="left"/>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3.1</w:t>
            </w:r>
            <w:r>
              <w:rPr>
                <w:rFonts w:hint="eastAsia" w:ascii="宋体" w:hAnsi="宋体" w:eastAsia="宋体" w:cs="宋体"/>
                <w:color w:val="auto"/>
                <w:kern w:val="0"/>
                <w:sz w:val="22"/>
                <w:szCs w:val="22"/>
                <w:highlight w:val="none"/>
                <w:lang w:val="en-US" w:eastAsia="zh-CN"/>
              </w:rPr>
              <w:t>法定代表人直接参加谈判的，须提供法定代表人身份证明书（附法定代表人身份证复印件并加盖公章）；委托代理人参加谈判的，须提供法定代表人授权委托书（附法定代表人及委托代理人身份证复印件并加盖公章）；</w:t>
            </w:r>
          </w:p>
          <w:p w14:paraId="727E87DD">
            <w:pPr>
              <w:pStyle w:val="67"/>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color w:val="FF0000"/>
                <w:sz w:val="24"/>
                <w:szCs w:val="24"/>
                <w:highlight w:val="none"/>
                <w:lang w:val="en-US" w:eastAsia="zh-CN"/>
              </w:rPr>
            </w:pPr>
            <w:r>
              <w:rPr>
                <w:rFonts w:hint="eastAsia" w:ascii="宋体" w:hAnsi="宋体" w:cs="宋体"/>
                <w:sz w:val="22"/>
                <w:szCs w:val="22"/>
                <w:highlight w:val="none"/>
                <w:lang w:val="en-US" w:eastAsia="zh-CN"/>
              </w:rPr>
              <w:t>3.2</w:t>
            </w:r>
            <w:r>
              <w:rPr>
                <w:rFonts w:hint="eastAsia" w:asciiTheme="minorEastAsia" w:hAnsiTheme="minorEastAsia" w:eastAsiaTheme="minorEastAsia" w:cstheme="minorEastAsia"/>
                <w:color w:val="auto"/>
                <w:kern w:val="2"/>
                <w:sz w:val="24"/>
                <w:szCs w:val="24"/>
                <w:highlight w:val="none"/>
                <w:lang w:val="en-US" w:eastAsia="zh-CN" w:bidi="ar-SA"/>
              </w:rPr>
              <w:t>专业资格要求：供应商为生产厂家的须具备有效的《医疗器械生产许可证》、《辐射安全许可证》；供应商为经销商/代理商的须具备有效的《医疗器械经营许可证》或备案凭证，所投产品生产企业的《医疗器械生产许可证》、《辐射安全许可证》</w:t>
            </w:r>
            <w:r>
              <w:rPr>
                <w:rFonts w:hint="eastAsia" w:asciiTheme="minorEastAsia" w:hAnsiTheme="minorEastAsia" w:eastAsiaTheme="minorEastAsia" w:cstheme="minorEastAsia"/>
                <w:color w:val="auto"/>
                <w:sz w:val="24"/>
                <w:szCs w:val="24"/>
                <w:highlight w:val="none"/>
                <w:lang w:val="en-US" w:eastAsia="zh-CN"/>
              </w:rPr>
              <w:t>；</w:t>
            </w:r>
          </w:p>
          <w:p w14:paraId="28DF1E6F">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sz w:val="22"/>
                <w:szCs w:val="22"/>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2"/>
                <w:szCs w:val="22"/>
                <w:highlight w:val="none"/>
                <w:lang w:val="en-US" w:eastAsia="zh-CN"/>
              </w:rPr>
              <w:t>供应商未被列入“中国执行信息公开网”（https</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//zxgk.co</w:t>
            </w:r>
            <w:r>
              <w:rPr>
                <w:rFonts w:hint="eastAsia" w:ascii="宋体" w:hAnsi="宋体" w:eastAsia="宋体" w:cs="宋体"/>
                <w:sz w:val="22"/>
                <w:szCs w:val="22"/>
                <w:highlight w:val="none"/>
                <w:lang w:val="en-US" w:eastAsia="zh-CN"/>
              </w:rPr>
              <w:t>urt.gov.cn/shixin/）失信被执行人名单，未被列入“信用中国”网站（https</w:t>
            </w:r>
            <w:r>
              <w:rPr>
                <w:rFonts w:hint="eastAsia" w:ascii="宋体" w:hAnsi="宋体" w:cs="宋体"/>
                <w:sz w:val="22"/>
                <w:szCs w:val="22"/>
                <w:highlight w:val="none"/>
                <w:lang w:val="en-US" w:eastAsia="zh-CN"/>
              </w:rPr>
              <w:t>：</w:t>
            </w:r>
            <w:r>
              <w:rPr>
                <w:rFonts w:hint="eastAsia" w:ascii="宋体" w:hAnsi="宋体" w:eastAsia="宋体" w:cs="宋体"/>
                <w:sz w:val="22"/>
                <w:szCs w:val="22"/>
                <w:highlight w:val="none"/>
                <w:lang w:val="en-US" w:eastAsia="zh-CN"/>
              </w:rPr>
              <w:t>//www.creditchina.gov.cn/）重大税收违法失信主体，未被列入“中国政府采购网”（https</w:t>
            </w:r>
            <w:r>
              <w:rPr>
                <w:rFonts w:hint="eastAsia" w:ascii="宋体" w:hAnsi="宋体" w:cs="宋体"/>
                <w:sz w:val="22"/>
                <w:szCs w:val="22"/>
                <w:highlight w:val="none"/>
                <w:lang w:val="en-US" w:eastAsia="zh-CN"/>
              </w:rPr>
              <w:t>：</w:t>
            </w:r>
            <w:r>
              <w:rPr>
                <w:rFonts w:hint="eastAsia" w:ascii="宋体" w:hAnsi="宋体" w:eastAsia="宋体" w:cs="宋体"/>
                <w:sz w:val="22"/>
                <w:szCs w:val="22"/>
                <w:highlight w:val="none"/>
                <w:lang w:val="en-US" w:eastAsia="zh-CN"/>
              </w:rPr>
              <w:t>//www.ccgp.gov.cn）政府采购严重违法失信行为记录名单</w:t>
            </w:r>
            <w:r>
              <w:rPr>
                <w:rFonts w:hint="eastAsia" w:ascii="宋体" w:hAnsi="宋体" w:cs="宋体"/>
                <w:sz w:val="22"/>
                <w:szCs w:val="22"/>
                <w:highlight w:val="none"/>
                <w:lang w:val="en-US" w:eastAsia="zh-CN"/>
              </w:rPr>
              <w:t>；</w:t>
            </w:r>
          </w:p>
          <w:p w14:paraId="63ADB148">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440" w:firstLineChars="200"/>
              <w:jc w:val="left"/>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3.4</w:t>
            </w:r>
            <w:r>
              <w:rPr>
                <w:rFonts w:hint="eastAsia" w:ascii="宋体" w:hAnsi="宋体" w:eastAsia="宋体" w:cs="宋体"/>
                <w:sz w:val="22"/>
                <w:szCs w:val="22"/>
                <w:highlight w:val="none"/>
              </w:rPr>
              <w:t>单位负责人为同一人或者存在控股、管理关系的不同单位</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不得参加同一合同项下的政府采购活动</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提供企业关联关系声明</w:t>
            </w:r>
            <w:r>
              <w:rPr>
                <w:rFonts w:hint="eastAsia" w:ascii="宋体" w:hAnsi="宋体" w:eastAsia="宋体" w:cs="宋体"/>
                <w:sz w:val="22"/>
                <w:szCs w:val="22"/>
                <w:highlight w:val="none"/>
                <w:lang w:eastAsia="zh-CN"/>
              </w:rPr>
              <w:t>）</w:t>
            </w:r>
            <w:r>
              <w:rPr>
                <w:rFonts w:hint="eastAsia" w:ascii="宋体" w:hAnsi="宋体" w:eastAsia="宋体" w:cs="宋体"/>
                <w:color w:val="auto"/>
                <w:kern w:val="0"/>
                <w:sz w:val="22"/>
                <w:szCs w:val="22"/>
                <w:highlight w:val="none"/>
                <w:lang w:val="en-US" w:eastAsia="zh-CN"/>
              </w:rPr>
              <w:t>；</w:t>
            </w:r>
          </w:p>
          <w:p w14:paraId="2D090E91">
            <w:pPr>
              <w:keepNext w:val="0"/>
              <w:keepLines w:val="0"/>
              <w:pageBreakBefore w:val="0"/>
              <w:widowControl/>
              <w:kinsoku/>
              <w:wordWrap/>
              <w:overflowPunct/>
              <w:topLinePunct w:val="0"/>
              <w:autoSpaceDE/>
              <w:autoSpaceDN/>
              <w:bidi w:val="0"/>
              <w:adjustRightInd/>
              <w:snapToGrid/>
              <w:spacing w:line="520" w:lineRule="exact"/>
              <w:ind w:left="0" w:leftChars="0" w:right="0" w:rightChars="0" w:firstLine="440" w:firstLineChars="200"/>
              <w:jc w:val="left"/>
              <w:textAlignment w:val="auto"/>
              <w:outlineLvl w:val="9"/>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3.5</w:t>
            </w:r>
            <w:r>
              <w:rPr>
                <w:rFonts w:hint="eastAsia" w:ascii="宋体" w:hAnsi="宋体" w:eastAsia="宋体" w:cs="宋体"/>
                <w:sz w:val="22"/>
                <w:szCs w:val="22"/>
                <w:highlight w:val="none"/>
              </w:rPr>
              <w:t>本项目不接受联合体</w:t>
            </w:r>
            <w:r>
              <w:rPr>
                <w:rStyle w:val="68"/>
                <w:rFonts w:hint="eastAsia" w:ascii="宋体" w:hAnsi="宋体" w:cs="宋体"/>
                <w:sz w:val="22"/>
                <w:szCs w:val="22"/>
                <w:highlight w:val="none"/>
              </w:rPr>
              <w:t>谈判</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提供非联合体声明</w:t>
            </w:r>
            <w:r>
              <w:rPr>
                <w:rFonts w:hint="eastAsia" w:ascii="宋体" w:hAnsi="宋体" w:eastAsia="宋体" w:cs="宋体"/>
                <w:sz w:val="22"/>
                <w:szCs w:val="22"/>
                <w:highlight w:val="none"/>
                <w:lang w:eastAsia="zh-CN"/>
              </w:rPr>
              <w:t>）</w:t>
            </w:r>
            <w:r>
              <w:rPr>
                <w:rFonts w:hint="eastAsia" w:ascii="宋体" w:hAnsi="宋体" w:eastAsia="宋体" w:cs="宋体"/>
                <w:color w:val="auto"/>
                <w:kern w:val="0"/>
                <w:sz w:val="22"/>
                <w:szCs w:val="22"/>
                <w:highlight w:val="none"/>
                <w:lang w:val="en-US" w:eastAsia="zh-CN"/>
              </w:rPr>
              <w:t>；</w:t>
            </w:r>
          </w:p>
          <w:p w14:paraId="1C7DD44C">
            <w:pPr>
              <w:tabs>
                <w:tab w:val="left" w:pos="1180"/>
              </w:tabs>
              <w:spacing w:line="42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注：</w:t>
            </w:r>
          </w:p>
          <w:p w14:paraId="5DA90FC4">
            <w:pPr>
              <w:tabs>
                <w:tab w:val="left" w:pos="1180"/>
              </w:tabs>
              <w:spacing w:line="42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rPr>
              <w:t>1</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rPr>
              <w:t>承诺</w:t>
            </w:r>
            <w:r>
              <w:rPr>
                <w:rFonts w:hint="eastAsia" w:ascii="宋体" w:hAnsi="宋体" w:cs="宋体"/>
                <w:b/>
                <w:bCs/>
                <w:color w:val="auto"/>
                <w:sz w:val="22"/>
                <w:szCs w:val="22"/>
                <w:highlight w:val="none"/>
                <w:lang w:val="en-US" w:eastAsia="zh-CN"/>
              </w:rPr>
              <w:t>书</w:t>
            </w:r>
            <w:r>
              <w:rPr>
                <w:rFonts w:hint="eastAsia" w:ascii="宋体" w:hAnsi="宋体" w:cs="宋体"/>
                <w:b/>
                <w:bCs/>
                <w:color w:val="auto"/>
                <w:sz w:val="22"/>
                <w:szCs w:val="22"/>
                <w:highlight w:val="none"/>
              </w:rPr>
              <w:t>、书面声明、法定代表人身份证明书和法人授权委托书应按谈判文件给定的格式填写；</w:t>
            </w:r>
          </w:p>
          <w:p w14:paraId="36271A1E">
            <w:pPr>
              <w:pStyle w:val="2"/>
              <w:spacing w:line="360" w:lineRule="auto"/>
              <w:ind w:left="0" w:leftChars="0" w:firstLine="0" w:firstLineChars="0"/>
              <w:rPr>
                <w:rFonts w:hint="eastAsia"/>
                <w:highlight w:val="none"/>
              </w:rPr>
            </w:pP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2</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rPr>
              <w:t>以上供应商必备资</w:t>
            </w:r>
            <w:r>
              <w:rPr>
                <w:rFonts w:hint="eastAsia" w:ascii="宋体" w:hAnsi="宋体" w:eastAsia="宋体" w:cs="宋体"/>
                <w:b/>
                <w:bCs/>
                <w:color w:val="auto"/>
                <w:kern w:val="2"/>
                <w:sz w:val="22"/>
                <w:szCs w:val="22"/>
                <w:highlight w:val="none"/>
                <w:lang w:val="en-US" w:eastAsia="zh-CN" w:bidi="ar-SA"/>
              </w:rPr>
              <w:t>格条件必须齐全、真实、有效，若不符合要求，按无效谈判响应处</w:t>
            </w:r>
            <w:r>
              <w:rPr>
                <w:rFonts w:hint="eastAsia" w:ascii="宋体" w:hAnsi="宋体" w:cs="宋体"/>
                <w:b/>
                <w:bCs/>
                <w:color w:val="auto"/>
                <w:sz w:val="22"/>
                <w:szCs w:val="22"/>
                <w:highlight w:val="none"/>
              </w:rPr>
              <w:t>理</w:t>
            </w:r>
            <w:r>
              <w:rPr>
                <w:rFonts w:hint="eastAsia" w:ascii="宋体" w:hAnsi="宋体" w:cs="宋体"/>
                <w:b/>
                <w:bCs/>
                <w:color w:val="auto"/>
                <w:sz w:val="22"/>
                <w:szCs w:val="22"/>
                <w:highlight w:val="none"/>
                <w:lang w:eastAsia="zh-CN"/>
              </w:rPr>
              <w:t>。</w:t>
            </w:r>
          </w:p>
        </w:tc>
      </w:tr>
      <w:tr w14:paraId="3EA7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33CD425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1.4.2</w:t>
            </w:r>
          </w:p>
        </w:tc>
        <w:tc>
          <w:tcPr>
            <w:tcW w:w="2113" w:type="dxa"/>
            <w:shd w:val="clear" w:color="auto" w:fill="auto"/>
            <w:vAlign w:val="center"/>
          </w:tcPr>
          <w:p w14:paraId="6330EBF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是否接受联合体</w:t>
            </w:r>
          </w:p>
          <w:p w14:paraId="67CD184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谈判</w:t>
            </w:r>
          </w:p>
        </w:tc>
        <w:tc>
          <w:tcPr>
            <w:tcW w:w="6411" w:type="dxa"/>
            <w:gridSpan w:val="2"/>
            <w:shd w:val="clear" w:color="auto" w:fill="auto"/>
            <w:vAlign w:val="center"/>
          </w:tcPr>
          <w:p w14:paraId="1A6E2C66">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不接受</w:t>
            </w:r>
          </w:p>
        </w:tc>
      </w:tr>
      <w:tr w14:paraId="6834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1348CA7B">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1.9.1</w:t>
            </w:r>
          </w:p>
        </w:tc>
        <w:tc>
          <w:tcPr>
            <w:tcW w:w="2113" w:type="dxa"/>
            <w:shd w:val="clear" w:color="auto" w:fill="auto"/>
            <w:vAlign w:val="center"/>
          </w:tcPr>
          <w:p w14:paraId="775FDF41">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踏勘现场</w:t>
            </w:r>
          </w:p>
        </w:tc>
        <w:tc>
          <w:tcPr>
            <w:tcW w:w="6411" w:type="dxa"/>
            <w:gridSpan w:val="2"/>
            <w:shd w:val="clear" w:color="auto" w:fill="auto"/>
            <w:vAlign w:val="center"/>
          </w:tcPr>
          <w:p w14:paraId="202D7DD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采购人不组织统一踏勘现场，由各供应商自行踏勘</w:t>
            </w:r>
          </w:p>
        </w:tc>
      </w:tr>
      <w:tr w14:paraId="5972C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6601287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1.10</w:t>
            </w:r>
          </w:p>
        </w:tc>
        <w:tc>
          <w:tcPr>
            <w:tcW w:w="2113" w:type="dxa"/>
            <w:shd w:val="clear" w:color="auto" w:fill="auto"/>
            <w:vAlign w:val="center"/>
          </w:tcPr>
          <w:p w14:paraId="36E066A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分包</w:t>
            </w:r>
          </w:p>
        </w:tc>
        <w:tc>
          <w:tcPr>
            <w:tcW w:w="6411" w:type="dxa"/>
            <w:gridSpan w:val="2"/>
            <w:shd w:val="clear" w:color="auto" w:fill="auto"/>
            <w:vAlign w:val="center"/>
          </w:tcPr>
          <w:p w14:paraId="0C5F20F5">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不允许</w:t>
            </w:r>
          </w:p>
        </w:tc>
      </w:tr>
      <w:tr w14:paraId="45AE5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484047B7">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2.1</w:t>
            </w:r>
          </w:p>
        </w:tc>
        <w:tc>
          <w:tcPr>
            <w:tcW w:w="2113" w:type="dxa"/>
            <w:shd w:val="clear" w:color="auto" w:fill="auto"/>
            <w:vAlign w:val="center"/>
          </w:tcPr>
          <w:p w14:paraId="170CB287">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color w:val="auto"/>
                <w:spacing w:val="-10"/>
                <w:sz w:val="22"/>
                <w:szCs w:val="22"/>
                <w:highlight w:val="none"/>
              </w:rPr>
            </w:pPr>
            <w:r>
              <w:rPr>
                <w:rFonts w:hint="eastAsia" w:ascii="宋体" w:hAnsi="宋体" w:eastAsia="宋体" w:cs="宋体"/>
                <w:color w:val="auto"/>
                <w:spacing w:val="-10"/>
                <w:sz w:val="22"/>
                <w:szCs w:val="22"/>
                <w:highlight w:val="none"/>
              </w:rPr>
              <w:t>构成竞争性谈判文件的其他材料</w:t>
            </w:r>
          </w:p>
        </w:tc>
        <w:tc>
          <w:tcPr>
            <w:tcW w:w="6411" w:type="dxa"/>
            <w:gridSpan w:val="2"/>
            <w:shd w:val="clear" w:color="auto" w:fill="auto"/>
            <w:vAlign w:val="center"/>
          </w:tcPr>
          <w:p w14:paraId="701A378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对竞争性谈判文件所作的澄清、修改、答疑以及往来通知、函件等。</w:t>
            </w:r>
          </w:p>
        </w:tc>
      </w:tr>
      <w:tr w14:paraId="650E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58A5956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2.2.1</w:t>
            </w:r>
          </w:p>
        </w:tc>
        <w:tc>
          <w:tcPr>
            <w:tcW w:w="2113" w:type="dxa"/>
            <w:shd w:val="clear" w:color="auto" w:fill="auto"/>
            <w:vAlign w:val="center"/>
          </w:tcPr>
          <w:p w14:paraId="4291F42A">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谈判截止时间</w:t>
            </w:r>
          </w:p>
        </w:tc>
        <w:tc>
          <w:tcPr>
            <w:tcW w:w="6411" w:type="dxa"/>
            <w:gridSpan w:val="2"/>
            <w:shd w:val="clear" w:color="auto" w:fill="auto"/>
            <w:vAlign w:val="center"/>
          </w:tcPr>
          <w:p w14:paraId="0B2ADA5D">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202</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rPr>
              <w:t xml:space="preserve"> 年</w:t>
            </w:r>
            <w:r>
              <w:rPr>
                <w:rFonts w:hint="eastAsia" w:ascii="宋体" w:hAnsi="宋体" w:cs="宋体"/>
                <w:color w:val="auto"/>
                <w:sz w:val="22"/>
                <w:szCs w:val="22"/>
                <w:highlight w:val="none"/>
                <w:lang w:val="en-US" w:eastAsia="zh-CN"/>
              </w:rPr>
              <w:t>09</w:t>
            </w:r>
            <w:r>
              <w:rPr>
                <w:rFonts w:hint="eastAsia" w:ascii="宋体" w:hAnsi="宋体" w:eastAsia="宋体" w:cs="宋体"/>
                <w:color w:val="auto"/>
                <w:sz w:val="22"/>
                <w:szCs w:val="22"/>
                <w:highlight w:val="none"/>
              </w:rPr>
              <w:t>月</w:t>
            </w:r>
            <w:r>
              <w:rPr>
                <w:rFonts w:hint="eastAsia" w:ascii="宋体" w:hAnsi="宋体" w:cs="宋体"/>
                <w:color w:val="auto"/>
                <w:sz w:val="22"/>
                <w:szCs w:val="22"/>
                <w:highlight w:val="none"/>
                <w:lang w:val="en-US" w:eastAsia="zh-CN"/>
              </w:rPr>
              <w:t>10</w:t>
            </w:r>
            <w:r>
              <w:rPr>
                <w:rFonts w:hint="eastAsia" w:ascii="宋体" w:hAnsi="宋体" w:eastAsia="宋体" w:cs="宋体"/>
                <w:color w:val="auto"/>
                <w:sz w:val="22"/>
                <w:szCs w:val="22"/>
                <w:highlight w:val="none"/>
              </w:rPr>
              <w:t>日</w:t>
            </w:r>
            <w:r>
              <w:rPr>
                <w:rFonts w:hint="eastAsia" w:ascii="宋体" w:hAnsi="宋体" w:cs="宋体"/>
                <w:color w:val="auto"/>
                <w:sz w:val="22"/>
                <w:szCs w:val="22"/>
                <w:highlight w:val="none"/>
                <w:lang w:val="en-US" w:eastAsia="zh-CN"/>
              </w:rPr>
              <w:t>14</w:t>
            </w:r>
            <w:r>
              <w:rPr>
                <w:rFonts w:hint="eastAsia" w:ascii="宋体" w:hAnsi="宋体" w:eastAsia="宋体" w:cs="宋体"/>
                <w:color w:val="auto"/>
                <w:sz w:val="22"/>
                <w:szCs w:val="22"/>
                <w:highlight w:val="none"/>
              </w:rPr>
              <w:t>时</w:t>
            </w:r>
            <w:r>
              <w:rPr>
                <w:rFonts w:hint="eastAsia" w:ascii="宋体" w:hAnsi="宋体" w:eastAsia="宋体" w:cs="宋体"/>
                <w:color w:val="auto"/>
                <w:sz w:val="22"/>
                <w:szCs w:val="22"/>
                <w:highlight w:val="none"/>
                <w:lang w:val="en-US" w:eastAsia="zh-CN"/>
              </w:rPr>
              <w:t>00</w:t>
            </w:r>
            <w:r>
              <w:rPr>
                <w:rFonts w:hint="eastAsia" w:ascii="宋体" w:hAnsi="宋体" w:eastAsia="宋体" w:cs="宋体"/>
                <w:color w:val="auto"/>
                <w:sz w:val="22"/>
                <w:szCs w:val="22"/>
                <w:highlight w:val="none"/>
              </w:rPr>
              <w:t>分</w:t>
            </w:r>
          </w:p>
        </w:tc>
      </w:tr>
      <w:tr w14:paraId="24D91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717B746E">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2.3.1</w:t>
            </w:r>
          </w:p>
        </w:tc>
        <w:tc>
          <w:tcPr>
            <w:tcW w:w="2113" w:type="dxa"/>
            <w:shd w:val="clear" w:color="auto" w:fill="auto"/>
            <w:vAlign w:val="center"/>
          </w:tcPr>
          <w:p w14:paraId="6B3CD12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供应商提出询问</w:t>
            </w:r>
          </w:p>
          <w:p w14:paraId="2EDBCC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和质疑的时间</w:t>
            </w:r>
          </w:p>
        </w:tc>
        <w:tc>
          <w:tcPr>
            <w:tcW w:w="6411" w:type="dxa"/>
            <w:gridSpan w:val="2"/>
            <w:shd w:val="clear" w:color="auto" w:fill="auto"/>
            <w:vAlign w:val="center"/>
          </w:tcPr>
          <w:p w14:paraId="15CFAB84">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已经购买竞争性谈判文件的供应商对竞争性谈判文件有质疑，依据《中华人民共和国政府采购法》第五十二条，应当在知道或者应知其权益受到损害之日起七个工作日内，以书面形式向采购人提出质疑。在此之后提出的质疑均为无效，不予受理。</w:t>
            </w:r>
          </w:p>
        </w:tc>
      </w:tr>
      <w:tr w14:paraId="764D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11F340C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3.1.1</w:t>
            </w:r>
          </w:p>
        </w:tc>
        <w:tc>
          <w:tcPr>
            <w:tcW w:w="2113" w:type="dxa"/>
            <w:shd w:val="clear" w:color="auto" w:fill="auto"/>
            <w:vAlign w:val="center"/>
          </w:tcPr>
          <w:p w14:paraId="366C756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pacing w:val="-6"/>
                <w:sz w:val="22"/>
                <w:szCs w:val="22"/>
                <w:highlight w:val="none"/>
              </w:rPr>
            </w:pPr>
            <w:r>
              <w:rPr>
                <w:rFonts w:hint="eastAsia" w:ascii="宋体" w:hAnsi="宋体" w:eastAsia="宋体" w:cs="宋体"/>
                <w:spacing w:val="-6"/>
                <w:sz w:val="22"/>
                <w:szCs w:val="22"/>
                <w:highlight w:val="none"/>
              </w:rPr>
              <w:t>构成竞争性谈判响应文件的其他材料</w:t>
            </w:r>
          </w:p>
        </w:tc>
        <w:tc>
          <w:tcPr>
            <w:tcW w:w="6411" w:type="dxa"/>
            <w:gridSpan w:val="2"/>
            <w:shd w:val="clear" w:color="auto" w:fill="auto"/>
            <w:vAlign w:val="center"/>
          </w:tcPr>
          <w:p w14:paraId="1FB11873">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对竞争性</w:t>
            </w:r>
            <w:r>
              <w:rPr>
                <w:rFonts w:hint="eastAsia" w:ascii="宋体" w:hAnsi="宋体" w:eastAsia="宋体" w:cs="宋体"/>
                <w:sz w:val="22"/>
                <w:szCs w:val="22"/>
                <w:highlight w:val="none"/>
                <w:lang w:eastAsia="zh-CN"/>
              </w:rPr>
              <w:t>谈判</w:t>
            </w:r>
            <w:r>
              <w:rPr>
                <w:rFonts w:hint="eastAsia" w:ascii="宋体" w:hAnsi="宋体" w:eastAsia="宋体" w:cs="宋体"/>
                <w:sz w:val="22"/>
                <w:szCs w:val="22"/>
                <w:highlight w:val="none"/>
              </w:rPr>
              <w:t>文件所作的澄清、修改、答疑以及往来通知、函件等。</w:t>
            </w:r>
          </w:p>
        </w:tc>
      </w:tr>
      <w:tr w14:paraId="501E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39C28A6D">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3.2.1</w:t>
            </w:r>
          </w:p>
        </w:tc>
        <w:tc>
          <w:tcPr>
            <w:tcW w:w="2113" w:type="dxa"/>
            <w:shd w:val="clear" w:color="auto" w:fill="auto"/>
            <w:vAlign w:val="center"/>
          </w:tcPr>
          <w:p w14:paraId="28027AB6">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谈判报价</w:t>
            </w:r>
          </w:p>
        </w:tc>
        <w:tc>
          <w:tcPr>
            <w:tcW w:w="6411" w:type="dxa"/>
            <w:gridSpan w:val="2"/>
            <w:shd w:val="clear" w:color="auto" w:fill="auto"/>
            <w:vAlign w:val="center"/>
          </w:tcPr>
          <w:p w14:paraId="710B1830">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本次</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采用二次报价</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在</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过程中</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小组可以根据</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文件和</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情况实质性变动采购需求中的技术、</w:t>
            </w:r>
            <w:r>
              <w:rPr>
                <w:rFonts w:hint="eastAsia" w:ascii="宋体" w:hAnsi="宋体" w:eastAsia="宋体" w:cs="宋体"/>
                <w:color w:val="auto"/>
                <w:sz w:val="22"/>
                <w:szCs w:val="22"/>
                <w:highlight w:val="none"/>
                <w:lang w:eastAsia="zh-CN"/>
              </w:rPr>
              <w:t>商务</w:t>
            </w:r>
            <w:r>
              <w:rPr>
                <w:rFonts w:hint="eastAsia" w:ascii="宋体" w:hAnsi="宋体" w:eastAsia="宋体" w:cs="宋体"/>
                <w:color w:val="auto"/>
                <w:sz w:val="22"/>
                <w:szCs w:val="22"/>
                <w:highlight w:val="none"/>
              </w:rPr>
              <w:t>要求以及合同草案条款</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如未发生变动</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二次报价不得超过首次报价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二次报价为最后报价。</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报价</w:t>
            </w:r>
            <w:r>
              <w:rPr>
                <w:rFonts w:hint="eastAsia" w:ascii="宋体" w:hAnsi="宋体" w:eastAsia="宋体" w:cs="宋体"/>
                <w:color w:val="auto"/>
                <w:sz w:val="22"/>
                <w:szCs w:val="22"/>
                <w:highlight w:val="none"/>
                <w:lang w:eastAsia="zh-CN"/>
              </w:rPr>
              <w:t>（每轮）</w:t>
            </w:r>
            <w:r>
              <w:rPr>
                <w:rFonts w:hint="eastAsia" w:ascii="宋体" w:hAnsi="宋体" w:eastAsia="宋体" w:cs="宋体"/>
                <w:color w:val="auto"/>
                <w:sz w:val="22"/>
                <w:szCs w:val="22"/>
                <w:highlight w:val="none"/>
              </w:rPr>
              <w:t>不得超过公布的本项目</w:t>
            </w:r>
            <w:r>
              <w:rPr>
                <w:rFonts w:hint="eastAsia" w:ascii="宋体" w:hAnsi="宋体" w:eastAsia="宋体" w:cs="宋体"/>
                <w:color w:val="auto"/>
                <w:sz w:val="22"/>
                <w:szCs w:val="22"/>
                <w:highlight w:val="none"/>
                <w:lang w:val="en-US" w:eastAsia="zh-CN"/>
              </w:rPr>
              <w:t>最高限价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未设定最高限价的采购项目，以采购项目预算金额作为最高限价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否则按照无效响应处理。</w:t>
            </w:r>
          </w:p>
          <w:p w14:paraId="2524770E">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最后报价仅填报总报价，最后单价按照最后总报价与首次总报价浮动比例同比例调整，未在规定时间</w:t>
            </w:r>
            <w:r>
              <w:rPr>
                <w:rFonts w:hint="eastAsia" w:ascii="宋体" w:hAnsi="宋体" w:cs="宋体"/>
                <w:color w:val="auto"/>
                <w:sz w:val="22"/>
                <w:szCs w:val="22"/>
                <w:highlight w:val="none"/>
                <w:lang w:val="en-US" w:eastAsia="zh-CN"/>
              </w:rPr>
              <w:t>（45分钟）</w:t>
            </w:r>
            <w:r>
              <w:rPr>
                <w:rFonts w:hint="eastAsia" w:ascii="宋体" w:hAnsi="宋体" w:eastAsia="宋体" w:cs="宋体"/>
                <w:color w:val="auto"/>
                <w:sz w:val="22"/>
                <w:szCs w:val="22"/>
                <w:highlight w:val="none"/>
                <w:lang w:val="en-US" w:eastAsia="zh-CN"/>
              </w:rPr>
              <w:t>内提交最后报价的供应商按无效响应处理。</w:t>
            </w:r>
          </w:p>
          <w:p w14:paraId="5FD65F61">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凡因供应商对竞争性谈判文件阅读疏忽或误解，或因对现场、环境、市场行情等了解不清而造成的后果和风险，由供应商负责；如供应商因此而提出索赔或服务期延长，采购人将不予批准。</w:t>
            </w:r>
          </w:p>
          <w:p w14:paraId="74E5FC78">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必须以人民币报价，报价应对采购的全部内容进行报价，包括完成项目所需设备费、药品费、运杂、装卸、包装、人工、保险、检验、税费以及国家规定的其他各项费用等全部费用，采购人不再额外支付任何费用。</w:t>
            </w:r>
          </w:p>
          <w:p w14:paraId="4FE58FFF">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0000FF"/>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谈判报价如果出现第三章6.1条所述情形谈判小组应当启动异常低价投标（响应）审查程序。</w:t>
            </w:r>
          </w:p>
        </w:tc>
      </w:tr>
      <w:tr w14:paraId="734C3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16564B4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3.3.1</w:t>
            </w:r>
          </w:p>
        </w:tc>
        <w:tc>
          <w:tcPr>
            <w:tcW w:w="2113" w:type="dxa"/>
            <w:shd w:val="clear" w:color="auto" w:fill="auto"/>
            <w:vAlign w:val="center"/>
          </w:tcPr>
          <w:p w14:paraId="0969C8D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谈判有效期</w:t>
            </w:r>
          </w:p>
        </w:tc>
        <w:tc>
          <w:tcPr>
            <w:tcW w:w="6411" w:type="dxa"/>
            <w:gridSpan w:val="2"/>
            <w:shd w:val="clear" w:color="auto" w:fill="auto"/>
            <w:vAlign w:val="center"/>
          </w:tcPr>
          <w:p w14:paraId="0B650919">
            <w:pPr>
              <w:keepNext w:val="0"/>
              <w:keepLines w:val="0"/>
              <w:pageBreakBefore w:val="0"/>
              <w:widowControl w:val="0"/>
              <w:kinsoku/>
              <w:wordWrap/>
              <w:overflowPunct/>
              <w:topLinePunct w:val="0"/>
              <w:autoSpaceDE/>
              <w:autoSpaceDN/>
              <w:bidi w:val="0"/>
              <w:adjustRightInd w:val="0"/>
              <w:snapToGrid w:val="0"/>
              <w:spacing w:line="520" w:lineRule="exact"/>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90日历天</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自递交响应文件截止之日算起</w:t>
            </w:r>
            <w:r>
              <w:rPr>
                <w:rFonts w:hint="eastAsia" w:ascii="宋体" w:hAnsi="宋体" w:eastAsia="宋体" w:cs="宋体"/>
                <w:sz w:val="22"/>
                <w:szCs w:val="22"/>
                <w:highlight w:val="none"/>
                <w:lang w:eastAsia="zh-CN"/>
              </w:rPr>
              <w:t>）</w:t>
            </w:r>
          </w:p>
        </w:tc>
      </w:tr>
      <w:tr w14:paraId="5DA1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0C83756E">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3.4.1</w:t>
            </w:r>
          </w:p>
        </w:tc>
        <w:tc>
          <w:tcPr>
            <w:tcW w:w="2113" w:type="dxa"/>
            <w:shd w:val="clear" w:color="auto" w:fill="auto"/>
            <w:vAlign w:val="center"/>
          </w:tcPr>
          <w:p w14:paraId="5D1AE4B8">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谈判保证金</w:t>
            </w:r>
          </w:p>
        </w:tc>
        <w:tc>
          <w:tcPr>
            <w:tcW w:w="6411" w:type="dxa"/>
            <w:gridSpan w:val="2"/>
            <w:shd w:val="clear" w:color="auto" w:fill="auto"/>
            <w:vAlign w:val="center"/>
          </w:tcPr>
          <w:p w14:paraId="2E7DC48A">
            <w:pPr>
              <w:spacing w:line="288" w:lineRule="auto"/>
              <w:rPr>
                <w:rFonts w:hint="eastAsia" w:ascii="宋体" w:hAnsi="宋体" w:eastAsia="宋体" w:cs="宋体"/>
                <w:sz w:val="22"/>
                <w:szCs w:val="22"/>
                <w:highlight w:val="none"/>
                <w:lang w:eastAsia="zh-CN"/>
              </w:rPr>
            </w:pPr>
            <w:r>
              <w:rPr>
                <w:rFonts w:hint="eastAsia" w:ascii="宋体" w:hAnsi="宋体" w:eastAsia="宋体" w:cs="宋体"/>
                <w:b/>
                <w:bCs/>
                <w:sz w:val="22"/>
                <w:szCs w:val="22"/>
                <w:highlight w:val="none"/>
              </w:rPr>
              <w:t>金额：</w:t>
            </w:r>
            <w:r>
              <w:rPr>
                <w:rFonts w:hint="eastAsia" w:ascii="宋体" w:hAnsi="宋体" w:cs="宋体"/>
                <w:b w:val="0"/>
                <w:bCs w:val="0"/>
                <w:sz w:val="22"/>
                <w:szCs w:val="22"/>
                <w:highlight w:val="none"/>
                <w:lang w:eastAsia="zh-CN"/>
              </w:rPr>
              <w:t>肆仟元整</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w:t>
            </w:r>
            <w:r>
              <w:rPr>
                <w:rFonts w:hint="eastAsia" w:ascii="宋体" w:hAnsi="宋体" w:cs="宋体"/>
                <w:sz w:val="22"/>
                <w:szCs w:val="22"/>
                <w:highlight w:val="none"/>
                <w:lang w:val="en-US" w:eastAsia="zh-CN"/>
              </w:rPr>
              <w:t>4</w:t>
            </w:r>
            <w:r>
              <w:rPr>
                <w:rFonts w:hint="eastAsia" w:ascii="宋体" w:hAnsi="宋体" w:eastAsia="宋体" w:cs="宋体"/>
                <w:sz w:val="22"/>
                <w:szCs w:val="22"/>
                <w:highlight w:val="none"/>
                <w:lang w:val="en-US" w:eastAsia="zh-CN"/>
              </w:rPr>
              <w:t>000</w:t>
            </w:r>
            <w:r>
              <w:rPr>
                <w:rFonts w:hint="eastAsia" w:ascii="宋体" w:hAnsi="宋体" w:eastAsia="宋体" w:cs="宋体"/>
                <w:sz w:val="22"/>
                <w:szCs w:val="22"/>
                <w:highlight w:val="none"/>
              </w:rPr>
              <w:t>.00</w:t>
            </w:r>
            <w:r>
              <w:rPr>
                <w:rFonts w:hint="eastAsia" w:ascii="宋体" w:hAnsi="宋体" w:eastAsia="宋体" w:cs="宋体"/>
                <w:sz w:val="22"/>
                <w:szCs w:val="22"/>
                <w:highlight w:val="none"/>
                <w:lang w:eastAsia="zh-CN"/>
              </w:rPr>
              <w:t>）。</w:t>
            </w:r>
          </w:p>
          <w:p w14:paraId="27758DA2">
            <w:pPr>
              <w:spacing w:line="288"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形式：</w:t>
            </w:r>
            <w:r>
              <w:rPr>
                <w:rStyle w:val="68"/>
                <w:rFonts w:hint="eastAsia" w:ascii="宋体" w:hAnsi="宋体" w:eastAsia="宋体" w:cs="宋体"/>
                <w:sz w:val="22"/>
                <w:szCs w:val="22"/>
                <w:highlight w:val="none"/>
              </w:rPr>
              <w:t>银行转账；电汇；保函；</w:t>
            </w:r>
            <w:r>
              <w:rPr>
                <w:rStyle w:val="68"/>
                <w:rFonts w:hint="eastAsia" w:ascii="宋体" w:hAnsi="宋体" w:eastAsia="宋体" w:cs="宋体"/>
                <w:sz w:val="22"/>
                <w:szCs w:val="22"/>
                <w:highlight w:val="none"/>
                <w:lang w:val="en-US" w:eastAsia="zh-CN"/>
              </w:rPr>
              <w:t>交易保证金信用承诺书</w:t>
            </w:r>
            <w:r>
              <w:rPr>
                <w:rStyle w:val="68"/>
                <w:rFonts w:hint="eastAsia" w:ascii="宋体" w:hAnsi="宋体" w:eastAsia="宋体" w:cs="宋体"/>
                <w:sz w:val="22"/>
                <w:szCs w:val="22"/>
                <w:highlight w:val="none"/>
              </w:rPr>
              <w:t>。</w:t>
            </w:r>
            <w:r>
              <w:rPr>
                <w:rFonts w:hint="eastAsia" w:ascii="宋体" w:hAnsi="宋体" w:eastAsia="宋体" w:cs="宋体"/>
                <w:sz w:val="22"/>
                <w:szCs w:val="22"/>
                <w:highlight w:val="none"/>
              </w:rPr>
              <w:t xml:space="preserve"> </w:t>
            </w:r>
          </w:p>
          <w:p w14:paraId="38AA8C5C">
            <w:pPr>
              <w:pStyle w:val="2"/>
              <w:ind w:left="0" w:leftChars="0" w:firstLine="0" w:firstLineChars="0"/>
              <w:rPr>
                <w:rFonts w:hint="eastAsia" w:eastAsia="宋体"/>
                <w:sz w:val="22"/>
                <w:szCs w:val="22"/>
                <w:highlight w:val="none"/>
                <w:lang w:eastAsia="zh-CN"/>
              </w:rPr>
            </w:pPr>
            <w:r>
              <w:rPr>
                <w:rFonts w:hint="eastAsia" w:eastAsia="宋体"/>
                <w:b/>
                <w:bCs/>
                <w:sz w:val="22"/>
                <w:szCs w:val="22"/>
                <w:highlight w:val="none"/>
                <w:lang w:eastAsia="zh-CN"/>
              </w:rPr>
              <w:t>缴纳截止时间：</w:t>
            </w:r>
            <w:r>
              <w:rPr>
                <w:rFonts w:hint="eastAsia" w:eastAsia="宋体"/>
                <w:b w:val="0"/>
                <w:bCs w:val="0"/>
                <w:sz w:val="22"/>
                <w:szCs w:val="22"/>
                <w:highlight w:val="none"/>
                <w:lang w:eastAsia="zh-CN"/>
              </w:rPr>
              <w:t>同</w:t>
            </w:r>
            <w:r>
              <w:rPr>
                <w:rFonts w:hint="eastAsia" w:eastAsia="宋体"/>
                <w:sz w:val="22"/>
                <w:szCs w:val="22"/>
                <w:highlight w:val="none"/>
                <w:lang w:eastAsia="zh-CN"/>
              </w:rPr>
              <w:t>响应文件递交（上传）截止时间。</w:t>
            </w:r>
          </w:p>
          <w:p w14:paraId="7D241BC1">
            <w:pPr>
              <w:spacing w:line="288" w:lineRule="auto"/>
              <w:textAlignment w:val="baseline"/>
              <w:rPr>
                <w:rStyle w:val="68"/>
                <w:rFonts w:hint="eastAsia" w:ascii="宋体" w:hAnsi="宋体" w:eastAsia="宋体" w:cs="宋体"/>
                <w:b/>
                <w:bCs/>
                <w:sz w:val="22"/>
                <w:szCs w:val="22"/>
                <w:highlight w:val="none"/>
              </w:rPr>
            </w:pPr>
            <w:r>
              <w:rPr>
                <w:rStyle w:val="68"/>
                <w:rFonts w:hint="eastAsia" w:ascii="宋体" w:hAnsi="宋体" w:eastAsia="宋体" w:cs="宋体"/>
                <w:b/>
                <w:bCs/>
                <w:sz w:val="22"/>
                <w:szCs w:val="22"/>
                <w:highlight w:val="none"/>
              </w:rPr>
              <w:t>重要提示：</w:t>
            </w:r>
          </w:p>
          <w:p w14:paraId="069941BC">
            <w:pPr>
              <w:keepNext w:val="0"/>
              <w:keepLines w:val="0"/>
              <w:pageBreakBefore w:val="0"/>
              <w:widowControl w:val="0"/>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1、</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保证金不接受现金形式，以银行转账、电汇形式交纳</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保证金的，</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结束之后以转账形式退到供应商的账户。</w:t>
            </w:r>
          </w:p>
          <w:p w14:paraId="359F66DB">
            <w:pPr>
              <w:keepNext w:val="0"/>
              <w:keepLines w:val="0"/>
              <w:pageBreakBefore w:val="0"/>
              <w:widowControl w:val="0"/>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2、</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保证金必须在递交响应文件截止时间之前交纳至以下账户：</w:t>
            </w:r>
          </w:p>
          <w:p w14:paraId="1A3F1D8F">
            <w:pPr>
              <w:keepNext w:val="0"/>
              <w:keepLines w:val="0"/>
              <w:pageBreakBefore w:val="0"/>
              <w:widowControl w:val="0"/>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账户名称：宝鸡市公共资源交易中心保证金专户</w:t>
            </w:r>
          </w:p>
          <w:p w14:paraId="2FD6B25D">
            <w:pPr>
              <w:keepNext w:val="0"/>
              <w:keepLines w:val="0"/>
              <w:pageBreakBefore w:val="0"/>
              <w:widowControl w:val="0"/>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帐    号：</w:t>
            </w:r>
            <w:r>
              <w:rPr>
                <w:rStyle w:val="68"/>
                <w:rFonts w:hint="eastAsia" w:ascii="宋体" w:hAnsi="宋体" w:eastAsia="宋体" w:cs="宋体"/>
                <w:sz w:val="22"/>
                <w:szCs w:val="22"/>
                <w:highlight w:val="none"/>
                <w:lang w:val="en-US" w:eastAsia="zh-CN"/>
              </w:rPr>
              <w:t>以交易中心平台生成的子账号为准</w:t>
            </w:r>
          </w:p>
          <w:p w14:paraId="340FE040">
            <w:pPr>
              <w:keepNext w:val="0"/>
              <w:keepLines w:val="0"/>
              <w:pageBreakBefore w:val="0"/>
              <w:widowControl w:val="0"/>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开 户 行：长安银行股份有限公司宝鸡分行营业部</w:t>
            </w:r>
          </w:p>
          <w:p w14:paraId="06C86409">
            <w:pPr>
              <w:keepNext w:val="0"/>
              <w:keepLines w:val="0"/>
              <w:pageBreakBefore w:val="0"/>
              <w:widowControl w:val="0"/>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3、供应商以担保机构保函</w:t>
            </w:r>
            <w:r>
              <w:rPr>
                <w:rStyle w:val="68"/>
                <w:rFonts w:hint="eastAsia" w:ascii="宋体" w:hAnsi="宋体" w:eastAsia="宋体" w:cs="宋体"/>
                <w:b/>
                <w:bCs/>
                <w:sz w:val="22"/>
                <w:szCs w:val="22"/>
                <w:highlight w:val="none"/>
              </w:rPr>
              <w:t>（格式见第二章附件一）</w:t>
            </w:r>
            <w:r>
              <w:rPr>
                <w:rStyle w:val="68"/>
                <w:rFonts w:hint="eastAsia" w:ascii="宋体" w:hAnsi="宋体" w:eastAsia="宋体" w:cs="宋体"/>
                <w:sz w:val="22"/>
                <w:szCs w:val="22"/>
                <w:highlight w:val="none"/>
              </w:rPr>
              <w:t>或银行保函形式交纳</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保证金的</w:t>
            </w:r>
            <w:r>
              <w:rPr>
                <w:rStyle w:val="68"/>
                <w:rFonts w:hint="eastAsia" w:ascii="宋体" w:hAnsi="宋体" w:cs="宋体"/>
                <w:sz w:val="22"/>
                <w:szCs w:val="22"/>
                <w:highlight w:val="none"/>
                <w:lang w:val="en-US" w:eastAsia="zh-CN"/>
              </w:rPr>
              <w:t>：</w:t>
            </w:r>
            <w:r>
              <w:rPr>
                <w:rStyle w:val="68"/>
                <w:rFonts w:hint="eastAsia" w:ascii="宋体" w:hAnsi="宋体" w:eastAsia="宋体" w:cs="宋体"/>
                <w:sz w:val="22"/>
                <w:szCs w:val="22"/>
                <w:highlight w:val="none"/>
                <w:lang w:val="en-US" w:eastAsia="zh-CN"/>
              </w:rPr>
              <w:t>（1）银行保函：</w:t>
            </w:r>
            <w:r>
              <w:rPr>
                <w:rStyle w:val="68"/>
                <w:rFonts w:hint="eastAsia" w:ascii="宋体" w:hAnsi="宋体" w:eastAsia="宋体" w:cs="宋体"/>
                <w:sz w:val="22"/>
                <w:szCs w:val="22"/>
                <w:highlight w:val="none"/>
              </w:rPr>
              <w:t>在响应文件递交截止时间前须持银行保函原件、介绍信、开户许可证复印件（加盖公司公章）、法定代表人和经办人身份证复印件（加盖公司公章）至宝鸡市公共资源交易中心（宝鸡市金台区行政大道8号）</w:t>
            </w:r>
            <w:r>
              <w:rPr>
                <w:rStyle w:val="68"/>
                <w:rFonts w:hint="eastAsia" w:ascii="宋体" w:hAnsi="宋体" w:eastAsia="宋体" w:cs="宋体"/>
                <w:sz w:val="22"/>
                <w:szCs w:val="22"/>
                <w:highlight w:val="none"/>
                <w:lang w:val="en-US"/>
              </w:rPr>
              <w:t>6楼</w:t>
            </w:r>
            <w:r>
              <w:rPr>
                <w:rStyle w:val="68"/>
                <w:rFonts w:hint="eastAsia" w:ascii="宋体" w:hAnsi="宋体" w:eastAsia="宋体" w:cs="宋体"/>
                <w:sz w:val="22"/>
                <w:szCs w:val="22"/>
                <w:highlight w:val="none"/>
              </w:rPr>
              <w:t>财务科递交和查验，并及时告知代理机构，逾期未提供视为放弃投标，有效期应当符合采购文件规定。（</w:t>
            </w:r>
            <w:r>
              <w:rPr>
                <w:rStyle w:val="68"/>
                <w:rFonts w:hint="eastAsia" w:ascii="宋体" w:hAnsi="宋体" w:eastAsia="宋体" w:cs="宋体"/>
                <w:sz w:val="22"/>
                <w:szCs w:val="22"/>
                <w:highlight w:val="none"/>
                <w:lang w:val="en-US"/>
              </w:rPr>
              <w:t>2</w:t>
            </w:r>
            <w:r>
              <w:rPr>
                <w:rStyle w:val="68"/>
                <w:rFonts w:hint="eastAsia" w:ascii="宋体" w:hAnsi="宋体" w:eastAsia="宋体" w:cs="宋体"/>
                <w:sz w:val="22"/>
                <w:szCs w:val="22"/>
                <w:highlight w:val="none"/>
              </w:rPr>
              <w:t>）担保机构保函：在响应文件递交截止时间前须持保函原件、介绍信、法定代表人和经办人身份证复印件（加盖公司公章）至采购代理机构递交和查验，</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结束之后将保函正本原件退回，逾期未提供视为放弃投标，有效期应当符合采购文件规定。</w:t>
            </w:r>
          </w:p>
          <w:p w14:paraId="6C43F419">
            <w:pPr>
              <w:keepNext w:val="0"/>
              <w:keepLines w:val="0"/>
              <w:pageBreakBefore w:val="0"/>
              <w:widowControl w:val="0"/>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注：</w:t>
            </w:r>
            <w:r>
              <w:rPr>
                <w:rStyle w:val="68"/>
                <w:rFonts w:hint="eastAsia" w:ascii="宋体" w:hAnsi="宋体" w:eastAsia="宋体" w:cs="宋体"/>
                <w:b w:val="0"/>
                <w:bCs w:val="0"/>
                <w:sz w:val="22"/>
                <w:szCs w:val="22"/>
                <w:highlight w:val="none"/>
              </w:rPr>
              <w:t>（</w:t>
            </w:r>
            <w:r>
              <w:rPr>
                <w:rStyle w:val="68"/>
                <w:rFonts w:hint="eastAsia" w:ascii="宋体" w:hAnsi="宋体" w:eastAsia="宋体" w:cs="宋体"/>
                <w:b w:val="0"/>
                <w:bCs w:val="0"/>
                <w:sz w:val="22"/>
                <w:szCs w:val="22"/>
                <w:highlight w:val="none"/>
                <w:lang w:val="en-US"/>
              </w:rPr>
              <w:t>1</w:t>
            </w:r>
            <w:r>
              <w:rPr>
                <w:rStyle w:val="68"/>
                <w:rFonts w:hint="eastAsia" w:ascii="宋体" w:hAnsi="宋体" w:eastAsia="宋体" w:cs="宋体"/>
                <w:b w:val="0"/>
                <w:bCs w:val="0"/>
                <w:sz w:val="22"/>
                <w:szCs w:val="22"/>
                <w:highlight w:val="none"/>
              </w:rPr>
              <w:t>）转账时请在备注/事由/摘要/用途处，注明“保证金+</w:t>
            </w:r>
            <w:r>
              <w:rPr>
                <w:rStyle w:val="68"/>
                <w:rFonts w:hint="eastAsia" w:ascii="宋体" w:hAnsi="宋体" w:eastAsia="宋体" w:cs="宋体"/>
                <w:b w:val="0"/>
                <w:bCs w:val="0"/>
                <w:sz w:val="22"/>
                <w:szCs w:val="22"/>
                <w:highlight w:val="none"/>
                <w:lang w:val="en-US"/>
              </w:rPr>
              <w:t>保证金账户</w:t>
            </w:r>
            <w:r>
              <w:rPr>
                <w:rStyle w:val="68"/>
                <w:rFonts w:hint="eastAsia" w:ascii="宋体" w:hAnsi="宋体" w:eastAsia="宋体" w:cs="宋体"/>
                <w:b w:val="0"/>
                <w:bCs w:val="0"/>
                <w:sz w:val="22"/>
                <w:szCs w:val="22"/>
                <w:highlight w:val="none"/>
              </w:rPr>
              <w:t>后五位数”信息，否则导致的查账延误责任自负</w:t>
            </w:r>
            <w:r>
              <w:rPr>
                <w:rStyle w:val="68"/>
                <w:rFonts w:hint="eastAsia" w:ascii="宋体" w:hAnsi="宋体" w:eastAsia="宋体" w:cs="宋体"/>
                <w:sz w:val="22"/>
                <w:szCs w:val="22"/>
                <w:highlight w:val="none"/>
              </w:rPr>
              <w:t>，以到账时间为准</w:t>
            </w:r>
            <w:r>
              <w:rPr>
                <w:rStyle w:val="68"/>
                <w:rFonts w:hint="eastAsia" w:ascii="宋体" w:hAnsi="宋体" w:eastAsia="宋体" w:cs="宋体"/>
                <w:b w:val="0"/>
                <w:bCs w:val="0"/>
                <w:sz w:val="22"/>
                <w:szCs w:val="22"/>
                <w:highlight w:val="none"/>
              </w:rPr>
              <w:t>；</w:t>
            </w:r>
            <w:r>
              <w:rPr>
                <w:rStyle w:val="68"/>
                <w:rFonts w:hint="eastAsia" w:ascii="宋体" w:hAnsi="宋体" w:eastAsia="宋体" w:cs="宋体"/>
                <w:sz w:val="22"/>
                <w:szCs w:val="22"/>
                <w:highlight w:val="none"/>
              </w:rPr>
              <w:t>（</w:t>
            </w:r>
            <w:r>
              <w:rPr>
                <w:rStyle w:val="68"/>
                <w:rFonts w:hint="eastAsia" w:ascii="宋体" w:hAnsi="宋体" w:eastAsia="宋体" w:cs="宋体"/>
                <w:sz w:val="22"/>
                <w:szCs w:val="22"/>
                <w:highlight w:val="none"/>
                <w:lang w:val="en-US"/>
              </w:rPr>
              <w:t>2</w:t>
            </w:r>
            <w:r>
              <w:rPr>
                <w:rStyle w:val="68"/>
                <w:rFonts w:hint="eastAsia" w:ascii="宋体" w:hAnsi="宋体" w:eastAsia="宋体" w:cs="宋体"/>
                <w:sz w:val="22"/>
                <w:szCs w:val="22"/>
                <w:highlight w:val="none"/>
              </w:rPr>
              <w:t>）须将保证金转账凭证及开户许可证（或基本存款账户信息）复印件或保函正本复印件粘贴于</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响应文件规定处。</w:t>
            </w:r>
          </w:p>
          <w:p w14:paraId="3965A28E">
            <w:pPr>
              <w:keepNext w:val="0"/>
              <w:keepLines w:val="0"/>
              <w:pageBreakBefore w:val="0"/>
              <w:widowControl w:val="0"/>
              <w:numPr>
                <w:ilvl w:val="0"/>
                <w:numId w:val="2"/>
              </w:numPr>
              <w:kinsoku/>
              <w:wordWrap/>
              <w:overflowPunct/>
              <w:topLinePunct w:val="0"/>
              <w:autoSpaceDE/>
              <w:autoSpaceDN/>
              <w:bidi w:val="0"/>
              <w:adjustRightInd/>
              <w:snapToGrid/>
              <w:spacing w:line="288" w:lineRule="auto"/>
              <w:ind w:firstLine="440" w:firstLineChars="200"/>
              <w:textAlignment w:val="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依据宝市交易发[2025]19号文件及补充说明通知的规定，可以以信用承诺替代</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保证金，供应商应按照采购文件格式（格式见第二章附件三）填写交易保证金信用承诺书，信用承诺有效期满足</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有效期时效，承诺书后附“信用中国”网站下载的信用报告显示无不良信用记录（带水印）并加盖公章，信用报告查询出具日期为项目公告发布之日起至投标人投标文件或响应文件递交截止之日，供应商未按上述要求提供信用承诺书的，也未采用其他方式交纳</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保证金的视为未交纳</w:t>
            </w:r>
            <w:r>
              <w:rPr>
                <w:rStyle w:val="68"/>
                <w:rFonts w:hint="eastAsia" w:ascii="宋体" w:hAnsi="宋体" w:cs="宋体"/>
                <w:sz w:val="22"/>
                <w:szCs w:val="22"/>
                <w:highlight w:val="none"/>
              </w:rPr>
              <w:t>谈判</w:t>
            </w:r>
            <w:r>
              <w:rPr>
                <w:rStyle w:val="68"/>
                <w:rFonts w:hint="eastAsia" w:ascii="宋体" w:hAnsi="宋体" w:eastAsia="宋体" w:cs="宋体"/>
                <w:sz w:val="22"/>
                <w:szCs w:val="22"/>
                <w:highlight w:val="none"/>
              </w:rPr>
              <w:t>保证金，按无效响应处理。</w:t>
            </w:r>
          </w:p>
          <w:p w14:paraId="0C64B074">
            <w:pPr>
              <w:pStyle w:val="2"/>
              <w:numPr>
                <w:ilvl w:val="0"/>
                <w:numId w:val="0"/>
              </w:numPr>
              <w:spacing w:line="360" w:lineRule="auto"/>
              <w:rPr>
                <w:rFonts w:hint="eastAsia"/>
                <w:highlight w:val="none"/>
                <w:lang w:eastAsia="zh-CN"/>
              </w:rPr>
            </w:pPr>
            <w:r>
              <w:rPr>
                <w:rFonts w:hint="eastAsia"/>
                <w:b/>
                <w:bCs/>
                <w:sz w:val="22"/>
                <w:szCs w:val="21"/>
                <w:highlight w:val="none"/>
                <w:lang w:val="en-US" w:eastAsia="zh-CN"/>
              </w:rPr>
              <w:t>注：</w:t>
            </w:r>
            <w:r>
              <w:rPr>
                <w:rFonts w:hint="eastAsia"/>
                <w:b/>
                <w:bCs/>
                <w:sz w:val="22"/>
                <w:szCs w:val="21"/>
                <w:highlight w:val="none"/>
                <w:lang w:eastAsia="zh-CN"/>
              </w:rPr>
              <w:t>在响应文件递交截止时间前须持</w:t>
            </w:r>
            <w:r>
              <w:rPr>
                <w:rFonts w:hint="eastAsia"/>
                <w:b/>
                <w:bCs/>
                <w:sz w:val="22"/>
                <w:szCs w:val="21"/>
                <w:highlight w:val="none"/>
                <w:lang w:val="en-US" w:eastAsia="zh-CN"/>
              </w:rPr>
              <w:t>信用承诺书</w:t>
            </w:r>
            <w:r>
              <w:rPr>
                <w:rFonts w:hint="eastAsia"/>
                <w:b/>
                <w:bCs/>
                <w:sz w:val="22"/>
                <w:szCs w:val="21"/>
                <w:highlight w:val="none"/>
                <w:lang w:eastAsia="zh-CN"/>
              </w:rPr>
              <w:t>原件</w:t>
            </w:r>
            <w:r>
              <w:rPr>
                <w:rFonts w:hint="eastAsia"/>
                <w:b/>
                <w:bCs/>
                <w:sz w:val="22"/>
                <w:szCs w:val="21"/>
                <w:highlight w:val="none"/>
                <w:lang w:val="en-US" w:eastAsia="zh-CN"/>
              </w:rPr>
              <w:t>及</w:t>
            </w:r>
            <w:r>
              <w:rPr>
                <w:rFonts w:hint="eastAsia"/>
                <w:b/>
                <w:bCs/>
                <w:sz w:val="22"/>
                <w:szCs w:val="21"/>
                <w:highlight w:val="none"/>
                <w:lang w:eastAsia="zh-CN"/>
              </w:rPr>
              <w:t>信用报告、介绍信和经办人身份证</w:t>
            </w:r>
            <w:r>
              <w:rPr>
                <w:rFonts w:hint="eastAsia"/>
                <w:b/>
                <w:bCs/>
                <w:sz w:val="22"/>
                <w:szCs w:val="21"/>
                <w:highlight w:val="none"/>
                <w:lang w:val="en-US" w:eastAsia="zh-CN"/>
              </w:rPr>
              <w:t>原件及</w:t>
            </w:r>
            <w:r>
              <w:rPr>
                <w:rFonts w:hint="eastAsia"/>
                <w:b/>
                <w:bCs/>
                <w:sz w:val="22"/>
                <w:szCs w:val="21"/>
                <w:highlight w:val="none"/>
                <w:lang w:eastAsia="zh-CN"/>
              </w:rPr>
              <w:t>复印件（加盖公司公章）至采购代理机构递交和查验，逾期未提供视为放弃投标，有效期应当符合采购文件规定。</w:t>
            </w:r>
          </w:p>
        </w:tc>
      </w:tr>
      <w:tr w14:paraId="6C1D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5730F5BE">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3.6</w:t>
            </w:r>
          </w:p>
        </w:tc>
        <w:tc>
          <w:tcPr>
            <w:tcW w:w="2113" w:type="dxa"/>
            <w:shd w:val="clear" w:color="auto" w:fill="auto"/>
            <w:vAlign w:val="center"/>
          </w:tcPr>
          <w:p w14:paraId="3FC4C79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是否允许递交</w:t>
            </w:r>
          </w:p>
          <w:p w14:paraId="3B35A1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备选谈判方案</w:t>
            </w:r>
          </w:p>
        </w:tc>
        <w:tc>
          <w:tcPr>
            <w:tcW w:w="6411" w:type="dxa"/>
            <w:gridSpan w:val="2"/>
            <w:shd w:val="clear" w:color="auto" w:fill="auto"/>
            <w:vAlign w:val="center"/>
          </w:tcPr>
          <w:p w14:paraId="043D94A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不允许。</w:t>
            </w:r>
          </w:p>
        </w:tc>
      </w:tr>
      <w:tr w14:paraId="631E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7E338B39">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3.7.3</w:t>
            </w:r>
          </w:p>
        </w:tc>
        <w:tc>
          <w:tcPr>
            <w:tcW w:w="2113" w:type="dxa"/>
            <w:shd w:val="clear" w:color="auto" w:fill="auto"/>
            <w:vAlign w:val="center"/>
          </w:tcPr>
          <w:p w14:paraId="6AB198B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签字、盖章的</w:t>
            </w:r>
          </w:p>
          <w:p w14:paraId="0BDE9B2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具体要求</w:t>
            </w:r>
          </w:p>
        </w:tc>
        <w:tc>
          <w:tcPr>
            <w:tcW w:w="6411" w:type="dxa"/>
            <w:gridSpan w:val="2"/>
            <w:shd w:val="clear" w:color="auto" w:fill="auto"/>
            <w:vAlign w:val="center"/>
          </w:tcPr>
          <w:p w14:paraId="53AEEC01">
            <w:pPr>
              <w:spacing w:line="4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竞争性</w:t>
            </w:r>
            <w:r>
              <w:rPr>
                <w:rStyle w:val="68"/>
                <w:rFonts w:hint="eastAsia" w:ascii="宋体" w:hAnsi="宋体" w:cs="宋体"/>
                <w:sz w:val="22"/>
                <w:szCs w:val="22"/>
                <w:highlight w:val="none"/>
              </w:rPr>
              <w:t>谈判</w:t>
            </w:r>
            <w:r>
              <w:rPr>
                <w:rFonts w:hint="eastAsia" w:ascii="宋体" w:hAnsi="宋体" w:eastAsia="宋体" w:cs="宋体"/>
                <w:sz w:val="22"/>
                <w:szCs w:val="22"/>
                <w:highlight w:val="none"/>
              </w:rPr>
              <w:t>文件要求指定位置“签字或盖章”的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供应商只要一项内容即可。</w:t>
            </w:r>
          </w:p>
          <w:p w14:paraId="123884B6">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sz w:val="22"/>
                <w:szCs w:val="22"/>
                <w:highlight w:val="none"/>
              </w:rPr>
              <w:t>竞争性</w:t>
            </w:r>
            <w:r>
              <w:rPr>
                <w:rStyle w:val="68"/>
                <w:rFonts w:hint="eastAsia" w:ascii="宋体" w:hAnsi="宋体" w:cs="宋体"/>
                <w:sz w:val="22"/>
                <w:szCs w:val="22"/>
                <w:highlight w:val="none"/>
              </w:rPr>
              <w:t>谈判</w:t>
            </w:r>
            <w:r>
              <w:rPr>
                <w:rFonts w:hint="eastAsia" w:ascii="宋体" w:hAnsi="宋体" w:eastAsia="宋体" w:cs="宋体"/>
                <w:sz w:val="22"/>
                <w:szCs w:val="22"/>
                <w:highlight w:val="none"/>
              </w:rPr>
              <w:t>文件要求指定位置“签字和盖章”的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供应商必须既签字又盖章。</w:t>
            </w:r>
          </w:p>
        </w:tc>
      </w:tr>
      <w:tr w14:paraId="590E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8" w:type="dxa"/>
            <w:shd w:val="clear" w:color="auto" w:fill="auto"/>
            <w:vAlign w:val="center"/>
          </w:tcPr>
          <w:p w14:paraId="387C44F8">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3.7.4</w:t>
            </w:r>
          </w:p>
        </w:tc>
        <w:tc>
          <w:tcPr>
            <w:tcW w:w="2113" w:type="dxa"/>
            <w:shd w:val="clear" w:color="auto" w:fill="auto"/>
            <w:vAlign w:val="center"/>
          </w:tcPr>
          <w:p w14:paraId="17CFC93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竞争性</w:t>
            </w:r>
            <w:r>
              <w:rPr>
                <w:rFonts w:hint="eastAsia" w:ascii="宋体" w:hAnsi="宋体" w:eastAsia="宋体" w:cs="宋体"/>
                <w:sz w:val="22"/>
                <w:szCs w:val="22"/>
                <w:highlight w:val="none"/>
                <w:lang w:eastAsia="zh-CN"/>
              </w:rPr>
              <w:t>谈判</w:t>
            </w:r>
            <w:r>
              <w:rPr>
                <w:rFonts w:hint="eastAsia" w:ascii="宋体" w:hAnsi="宋体" w:eastAsia="宋体" w:cs="宋体"/>
                <w:sz w:val="22"/>
                <w:szCs w:val="22"/>
                <w:highlight w:val="none"/>
              </w:rPr>
              <w:t>响应文件份数</w:t>
            </w:r>
            <w:r>
              <w:rPr>
                <w:rFonts w:hint="eastAsia" w:ascii="宋体" w:hAnsi="宋体" w:eastAsia="宋体" w:cs="宋体"/>
                <w:sz w:val="22"/>
                <w:szCs w:val="22"/>
                <w:highlight w:val="none"/>
                <w:lang w:val="en-US" w:eastAsia="zh-CN"/>
              </w:rPr>
              <w:t>及要求</w:t>
            </w:r>
          </w:p>
        </w:tc>
        <w:tc>
          <w:tcPr>
            <w:tcW w:w="6411" w:type="dxa"/>
            <w:gridSpan w:val="2"/>
            <w:shd w:val="clear" w:color="auto" w:fill="auto"/>
            <w:vAlign w:val="center"/>
          </w:tcPr>
          <w:p w14:paraId="659CCC95">
            <w:pPr>
              <w:spacing w:line="288" w:lineRule="auto"/>
              <w:rPr>
                <w:rStyle w:val="68"/>
                <w:rFonts w:hint="eastAsia" w:ascii="宋体" w:hAnsi="宋体" w:eastAsia="宋体" w:cs="宋体"/>
                <w:sz w:val="22"/>
                <w:szCs w:val="22"/>
                <w:highlight w:val="none"/>
              </w:rPr>
            </w:pPr>
            <w:r>
              <w:rPr>
                <w:rStyle w:val="68"/>
                <w:rFonts w:hint="eastAsia" w:ascii="宋体" w:hAnsi="宋体" w:eastAsia="宋体" w:cs="宋体"/>
                <w:sz w:val="22"/>
                <w:szCs w:val="22"/>
                <w:highlight w:val="none"/>
              </w:rPr>
              <w:t>1、上传电子版加密响应文件；</w:t>
            </w:r>
          </w:p>
          <w:p w14:paraId="18FDD3C1">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u w:val="none"/>
                <w:lang w:val="en-US" w:eastAsia="zh-CN"/>
              </w:rPr>
            </w:pPr>
            <w:r>
              <w:rPr>
                <w:rStyle w:val="68"/>
                <w:rFonts w:hint="eastAsia" w:ascii="宋体" w:hAnsi="宋体" w:eastAsia="宋体" w:cs="宋体"/>
                <w:sz w:val="22"/>
                <w:szCs w:val="22"/>
                <w:highlight w:val="none"/>
              </w:rPr>
              <w:t>2、成交供应商须在领取成交通知书之前，向采购代理机构提交与上传的加密响应文件内容一致的纸质版响应文件，正本一份，副本二份，电子版U盘（含可编辑的Word版本及签字盖章的PDF版本）一份。</w:t>
            </w:r>
          </w:p>
        </w:tc>
      </w:tr>
      <w:tr w14:paraId="61E36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480E9395">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3.7.5</w:t>
            </w:r>
          </w:p>
        </w:tc>
        <w:tc>
          <w:tcPr>
            <w:tcW w:w="2113" w:type="dxa"/>
            <w:shd w:val="clear" w:color="auto" w:fill="auto"/>
            <w:vAlign w:val="center"/>
          </w:tcPr>
          <w:p w14:paraId="20EECD56">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装订要求</w:t>
            </w:r>
          </w:p>
        </w:tc>
        <w:tc>
          <w:tcPr>
            <w:tcW w:w="6411" w:type="dxa"/>
            <w:gridSpan w:val="2"/>
            <w:shd w:val="clear" w:color="auto" w:fill="auto"/>
            <w:vAlign w:val="center"/>
          </w:tcPr>
          <w:p w14:paraId="376BE1B0">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成交供应商递交的纸质版响应文件应与上传的加密响应文件内容一致</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胶装成册</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装订应牢固、不易拆散和换页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不得采用活页装订。</w:t>
            </w:r>
          </w:p>
        </w:tc>
      </w:tr>
      <w:tr w14:paraId="08640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968" w:type="dxa"/>
            <w:shd w:val="clear" w:color="auto" w:fill="auto"/>
            <w:vAlign w:val="center"/>
          </w:tcPr>
          <w:p w14:paraId="3B2B6032">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4.2.2</w:t>
            </w:r>
          </w:p>
        </w:tc>
        <w:tc>
          <w:tcPr>
            <w:tcW w:w="2113" w:type="dxa"/>
            <w:shd w:val="clear" w:color="auto" w:fill="auto"/>
            <w:vAlign w:val="center"/>
          </w:tcPr>
          <w:p w14:paraId="793520ED">
            <w:pPr>
              <w:spacing w:line="240" w:lineRule="auto"/>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递交竞争性</w:t>
            </w:r>
            <w:r>
              <w:rPr>
                <w:rFonts w:hint="eastAsia" w:ascii="宋体" w:hAnsi="宋体" w:cs="宋体"/>
                <w:sz w:val="22"/>
                <w:szCs w:val="22"/>
                <w:highlight w:val="none"/>
                <w:lang w:eastAsia="zh-CN"/>
              </w:rPr>
              <w:t>谈判</w:t>
            </w:r>
          </w:p>
          <w:p w14:paraId="5A845208">
            <w:pPr>
              <w:spacing w:line="240" w:lineRule="auto"/>
              <w:jc w:val="center"/>
              <w:rPr>
                <w:rFonts w:hint="eastAsia" w:ascii="宋体" w:hAnsi="宋体" w:eastAsia="宋体" w:cs="宋体"/>
                <w:sz w:val="22"/>
                <w:szCs w:val="22"/>
                <w:highlight w:val="none"/>
                <w:u w:val="none"/>
                <w:lang w:val="en-US" w:eastAsia="zh-CN"/>
              </w:rPr>
            </w:pPr>
            <w:r>
              <w:rPr>
                <w:rFonts w:hint="eastAsia" w:ascii="宋体" w:hAnsi="宋体" w:eastAsia="宋体" w:cs="宋体"/>
                <w:sz w:val="22"/>
                <w:szCs w:val="22"/>
                <w:highlight w:val="none"/>
              </w:rPr>
              <w:t>响应文件地点</w:t>
            </w:r>
          </w:p>
        </w:tc>
        <w:tc>
          <w:tcPr>
            <w:tcW w:w="6411" w:type="dxa"/>
            <w:gridSpan w:val="2"/>
            <w:shd w:val="clear" w:color="auto" w:fill="auto"/>
            <w:vAlign w:val="center"/>
          </w:tcPr>
          <w:p w14:paraId="2E436CAC">
            <w:pPr>
              <w:spacing w:line="420" w:lineRule="exact"/>
              <w:rPr>
                <w:rFonts w:hint="eastAsia" w:ascii="宋体" w:hAnsi="宋体" w:eastAsia="宋体" w:cs="宋体"/>
                <w:sz w:val="22"/>
                <w:szCs w:val="22"/>
                <w:highlight w:val="none"/>
                <w:u w:val="none"/>
                <w:lang w:val="en-US" w:eastAsia="zh-CN"/>
              </w:rPr>
            </w:pPr>
            <w:r>
              <w:rPr>
                <w:rFonts w:hint="eastAsia" w:ascii="宋体" w:hAnsi="宋体" w:eastAsia="宋体" w:cs="宋体"/>
                <w:sz w:val="22"/>
                <w:szCs w:val="22"/>
                <w:highlight w:val="none"/>
              </w:rPr>
              <w:t>全国公共资源交易平台</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陕西省·宝鸡市</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上传加密响应文件。</w:t>
            </w:r>
          </w:p>
        </w:tc>
      </w:tr>
      <w:tr w14:paraId="47DF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3E5571CC">
            <w:pPr>
              <w:keepNext w:val="0"/>
              <w:keepLines w:val="0"/>
              <w:pageBreakBefore w:val="0"/>
              <w:widowControl w:val="0"/>
              <w:kinsoku/>
              <w:wordWrap/>
              <w:overflowPunct/>
              <w:topLinePunct w:val="0"/>
              <w:autoSpaceDE/>
              <w:autoSpaceDN/>
              <w:bidi w:val="0"/>
              <w:adjustRightInd w:val="0"/>
              <w:snapToGrid w:val="0"/>
              <w:spacing w:line="520" w:lineRule="exact"/>
              <w:ind w:firstLine="37"/>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4.2.3</w:t>
            </w:r>
          </w:p>
        </w:tc>
        <w:tc>
          <w:tcPr>
            <w:tcW w:w="2113" w:type="dxa"/>
            <w:shd w:val="clear" w:color="auto" w:fill="auto"/>
            <w:vAlign w:val="center"/>
          </w:tcPr>
          <w:p w14:paraId="2BE051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是否退还竞争性谈判响应文件</w:t>
            </w:r>
          </w:p>
        </w:tc>
        <w:tc>
          <w:tcPr>
            <w:tcW w:w="6411" w:type="dxa"/>
            <w:gridSpan w:val="2"/>
            <w:shd w:val="clear" w:color="auto" w:fill="auto"/>
            <w:vAlign w:val="center"/>
          </w:tcPr>
          <w:p w14:paraId="090BE92A">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eq \o\ac(</w:instrText>
            </w:r>
            <w:r>
              <w:rPr>
                <w:rFonts w:hint="eastAsia" w:ascii="宋体" w:hAnsi="宋体" w:eastAsia="宋体" w:cs="宋体"/>
                <w:position w:val="-4"/>
                <w:sz w:val="22"/>
                <w:szCs w:val="22"/>
                <w:highlight w:val="none"/>
              </w:rPr>
              <w:instrText xml:space="preserve">□</w:instrText>
            </w:r>
            <w:r>
              <w:rPr>
                <w:rFonts w:hint="eastAsia" w:ascii="宋体" w:hAnsi="宋体" w:eastAsia="宋体" w:cs="宋体"/>
                <w:position w:val="0"/>
                <w:sz w:val="22"/>
                <w:szCs w:val="22"/>
                <w:highlight w:val="none"/>
              </w:rPr>
              <w:instrText xml:space="preserve">,√)</w:instrTex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否</w:t>
            </w:r>
          </w:p>
        </w:tc>
      </w:tr>
      <w:tr w14:paraId="0017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74CA236B">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5.1</w:t>
            </w:r>
          </w:p>
        </w:tc>
        <w:tc>
          <w:tcPr>
            <w:tcW w:w="2113" w:type="dxa"/>
            <w:shd w:val="clear" w:color="auto" w:fill="auto"/>
            <w:vAlign w:val="center"/>
          </w:tcPr>
          <w:p w14:paraId="4E8A38D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竞争性谈判时间和地点</w:t>
            </w:r>
          </w:p>
        </w:tc>
        <w:tc>
          <w:tcPr>
            <w:tcW w:w="6411" w:type="dxa"/>
            <w:gridSpan w:val="2"/>
            <w:shd w:val="clear" w:color="auto" w:fill="auto"/>
            <w:vAlign w:val="center"/>
          </w:tcPr>
          <w:p w14:paraId="30094863">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时间：202</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0</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rPr>
              <w:t>月</w:t>
            </w:r>
            <w:r>
              <w:rPr>
                <w:rFonts w:hint="eastAsia" w:ascii="宋体" w:hAnsi="宋体" w:cs="宋体"/>
                <w:color w:val="auto"/>
                <w:sz w:val="22"/>
                <w:szCs w:val="22"/>
                <w:highlight w:val="none"/>
                <w:lang w:val="en-US" w:eastAsia="zh-CN"/>
              </w:rPr>
              <w:t>10</w:t>
            </w:r>
            <w:r>
              <w:rPr>
                <w:rFonts w:hint="eastAsia" w:ascii="宋体" w:hAnsi="宋体" w:eastAsia="宋体" w:cs="宋体"/>
                <w:color w:val="auto"/>
                <w:sz w:val="22"/>
                <w:szCs w:val="22"/>
                <w:highlight w:val="none"/>
              </w:rPr>
              <w:t>日</w:t>
            </w:r>
            <w:r>
              <w:rPr>
                <w:rFonts w:hint="eastAsia" w:ascii="宋体" w:hAnsi="宋体" w:eastAsia="宋体" w:cs="宋体"/>
                <w:color w:val="auto"/>
                <w:sz w:val="22"/>
                <w:szCs w:val="22"/>
                <w:highlight w:val="none"/>
                <w:lang w:val="en-US" w:eastAsia="zh-CN"/>
              </w:rPr>
              <w:t>14</w:t>
            </w:r>
            <w:r>
              <w:rPr>
                <w:rFonts w:hint="eastAsia" w:ascii="宋体" w:hAnsi="宋体" w:eastAsia="宋体" w:cs="宋体"/>
                <w:color w:val="auto"/>
                <w:sz w:val="22"/>
                <w:szCs w:val="22"/>
                <w:highlight w:val="none"/>
              </w:rPr>
              <w:t>时00分</w:t>
            </w:r>
          </w:p>
          <w:p w14:paraId="385D56B5">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地点：</w:t>
            </w:r>
            <w:r>
              <w:rPr>
                <w:rFonts w:hint="eastAsia" w:ascii="宋体" w:hAnsi="宋体" w:eastAsia="宋体" w:cs="宋体"/>
                <w:color w:val="auto"/>
                <w:kern w:val="0"/>
                <w:sz w:val="22"/>
                <w:szCs w:val="22"/>
                <w:highlight w:val="none"/>
              </w:rPr>
              <w:t>全国公共资源交易平台(陕西省·宝鸡市) 网站〖首页→不见面开标→登录→投标人〗</w:t>
            </w:r>
          </w:p>
        </w:tc>
      </w:tr>
      <w:tr w14:paraId="3C53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61925936">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6.1.1</w:t>
            </w:r>
          </w:p>
        </w:tc>
        <w:tc>
          <w:tcPr>
            <w:tcW w:w="2113" w:type="dxa"/>
            <w:shd w:val="clear" w:color="auto" w:fill="auto"/>
            <w:vAlign w:val="center"/>
          </w:tcPr>
          <w:p w14:paraId="4FBD0B32">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谈判小组的组建</w:t>
            </w:r>
          </w:p>
        </w:tc>
        <w:tc>
          <w:tcPr>
            <w:tcW w:w="6411" w:type="dxa"/>
            <w:gridSpan w:val="2"/>
            <w:shd w:val="clear" w:color="auto" w:fill="auto"/>
            <w:vAlign w:val="center"/>
          </w:tcPr>
          <w:p w14:paraId="478D5C3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小组构成：</w:t>
            </w:r>
            <w:r>
              <w:rPr>
                <w:rFonts w:hint="eastAsia" w:ascii="宋体" w:hAnsi="宋体" w:cs="宋体"/>
                <w:color w:val="auto"/>
                <w:sz w:val="22"/>
                <w:szCs w:val="22"/>
                <w:highlight w:val="none"/>
                <w:u w:val="single"/>
              </w:rPr>
              <w:t xml:space="preserve"> 3 </w:t>
            </w:r>
            <w:r>
              <w:rPr>
                <w:rFonts w:hint="eastAsia" w:ascii="宋体" w:hAnsi="宋体" w:cs="宋体"/>
                <w:color w:val="auto"/>
                <w:sz w:val="22"/>
                <w:szCs w:val="22"/>
                <w:highlight w:val="none"/>
              </w:rPr>
              <w:t>人</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其中评审专家人数不得少于</w:t>
            </w:r>
            <w:r>
              <w:rPr>
                <w:rFonts w:hint="eastAsia" w:ascii="宋体" w:hAnsi="宋体" w:cs="宋体"/>
                <w:color w:val="auto"/>
                <w:sz w:val="22"/>
                <w:szCs w:val="22"/>
                <w:highlight w:val="none"/>
                <w:lang w:eastAsia="zh-CN"/>
              </w:rPr>
              <w:t>谈判</w:t>
            </w:r>
            <w:r>
              <w:rPr>
                <w:rFonts w:hint="eastAsia" w:ascii="宋体" w:hAnsi="宋体" w:cs="宋体"/>
                <w:color w:val="auto"/>
                <w:sz w:val="22"/>
                <w:szCs w:val="22"/>
                <w:highlight w:val="none"/>
              </w:rPr>
              <w:t>小组成员总数的2/3</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采购人代表</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0</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人；专家</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3</w:t>
            </w:r>
            <w:r>
              <w:rPr>
                <w:rFonts w:hint="eastAsia" w:ascii="宋体" w:hAnsi="宋体" w:cs="宋体"/>
                <w:color w:val="auto"/>
                <w:sz w:val="22"/>
                <w:szCs w:val="22"/>
                <w:highlight w:val="none"/>
              </w:rPr>
              <w:t>人。</w:t>
            </w:r>
          </w:p>
          <w:p w14:paraId="017F1795">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评标专家确定方式：开标前在政府采购评审专家库中，通过随机方式抽取评审专家。 </w:t>
            </w:r>
          </w:p>
        </w:tc>
      </w:tr>
      <w:tr w14:paraId="1182C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8" w:type="dxa"/>
            <w:shd w:val="clear" w:color="auto" w:fill="auto"/>
            <w:vAlign w:val="center"/>
          </w:tcPr>
          <w:p w14:paraId="2C05CC0C">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7.1.1</w:t>
            </w:r>
          </w:p>
        </w:tc>
        <w:tc>
          <w:tcPr>
            <w:tcW w:w="2113" w:type="dxa"/>
            <w:shd w:val="clear" w:color="auto" w:fill="auto"/>
            <w:vAlign w:val="center"/>
          </w:tcPr>
          <w:p w14:paraId="07CF39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是否授权谈判小组确定成交供应商</w:t>
            </w:r>
          </w:p>
        </w:tc>
        <w:tc>
          <w:tcPr>
            <w:tcW w:w="6411" w:type="dxa"/>
            <w:gridSpan w:val="2"/>
            <w:shd w:val="clear" w:color="auto" w:fill="auto"/>
            <w:vAlign w:val="center"/>
          </w:tcPr>
          <w:p w14:paraId="618CB131">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否，推荐的成交候选人数：3名。</w:t>
            </w:r>
          </w:p>
        </w:tc>
      </w:tr>
      <w:tr w14:paraId="2114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26A8C2B6">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7.1.4</w:t>
            </w:r>
          </w:p>
        </w:tc>
        <w:tc>
          <w:tcPr>
            <w:tcW w:w="2113" w:type="dxa"/>
            <w:shd w:val="clear" w:color="auto" w:fill="auto"/>
            <w:vAlign w:val="center"/>
          </w:tcPr>
          <w:p w14:paraId="03656433">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成交公告</w:t>
            </w:r>
          </w:p>
        </w:tc>
        <w:tc>
          <w:tcPr>
            <w:tcW w:w="6411" w:type="dxa"/>
            <w:gridSpan w:val="2"/>
            <w:shd w:val="clear" w:color="auto" w:fill="auto"/>
            <w:vAlign w:val="center"/>
          </w:tcPr>
          <w:p w14:paraId="79450D3F">
            <w:pPr>
              <w:spacing w:line="4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公告媒体：陕西省政府采购网、全国公共资源交易平台</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陕西省·宝鸡市</w:t>
            </w:r>
            <w:r>
              <w:rPr>
                <w:rFonts w:hint="eastAsia" w:ascii="宋体" w:hAnsi="宋体" w:eastAsia="宋体" w:cs="宋体"/>
                <w:color w:val="auto"/>
                <w:sz w:val="22"/>
                <w:szCs w:val="22"/>
                <w:highlight w:val="none"/>
                <w:lang w:eastAsia="zh-CN"/>
              </w:rPr>
              <w:t>）</w:t>
            </w:r>
          </w:p>
          <w:p w14:paraId="1740D401">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公告期限：1个工作日</w:t>
            </w:r>
          </w:p>
        </w:tc>
      </w:tr>
      <w:tr w14:paraId="713C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762A14C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7.3.1</w:t>
            </w:r>
          </w:p>
        </w:tc>
        <w:tc>
          <w:tcPr>
            <w:tcW w:w="2113" w:type="dxa"/>
            <w:shd w:val="clear" w:color="auto" w:fill="auto"/>
            <w:vAlign w:val="center"/>
          </w:tcPr>
          <w:p w14:paraId="49C8C31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履约担保</w:t>
            </w:r>
          </w:p>
        </w:tc>
        <w:tc>
          <w:tcPr>
            <w:tcW w:w="6411" w:type="dxa"/>
            <w:gridSpan w:val="2"/>
            <w:shd w:val="clear" w:color="auto" w:fill="auto"/>
            <w:vAlign w:val="center"/>
          </w:tcPr>
          <w:p w14:paraId="069CF8DF">
            <w:pPr>
              <w:spacing w:line="42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履约担保的形式：银行保函（基本户出具的银行保函）或履约担保书） </w:t>
            </w:r>
          </w:p>
          <w:p w14:paraId="40CFE137">
            <w:pPr>
              <w:spacing w:line="42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履约担保的金额：中标金额的10% </w:t>
            </w:r>
          </w:p>
          <w:p w14:paraId="19DA11D6">
            <w:pPr>
              <w:spacing w:line="420" w:lineRule="exact"/>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履约担保的期限：自发包人与承包人签订的合同生效之日起至项目供货期完成。</w:t>
            </w:r>
          </w:p>
        </w:tc>
      </w:tr>
      <w:tr w14:paraId="69D0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92" w:type="dxa"/>
            <w:gridSpan w:val="4"/>
            <w:shd w:val="clear" w:color="auto" w:fill="auto"/>
            <w:vAlign w:val="center"/>
          </w:tcPr>
          <w:p w14:paraId="71042DCF">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10.需要补充的其他内容</w:t>
            </w:r>
          </w:p>
        </w:tc>
      </w:tr>
      <w:tr w14:paraId="7BEF3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640C6771">
            <w:pPr>
              <w:spacing w:line="42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10.1</w:t>
            </w:r>
          </w:p>
        </w:tc>
        <w:tc>
          <w:tcPr>
            <w:tcW w:w="8524" w:type="dxa"/>
            <w:gridSpan w:val="3"/>
            <w:shd w:val="clear" w:color="auto" w:fill="auto"/>
            <w:vAlign w:val="center"/>
          </w:tcPr>
          <w:p w14:paraId="30EF7F9B">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供应商代表出席竞争性</w:t>
            </w:r>
            <w:r>
              <w:rPr>
                <w:rFonts w:hint="eastAsia" w:ascii="宋体" w:hAnsi="宋体" w:cs="宋体"/>
                <w:color w:val="auto"/>
                <w:sz w:val="22"/>
                <w:szCs w:val="22"/>
                <w:highlight w:val="none"/>
                <w:lang w:eastAsia="zh-CN"/>
              </w:rPr>
              <w:t>谈判</w:t>
            </w:r>
            <w:r>
              <w:rPr>
                <w:rFonts w:hint="eastAsia" w:ascii="宋体" w:hAnsi="宋体" w:eastAsia="宋体" w:cs="宋体"/>
                <w:color w:val="auto"/>
                <w:sz w:val="22"/>
                <w:szCs w:val="22"/>
                <w:highlight w:val="none"/>
              </w:rPr>
              <w:t>会：</w:t>
            </w:r>
          </w:p>
          <w:p w14:paraId="12037016">
            <w:pPr>
              <w:spacing w:line="420" w:lineRule="exac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供应商的法定代表人或其委托代理人应当认真阅读</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rPr>
              <w:fldChar w:fldCharType="begin"/>
            </w:r>
            <w:r>
              <w:rPr>
                <w:rFonts w:hint="eastAsia" w:ascii="宋体" w:hAnsi="宋体" w:eastAsia="宋体" w:cs="宋体"/>
                <w:color w:val="auto"/>
                <w:kern w:val="0"/>
                <w:sz w:val="22"/>
                <w:szCs w:val="22"/>
                <w:highlight w:val="none"/>
              </w:rPr>
              <w:instrText xml:space="preserve"> HYPERLINK "javascript:void(0);" \o "宝鸡不见面开标大厅操作手册-投标人.docx" </w:instrText>
            </w:r>
            <w:r>
              <w:rPr>
                <w:rFonts w:hint="eastAsia" w:ascii="宋体" w:hAnsi="宋体" w:eastAsia="宋体" w:cs="宋体"/>
                <w:color w:val="auto"/>
                <w:kern w:val="0"/>
                <w:sz w:val="22"/>
                <w:szCs w:val="22"/>
                <w:highlight w:val="none"/>
              </w:rPr>
              <w:fldChar w:fldCharType="separate"/>
            </w:r>
            <w:r>
              <w:rPr>
                <w:rFonts w:hint="eastAsia" w:ascii="宋体" w:hAnsi="宋体" w:eastAsia="宋体" w:cs="宋体"/>
                <w:color w:val="auto"/>
                <w:kern w:val="0"/>
                <w:sz w:val="22"/>
                <w:szCs w:val="22"/>
                <w:highlight w:val="none"/>
              </w:rPr>
              <w:t>宝鸡不见面开标大厅操作手册-投标人</w:t>
            </w:r>
            <w:r>
              <w:rPr>
                <w:rFonts w:hint="eastAsia" w:ascii="宋体" w:hAnsi="宋体" w:eastAsia="宋体" w:cs="宋体"/>
                <w:color w:val="auto"/>
                <w:kern w:val="0"/>
                <w:sz w:val="22"/>
                <w:szCs w:val="22"/>
                <w:highlight w:val="none"/>
              </w:rPr>
              <w:fldChar w:fldCharType="end"/>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提前准备好不见面开标的硬件及软件环境</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在递交响应文件截止时间前提前登录“宝鸡市公共资源交易不见面开标大厅”</w:t>
            </w:r>
            <w:r>
              <w:rPr>
                <w:rFonts w:hint="eastAsia" w:ascii="宋体" w:hAnsi="宋体" w:eastAsia="宋体" w:cs="宋体"/>
                <w:color w:val="auto"/>
                <w:sz w:val="22"/>
                <w:szCs w:val="22"/>
                <w:highlight w:val="none"/>
              </w:rPr>
              <w:t>。</w:t>
            </w:r>
          </w:p>
        </w:tc>
      </w:tr>
      <w:tr w14:paraId="5CAD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494BE468">
            <w:pPr>
              <w:spacing w:line="420" w:lineRule="exac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10.2</w:t>
            </w:r>
          </w:p>
        </w:tc>
        <w:tc>
          <w:tcPr>
            <w:tcW w:w="8524" w:type="dxa"/>
            <w:gridSpan w:val="3"/>
            <w:shd w:val="clear" w:color="auto" w:fill="auto"/>
            <w:vAlign w:val="center"/>
          </w:tcPr>
          <w:p w14:paraId="6D7D934C">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代理服务费：</w:t>
            </w:r>
          </w:p>
          <w:p w14:paraId="1F667ED0">
            <w:pPr>
              <w:spacing w:line="420" w:lineRule="exac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采购代理服务费由成交供应商支付</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按照&lt;&lt;关于进一步放开建设项目专业服务价格的通知&gt;&gt;(发改价格2015)299号的规立实行市场调节价</w:t>
            </w:r>
            <w:r>
              <w:rPr>
                <w:rFonts w:hint="eastAsia" w:ascii="宋体" w:hAnsi="宋体" w:eastAsia="宋体" w:cs="宋体"/>
                <w:color w:val="auto"/>
                <w:sz w:val="22"/>
                <w:szCs w:val="22"/>
                <w:highlight w:val="none"/>
                <w:lang w:eastAsia="zh-CN"/>
              </w:rPr>
              <w:t>，规定以及询价采购成交价确定为小写：</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000.00元，大写：叁仟元整，</w:t>
            </w:r>
            <w:r>
              <w:rPr>
                <w:rFonts w:hint="eastAsia" w:ascii="宋体" w:hAnsi="宋体" w:eastAsia="宋体" w:cs="宋体"/>
                <w:color w:val="auto"/>
                <w:sz w:val="22"/>
                <w:szCs w:val="22"/>
                <w:highlight w:val="none"/>
              </w:rPr>
              <w:t>由成交供应商在领取成交通知书时向招标代理公司一次性支付。</w:t>
            </w:r>
          </w:p>
          <w:p w14:paraId="4FD479CA">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公司名称：陕西鑫盛龙泽项目管理有限公司</w:t>
            </w:r>
          </w:p>
          <w:p w14:paraId="53E4A733">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账    号：806023601421005150</w:t>
            </w:r>
          </w:p>
          <w:p w14:paraId="05D7BABF">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 户 行：长安银行股份有限公司宝鸡高新大道支行</w:t>
            </w:r>
          </w:p>
        </w:tc>
      </w:tr>
      <w:tr w14:paraId="796D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8" w:hRule="atLeast"/>
        </w:trPr>
        <w:tc>
          <w:tcPr>
            <w:tcW w:w="968" w:type="dxa"/>
            <w:shd w:val="clear" w:color="auto" w:fill="auto"/>
            <w:vAlign w:val="center"/>
          </w:tcPr>
          <w:p w14:paraId="3F79328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10.</w:t>
            </w:r>
            <w:r>
              <w:rPr>
                <w:rFonts w:hint="eastAsia" w:ascii="宋体" w:hAnsi="宋体" w:eastAsia="宋体" w:cs="宋体"/>
                <w:sz w:val="22"/>
                <w:szCs w:val="22"/>
                <w:highlight w:val="none"/>
                <w:lang w:val="en-US" w:eastAsia="zh-CN"/>
              </w:rPr>
              <w:t>3</w:t>
            </w:r>
          </w:p>
        </w:tc>
        <w:tc>
          <w:tcPr>
            <w:tcW w:w="8524" w:type="dxa"/>
            <w:gridSpan w:val="3"/>
            <w:shd w:val="clear" w:color="auto" w:fill="auto"/>
            <w:vAlign w:val="center"/>
          </w:tcPr>
          <w:p w14:paraId="6005A10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不允许重大偏离。不满足以下一项要求的，视为发生重大偏离，按无效响应处理；其余偏离视为细微偏离，竞争性</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人将通过澄清的方式对细微偏离进行澄清或修正。</w:t>
            </w:r>
          </w:p>
          <w:p w14:paraId="3D43821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1）文件组成内容完整、格式符合要求，字迹清晰可辨；</w:t>
            </w:r>
          </w:p>
          <w:p w14:paraId="2D1EF3E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2）法定代表人的身份证明书或其</w:t>
            </w:r>
            <w:r>
              <w:rPr>
                <w:rFonts w:hint="eastAsia" w:ascii="宋体" w:hAnsi="宋体" w:eastAsia="宋体" w:cs="宋体"/>
                <w:color w:val="auto"/>
                <w:sz w:val="22"/>
                <w:szCs w:val="22"/>
                <w:highlight w:val="none"/>
                <w:lang w:val="en-US" w:eastAsia="zh-CN"/>
              </w:rPr>
              <w:t>委托</w:t>
            </w:r>
            <w:r>
              <w:rPr>
                <w:rFonts w:hint="eastAsia" w:ascii="宋体" w:hAnsi="宋体" w:eastAsia="宋体" w:cs="宋体"/>
                <w:color w:val="auto"/>
                <w:sz w:val="22"/>
                <w:szCs w:val="22"/>
                <w:highlight w:val="none"/>
              </w:rPr>
              <w:t>代理人的授权委托书及身份证明符合要求；</w:t>
            </w:r>
          </w:p>
          <w:p w14:paraId="2991C38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3）竞争性</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响应文件由供应商法定代表人或其</w:t>
            </w:r>
            <w:r>
              <w:rPr>
                <w:rFonts w:hint="eastAsia" w:ascii="宋体" w:hAnsi="宋体" w:eastAsia="宋体" w:cs="宋体"/>
                <w:color w:val="auto"/>
                <w:sz w:val="22"/>
                <w:szCs w:val="22"/>
                <w:highlight w:val="none"/>
                <w:lang w:val="en-US" w:eastAsia="zh-CN"/>
              </w:rPr>
              <w:t>委托</w:t>
            </w:r>
            <w:r>
              <w:rPr>
                <w:rFonts w:hint="eastAsia" w:ascii="宋体" w:hAnsi="宋体" w:eastAsia="宋体" w:cs="宋体"/>
                <w:color w:val="auto"/>
                <w:sz w:val="22"/>
                <w:szCs w:val="22"/>
                <w:highlight w:val="none"/>
              </w:rPr>
              <w:t>代理人按照要求签字，盖章；</w:t>
            </w:r>
          </w:p>
          <w:p w14:paraId="403B9F4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4）一份竞争性</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响应文件只有一个</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报价，出现两个报价未明确以哪个为准；</w:t>
            </w:r>
          </w:p>
          <w:p w14:paraId="0BC7AA2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5）供应商未提出不同的验收、计量、支付办法；</w:t>
            </w:r>
          </w:p>
          <w:p w14:paraId="722BCB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6）供应商在竞争性</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过程中没有欺诈行为</w:t>
            </w:r>
            <w:r>
              <w:rPr>
                <w:rFonts w:hint="eastAsia" w:ascii="宋体" w:hAnsi="宋体" w:eastAsia="宋体" w:cs="宋体"/>
                <w:color w:val="auto"/>
                <w:sz w:val="22"/>
                <w:szCs w:val="22"/>
                <w:highlight w:val="none"/>
                <w:lang w:eastAsia="zh-CN"/>
              </w:rPr>
              <w:t>；</w:t>
            </w:r>
          </w:p>
          <w:p w14:paraId="673C7A5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7）供应商存在其他违反国家相关法律法规、行业行政许可的行为。</w:t>
            </w:r>
          </w:p>
        </w:tc>
      </w:tr>
      <w:tr w14:paraId="4328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2" w:hRule="atLeast"/>
        </w:trPr>
        <w:tc>
          <w:tcPr>
            <w:tcW w:w="968" w:type="dxa"/>
            <w:shd w:val="clear" w:color="auto" w:fill="auto"/>
            <w:vAlign w:val="center"/>
          </w:tcPr>
          <w:p w14:paraId="721D8F2A">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10.</w:t>
            </w:r>
            <w:r>
              <w:rPr>
                <w:rFonts w:hint="eastAsia" w:ascii="宋体" w:hAnsi="宋体" w:eastAsia="宋体" w:cs="宋体"/>
                <w:sz w:val="22"/>
                <w:szCs w:val="22"/>
                <w:highlight w:val="none"/>
                <w:lang w:val="en-US" w:eastAsia="zh-CN"/>
              </w:rPr>
              <w:t>4</w:t>
            </w:r>
          </w:p>
        </w:tc>
        <w:tc>
          <w:tcPr>
            <w:tcW w:w="8524" w:type="dxa"/>
            <w:gridSpan w:val="3"/>
            <w:shd w:val="clear" w:color="auto" w:fill="auto"/>
            <w:vAlign w:val="center"/>
          </w:tcPr>
          <w:p w14:paraId="73A6FFA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按照《财政部关于在政府采购活动中查询及使用信用记录有关问题的通知》</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财库〔2016〕125号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的要求</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由采购人、采购代理机构根据开标当日“信用中国”网站</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www.creditchina.gov.cn</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、中国政府采购网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www.ccgp.gov.cn</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的信息</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对列入失信被执行人、重大税收违法失信主体、政府采购严重违法失信行为记录名单及其他不符合《中华人民共和国政府采购法》第二十二条规定条件的供应商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拒绝参与政府采购活动</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同时对信用信息查询记录和证据进行打印存档。</w:t>
            </w:r>
          </w:p>
        </w:tc>
      </w:tr>
      <w:tr w14:paraId="2E09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6C696563">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10.5</w:t>
            </w:r>
          </w:p>
        </w:tc>
        <w:tc>
          <w:tcPr>
            <w:tcW w:w="8524" w:type="dxa"/>
            <w:gridSpan w:val="3"/>
            <w:shd w:val="clear" w:color="auto" w:fill="auto"/>
            <w:vAlign w:val="center"/>
          </w:tcPr>
          <w:p w14:paraId="32BF2938">
            <w:pPr>
              <w:keepNext w:val="0"/>
              <w:keepLines w:val="0"/>
              <w:pageBreakBefore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供应商</w:t>
            </w:r>
            <w:r>
              <w:rPr>
                <w:rFonts w:hint="eastAsia" w:ascii="宋体" w:hAnsi="宋体" w:eastAsia="宋体" w:cs="宋体"/>
                <w:b/>
                <w:color w:val="auto"/>
                <w:sz w:val="22"/>
                <w:szCs w:val="22"/>
                <w:highlight w:val="none"/>
              </w:rPr>
              <w:t>须在开标前完成陕西省政府采购网入库</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rPr>
              <w:t xml:space="preserve">具体详见陕西省政府采购网《陕西省财政厅关于政府采购供应商注册登记有关事项的通知》     </w:t>
            </w:r>
          </w:p>
        </w:tc>
      </w:tr>
      <w:tr w14:paraId="1747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8" w:type="dxa"/>
            <w:shd w:val="clear" w:color="auto" w:fill="auto"/>
            <w:vAlign w:val="center"/>
          </w:tcPr>
          <w:p w14:paraId="723B9AF1">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default"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10.</w:t>
            </w:r>
            <w:r>
              <w:rPr>
                <w:rFonts w:hint="eastAsia" w:ascii="宋体" w:hAnsi="宋体" w:cs="宋体"/>
                <w:sz w:val="22"/>
                <w:szCs w:val="22"/>
                <w:highlight w:val="none"/>
                <w:lang w:val="en-US" w:eastAsia="zh-CN"/>
              </w:rPr>
              <w:t>6</w:t>
            </w:r>
          </w:p>
        </w:tc>
        <w:tc>
          <w:tcPr>
            <w:tcW w:w="2412" w:type="dxa"/>
            <w:gridSpan w:val="2"/>
            <w:shd w:val="clear" w:color="auto" w:fill="auto"/>
            <w:vAlign w:val="center"/>
          </w:tcPr>
          <w:p w14:paraId="7CA56367">
            <w:pPr>
              <w:spacing w:line="420" w:lineRule="exact"/>
              <w:jc w:val="center"/>
              <w:rPr>
                <w:rFonts w:hint="eastAsia" w:ascii="宋体" w:hAnsi="宋体" w:eastAsia="宋体" w:cs="宋体"/>
                <w:color w:val="auto"/>
                <w:spacing w:val="0"/>
                <w:position w:val="0"/>
                <w:sz w:val="22"/>
                <w:szCs w:val="22"/>
                <w:highlight w:val="none"/>
              </w:rPr>
            </w:pPr>
            <w:r>
              <w:rPr>
                <w:rFonts w:hint="eastAsia" w:ascii="宋体" w:hAnsi="宋体" w:eastAsia="宋体" w:cs="宋体"/>
                <w:b/>
                <w:bCs/>
                <w:color w:val="auto"/>
                <w:sz w:val="22"/>
                <w:szCs w:val="22"/>
                <w:highlight w:val="none"/>
              </w:rPr>
              <w:t>本项目所属行业及企业规模划分标准</w:t>
            </w:r>
          </w:p>
        </w:tc>
        <w:tc>
          <w:tcPr>
            <w:tcW w:w="6112" w:type="dxa"/>
            <w:shd w:val="clear" w:color="auto" w:fill="auto"/>
            <w:vAlign w:val="center"/>
          </w:tcPr>
          <w:p w14:paraId="299947E5">
            <w:pPr>
              <w:spacing w:line="420" w:lineRule="exact"/>
              <w:rPr>
                <w:rFonts w:hint="eastAsia" w:ascii="宋体" w:hAnsi="宋体" w:eastAsia="宋体" w:cs="宋体"/>
                <w:color w:val="auto"/>
                <w:spacing w:val="0"/>
                <w:position w:val="0"/>
                <w:sz w:val="22"/>
                <w:szCs w:val="22"/>
                <w:highlight w:val="none"/>
                <w:lang w:val="en-US" w:eastAsia="zh-CN"/>
              </w:rPr>
            </w:pPr>
            <w:r>
              <w:rPr>
                <w:rFonts w:hint="eastAsia" w:ascii="宋体" w:hAnsi="宋体" w:eastAsia="宋体" w:cs="宋体"/>
                <w:color w:val="auto"/>
                <w:sz w:val="22"/>
                <w:szCs w:val="22"/>
                <w:highlight w:val="none"/>
              </w:rPr>
              <w:t>企业规模划分标准参照“关于印发中小企业划型标准规定的通知</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工信部联企业[2011]300号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”中</w:t>
            </w:r>
            <w:r>
              <w:rPr>
                <w:rFonts w:hint="eastAsia" w:ascii="宋体" w:hAnsi="宋体" w:cs="宋体"/>
                <w:b/>
                <w:bCs/>
                <w:color w:val="auto"/>
                <w:sz w:val="22"/>
                <w:szCs w:val="22"/>
                <w:highlight w:val="none"/>
                <w:lang w:eastAsia="zh-CN"/>
              </w:rPr>
              <w:t>：“工业”。</w:t>
            </w:r>
          </w:p>
        </w:tc>
      </w:tr>
      <w:tr w14:paraId="0CB2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8" w:type="dxa"/>
            <w:shd w:val="clear" w:color="auto" w:fill="auto"/>
            <w:vAlign w:val="center"/>
          </w:tcPr>
          <w:p w14:paraId="645D409C">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default" w:ascii="宋体" w:hAnsi="宋体" w:eastAsia="宋体" w:cs="宋体"/>
                <w:sz w:val="22"/>
                <w:szCs w:val="22"/>
                <w:highlight w:val="none"/>
                <w:lang w:val="en-US" w:eastAsia="zh-CN"/>
              </w:rPr>
            </w:pPr>
            <w:bookmarkStart w:id="9" w:name="_Toc184635071"/>
            <w:bookmarkStart w:id="10" w:name="_Toc321812010"/>
            <w:bookmarkStart w:id="11" w:name="_Toc290389698"/>
            <w:bookmarkStart w:id="12" w:name="_Toc324521807"/>
            <w:r>
              <w:rPr>
                <w:rFonts w:hint="eastAsia" w:ascii="宋体" w:hAnsi="宋体" w:cs="宋体"/>
                <w:sz w:val="22"/>
                <w:szCs w:val="22"/>
                <w:highlight w:val="none"/>
                <w:lang w:val="en-US" w:eastAsia="zh-CN"/>
              </w:rPr>
              <w:t>10.7</w:t>
            </w:r>
          </w:p>
        </w:tc>
        <w:tc>
          <w:tcPr>
            <w:tcW w:w="2412" w:type="dxa"/>
            <w:gridSpan w:val="2"/>
            <w:shd w:val="clear" w:color="auto" w:fill="auto"/>
            <w:vAlign w:val="center"/>
          </w:tcPr>
          <w:p w14:paraId="7DDA1943">
            <w:pPr>
              <w:spacing w:line="420" w:lineRule="exact"/>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是否专门面向中小企业采购项目</w:t>
            </w:r>
          </w:p>
        </w:tc>
        <w:tc>
          <w:tcPr>
            <w:tcW w:w="6112" w:type="dxa"/>
            <w:shd w:val="clear" w:color="auto" w:fill="auto"/>
            <w:vAlign w:val="center"/>
          </w:tcPr>
          <w:p w14:paraId="1EA623CA">
            <w:pPr>
              <w:spacing w:line="420" w:lineRule="exact"/>
              <w:rPr>
                <w:rFonts w:hint="eastAsia" w:ascii="宋体" w:hAnsi="宋体" w:eastAsia="宋体" w:cs="宋体"/>
                <w:sz w:val="22"/>
                <w:szCs w:val="22"/>
                <w:highlight w:val="none"/>
              </w:rPr>
            </w:pPr>
            <w:r>
              <w:rPr>
                <w:rFonts w:hint="eastAsia" w:ascii="宋体" w:hAnsi="宋体" w:eastAsia="宋体" w:cs="宋体"/>
                <w:b/>
                <w:bCs/>
                <w:sz w:val="22"/>
                <w:szCs w:val="22"/>
                <w:highlight w:val="none"/>
              </w:rPr>
              <w:t>是</w:t>
            </w:r>
            <w:r>
              <w:rPr>
                <w:rFonts w:hint="eastAsia" w:ascii="宋体" w:hAnsi="宋体" w:eastAsia="宋体" w:cs="宋体"/>
                <w:b/>
                <w:bCs/>
                <w:sz w:val="22"/>
                <w:szCs w:val="22"/>
                <w:highlight w:val="none"/>
                <w:lang w:eastAsia="zh-CN"/>
              </w:rPr>
              <w:t>，面向规模：中小企业。</w:t>
            </w:r>
          </w:p>
        </w:tc>
      </w:tr>
      <w:tr w14:paraId="4A55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68" w:type="dxa"/>
            <w:shd w:val="clear" w:color="auto" w:fill="auto"/>
            <w:vAlign w:val="center"/>
          </w:tcPr>
          <w:p w14:paraId="19DC8F39">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10.8</w:t>
            </w:r>
          </w:p>
        </w:tc>
        <w:tc>
          <w:tcPr>
            <w:tcW w:w="2412" w:type="dxa"/>
            <w:gridSpan w:val="2"/>
            <w:shd w:val="clear" w:color="auto" w:fill="auto"/>
            <w:vAlign w:val="center"/>
          </w:tcPr>
          <w:p w14:paraId="5D596E4E">
            <w:pPr>
              <w:spacing w:line="420" w:lineRule="exact"/>
              <w:jc w:val="center"/>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lang w:val="en-US" w:eastAsia="zh-CN"/>
              </w:rPr>
              <w:t>标的名称</w:t>
            </w:r>
          </w:p>
        </w:tc>
        <w:tc>
          <w:tcPr>
            <w:tcW w:w="6112" w:type="dxa"/>
            <w:shd w:val="clear" w:color="auto" w:fill="auto"/>
            <w:vAlign w:val="center"/>
          </w:tcPr>
          <w:p w14:paraId="31E86DA6">
            <w:pPr>
              <w:spacing w:line="420" w:lineRule="exact"/>
              <w:rPr>
                <w:rFonts w:hint="eastAsia" w:ascii="宋体" w:hAnsi="宋体" w:eastAsia="宋体" w:cs="宋体"/>
                <w:b/>
                <w:bCs/>
                <w:sz w:val="22"/>
                <w:szCs w:val="22"/>
                <w:highlight w:val="none"/>
                <w:lang w:eastAsia="zh-CN"/>
              </w:rPr>
            </w:pPr>
            <w:r>
              <w:rPr>
                <w:rFonts w:hint="eastAsia" w:ascii="宋体" w:hAnsi="宋体" w:cs="宋体"/>
                <w:b/>
                <w:bCs/>
                <w:sz w:val="22"/>
                <w:szCs w:val="22"/>
                <w:highlight w:val="none"/>
                <w:lang w:eastAsia="zh-CN"/>
              </w:rPr>
              <w:t>详见采购清单</w:t>
            </w:r>
          </w:p>
        </w:tc>
      </w:tr>
      <w:tr w14:paraId="37972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68" w:type="dxa"/>
            <w:shd w:val="clear" w:color="auto" w:fill="auto"/>
            <w:vAlign w:val="center"/>
          </w:tcPr>
          <w:p w14:paraId="3099B839">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10.9</w:t>
            </w:r>
          </w:p>
        </w:tc>
        <w:tc>
          <w:tcPr>
            <w:tcW w:w="2412" w:type="dxa"/>
            <w:gridSpan w:val="2"/>
            <w:shd w:val="clear" w:color="auto" w:fill="auto"/>
            <w:vAlign w:val="center"/>
          </w:tcPr>
          <w:p w14:paraId="40ADD8CA">
            <w:pPr>
              <w:spacing w:line="420" w:lineRule="exact"/>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最高限价</w:t>
            </w:r>
          </w:p>
        </w:tc>
        <w:tc>
          <w:tcPr>
            <w:tcW w:w="6112" w:type="dxa"/>
            <w:shd w:val="clear" w:color="auto" w:fill="auto"/>
            <w:vAlign w:val="center"/>
          </w:tcPr>
          <w:p w14:paraId="5FD9AC04">
            <w:pPr>
              <w:spacing w:line="36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最高限价：262500.00元</w:t>
            </w:r>
          </w:p>
          <w:p w14:paraId="03A94E6E">
            <w:pPr>
              <w:spacing w:line="42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编制依据：1.</w:t>
            </w:r>
            <w:r>
              <w:rPr>
                <w:rFonts w:hint="eastAsia" w:ascii="宋体" w:hAnsi="宋体" w:cs="宋体"/>
                <w:b/>
                <w:bCs/>
                <w:color w:val="auto"/>
                <w:sz w:val="22"/>
                <w:szCs w:val="22"/>
                <w:highlight w:val="none"/>
                <w:lang w:val="en-US" w:eastAsia="zh-CN"/>
              </w:rPr>
              <w:t>麟游县2026年度省级林业草原改革发展资金野生动物收容救护能力提升项目</w:t>
            </w:r>
            <w:r>
              <w:rPr>
                <w:rFonts w:hint="eastAsia" w:ascii="宋体" w:hAnsi="宋体" w:eastAsia="宋体" w:cs="宋体"/>
                <w:b/>
                <w:bCs/>
                <w:color w:val="auto"/>
                <w:sz w:val="22"/>
                <w:szCs w:val="22"/>
                <w:highlight w:val="none"/>
                <w:lang w:val="en-US" w:eastAsia="zh-CN"/>
              </w:rPr>
              <w:t>实施方案</w:t>
            </w:r>
          </w:p>
          <w:p w14:paraId="52FA3349">
            <w:pPr>
              <w:pStyle w:val="2"/>
              <w:ind w:firstLine="420" w:firstLineChars="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2.与采购人沟通确定。</w:t>
            </w:r>
          </w:p>
        </w:tc>
      </w:tr>
      <w:tr w14:paraId="3124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68" w:type="dxa"/>
            <w:shd w:val="clear" w:color="auto" w:fill="auto"/>
            <w:vAlign w:val="center"/>
          </w:tcPr>
          <w:p w14:paraId="0B0025DA">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10.10</w:t>
            </w:r>
          </w:p>
        </w:tc>
        <w:tc>
          <w:tcPr>
            <w:tcW w:w="2412" w:type="dxa"/>
            <w:gridSpan w:val="2"/>
            <w:shd w:val="clear" w:color="auto" w:fill="auto"/>
            <w:vAlign w:val="center"/>
          </w:tcPr>
          <w:p w14:paraId="657247E5">
            <w:pPr>
              <w:spacing w:line="42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是否涉及</w:t>
            </w:r>
          </w:p>
          <w:p w14:paraId="16473F0F">
            <w:pPr>
              <w:spacing w:line="420" w:lineRule="exact"/>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000000"/>
                <w:sz w:val="24"/>
                <w:szCs w:val="24"/>
                <w:highlight w:val="none"/>
              </w:rPr>
              <w:t>进口产品采购</w:t>
            </w:r>
          </w:p>
        </w:tc>
        <w:tc>
          <w:tcPr>
            <w:tcW w:w="6112" w:type="dxa"/>
            <w:shd w:val="clear" w:color="auto" w:fill="auto"/>
            <w:vAlign w:val="center"/>
          </w:tcPr>
          <w:p w14:paraId="4F1AB895">
            <w:pPr>
              <w:pStyle w:val="2"/>
              <w:ind w:left="0" w:leftChars="0" w:firstLine="0" w:firstLineChars="0"/>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否</w:t>
            </w:r>
          </w:p>
        </w:tc>
      </w:tr>
      <w:tr w14:paraId="088E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68" w:type="dxa"/>
            <w:shd w:val="clear" w:color="auto" w:fill="auto"/>
            <w:vAlign w:val="center"/>
          </w:tcPr>
          <w:p w14:paraId="719DD893">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10.11</w:t>
            </w:r>
          </w:p>
        </w:tc>
        <w:tc>
          <w:tcPr>
            <w:tcW w:w="2412" w:type="dxa"/>
            <w:gridSpan w:val="2"/>
            <w:shd w:val="clear" w:color="auto" w:fill="auto"/>
            <w:vAlign w:val="center"/>
          </w:tcPr>
          <w:p w14:paraId="5E29238C">
            <w:pPr>
              <w:spacing w:line="42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是否涉及</w:t>
            </w:r>
          </w:p>
          <w:p w14:paraId="57344EF9">
            <w:pPr>
              <w:spacing w:line="420" w:lineRule="exact"/>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节能环保</w:t>
            </w:r>
            <w:r>
              <w:rPr>
                <w:rFonts w:hint="eastAsia" w:ascii="宋体" w:hAnsi="宋体" w:cs="宋体"/>
                <w:b/>
                <w:bCs/>
                <w:color w:val="auto"/>
                <w:sz w:val="22"/>
                <w:szCs w:val="22"/>
                <w:highlight w:val="none"/>
                <w:lang w:val="en-US" w:eastAsia="zh-CN"/>
              </w:rPr>
              <w:t>产品</w:t>
            </w:r>
            <w:r>
              <w:rPr>
                <w:rFonts w:hint="eastAsia" w:ascii="宋体" w:hAnsi="宋体" w:eastAsia="宋体" w:cs="宋体"/>
                <w:b/>
                <w:bCs/>
                <w:color w:val="auto"/>
                <w:sz w:val="22"/>
                <w:szCs w:val="22"/>
                <w:highlight w:val="none"/>
                <w:lang w:val="en-US" w:eastAsia="zh-CN"/>
              </w:rPr>
              <w:t>采购</w:t>
            </w:r>
          </w:p>
        </w:tc>
        <w:tc>
          <w:tcPr>
            <w:tcW w:w="6112" w:type="dxa"/>
            <w:shd w:val="clear" w:color="auto" w:fill="auto"/>
            <w:vAlign w:val="center"/>
          </w:tcPr>
          <w:p w14:paraId="2B09D820">
            <w:pPr>
              <w:pStyle w:val="2"/>
              <w:ind w:left="0" w:leftChars="0" w:firstLine="0" w:firstLineChars="0"/>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否</w:t>
            </w:r>
          </w:p>
        </w:tc>
      </w:tr>
      <w:tr w14:paraId="4155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68" w:type="dxa"/>
            <w:shd w:val="clear" w:color="auto" w:fill="auto"/>
            <w:vAlign w:val="center"/>
          </w:tcPr>
          <w:p w14:paraId="5590B67E">
            <w:pPr>
              <w:keepNext w:val="0"/>
              <w:keepLines w:val="0"/>
              <w:pageBreakBefore w:val="0"/>
              <w:kinsoku/>
              <w:wordWrap/>
              <w:overflowPunct/>
              <w:topLinePunct w:val="0"/>
              <w:autoSpaceDE/>
              <w:autoSpaceDN/>
              <w:bidi w:val="0"/>
              <w:adjustRightInd w:val="0"/>
              <w:snapToGrid w:val="0"/>
              <w:spacing w:line="520" w:lineRule="exact"/>
              <w:ind w:left="0" w:leftChars="0"/>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10.12</w:t>
            </w:r>
          </w:p>
        </w:tc>
        <w:tc>
          <w:tcPr>
            <w:tcW w:w="2412" w:type="dxa"/>
            <w:gridSpan w:val="2"/>
            <w:shd w:val="clear" w:color="auto" w:fill="auto"/>
            <w:vAlign w:val="center"/>
          </w:tcPr>
          <w:p w14:paraId="5437EE51">
            <w:pPr>
              <w:jc w:val="center"/>
              <w:rPr>
                <w:rFonts w:hint="eastAsia" w:ascii="宋体" w:hAnsi="宋体" w:eastAsia="宋体" w:cs="宋体"/>
                <w:b/>
                <w:bCs/>
                <w:color w:val="auto"/>
                <w:sz w:val="22"/>
                <w:szCs w:val="22"/>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核心产品</w:t>
            </w:r>
          </w:p>
        </w:tc>
        <w:tc>
          <w:tcPr>
            <w:tcW w:w="6112" w:type="dxa"/>
            <w:shd w:val="clear" w:color="auto" w:fill="auto"/>
            <w:vAlign w:val="center"/>
          </w:tcPr>
          <w:p w14:paraId="4A55B727">
            <w:pPr>
              <w:pStyle w:val="2"/>
              <w:ind w:firstLine="0" w:firstLineChars="0"/>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DR数字X线机</w:t>
            </w:r>
          </w:p>
        </w:tc>
      </w:tr>
      <w:tr w14:paraId="4923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7E64458F">
            <w:pPr>
              <w:spacing w:line="420" w:lineRule="exact"/>
              <w:jc w:val="cente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10.</w:t>
            </w:r>
            <w:r>
              <w:rPr>
                <w:rFonts w:hint="eastAsia" w:ascii="宋体" w:hAnsi="宋体" w:cs="宋体"/>
                <w:sz w:val="22"/>
                <w:szCs w:val="22"/>
                <w:highlight w:val="none"/>
                <w:lang w:val="en-US" w:eastAsia="zh-CN"/>
              </w:rPr>
              <w:t>13</w:t>
            </w:r>
          </w:p>
        </w:tc>
        <w:tc>
          <w:tcPr>
            <w:tcW w:w="8524" w:type="dxa"/>
            <w:gridSpan w:val="3"/>
            <w:shd w:val="clear" w:color="auto" w:fill="auto"/>
            <w:vAlign w:val="center"/>
          </w:tcPr>
          <w:p w14:paraId="7EC28D14">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需落</w:t>
            </w:r>
            <w:r>
              <w:rPr>
                <w:rFonts w:hint="eastAsia" w:ascii="宋体" w:hAnsi="宋体" w:eastAsia="宋体" w:cs="宋体"/>
                <w:sz w:val="22"/>
                <w:szCs w:val="22"/>
                <w:highlight w:val="none"/>
              </w:rPr>
              <w:t>实的政府采购相关政策：</w:t>
            </w:r>
          </w:p>
          <w:p w14:paraId="352145AA">
            <w:pPr>
              <w:spacing w:line="360" w:lineRule="auto"/>
              <w:ind w:firstLine="440" w:firstLineChars="20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依据《中华人民共和国政府采购法》和《中华人民共和国政府采购法实施条例》的有关规定，落实政府采购政策，包含但不限于以下政策： </w:t>
            </w:r>
          </w:p>
          <w:p w14:paraId="20E613A0">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《财政部国家发展改革委关于印发〈节能产品政府采购实施意见〉的通知》（财库〔2004〕185号）；</w:t>
            </w:r>
          </w:p>
          <w:p w14:paraId="5697AF5B">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《国务院办公厅关于建立政府强制采购节能产品制度的通知》（国办发〔2007〕51号）；</w:t>
            </w:r>
          </w:p>
          <w:p w14:paraId="094C54B5">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《财政部环保总局关于环境标志产品政府采购实施的意见》（财库〔2006〕90号）；</w:t>
            </w:r>
          </w:p>
          <w:p w14:paraId="6441C60B">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《政府采购促进中小企业发展管理办法》（财库〔2020〕46号）；</w:t>
            </w:r>
          </w:p>
          <w:p w14:paraId="365F72C1">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《财政部关于进一步加大政府采购支持中小企业力度的通知》（财库〔2022〕19号）；</w:t>
            </w:r>
          </w:p>
          <w:p w14:paraId="7218E3BB">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6.</w:t>
            </w:r>
            <w:r>
              <w:rPr>
                <w:rFonts w:hint="eastAsia" w:ascii="宋体" w:hAnsi="宋体" w:eastAsia="宋体" w:cs="宋体"/>
                <w:sz w:val="22"/>
                <w:szCs w:val="22"/>
                <w:highlight w:val="none"/>
              </w:rPr>
              <w:t>《财政部司法部关于政府采购支持监狱企业发展有关问题的通知》（财库〔2014〕68号）；</w:t>
            </w:r>
          </w:p>
          <w:p w14:paraId="7D21E5E7">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7.</w:t>
            </w:r>
            <w:r>
              <w:rPr>
                <w:rFonts w:hint="eastAsia" w:ascii="宋体" w:hAnsi="宋体" w:eastAsia="宋体" w:cs="宋体"/>
                <w:sz w:val="22"/>
                <w:szCs w:val="22"/>
                <w:highlight w:val="none"/>
              </w:rPr>
              <w:t>《三部门联合发布关于促进残疾人就业政府采购政策的通知》（财库〔2017〕141号）；</w:t>
            </w:r>
          </w:p>
          <w:p w14:paraId="42182DFC">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8.</w:t>
            </w:r>
            <w:r>
              <w:rPr>
                <w:rFonts w:hint="eastAsia" w:ascii="宋体" w:hAnsi="宋体" w:eastAsia="宋体" w:cs="宋体"/>
                <w:sz w:val="22"/>
                <w:szCs w:val="22"/>
                <w:highlight w:val="none"/>
              </w:rPr>
              <w:t>《财政部发展改革委生态环境部市场监管总局关于调整优化节能产品、环境标志产品政府采购执行机制的通知》（财库〔2019〕9号）；</w:t>
            </w:r>
          </w:p>
          <w:p w14:paraId="35A3B3AF">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9. </w:t>
            </w:r>
            <w:r>
              <w:rPr>
                <w:rFonts w:hint="eastAsia" w:ascii="宋体" w:hAnsi="宋体" w:eastAsia="宋体" w:cs="宋体"/>
                <w:sz w:val="22"/>
                <w:szCs w:val="22"/>
                <w:highlight w:val="none"/>
              </w:rPr>
              <w:t>《财政部农业农村部国家乡村振兴局关于运用政府采购政策支持乡村产业振兴的通知》财库〔2021〕19号；</w:t>
            </w:r>
          </w:p>
          <w:p w14:paraId="5DBE64AA">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10.</w:t>
            </w:r>
            <w:r>
              <w:rPr>
                <w:rFonts w:hint="eastAsia" w:ascii="宋体" w:hAnsi="宋体" w:eastAsia="宋体" w:cs="宋体"/>
                <w:sz w:val="22"/>
                <w:szCs w:val="22"/>
                <w:highlight w:val="none"/>
              </w:rPr>
              <w:t>《陕西省财政厅关于印发陕西省中小企业政府采购信用融资办法》（陕财办采〔2018〕23号）；</w:t>
            </w:r>
          </w:p>
          <w:p w14:paraId="0A956645">
            <w:pPr>
              <w:spacing w:line="360" w:lineRule="auto"/>
              <w:ind w:firstLine="440" w:firstLineChars="20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11.《国务院办公厅关于在政府采购中实施本国产品标准及相关政策的通知》国办发〔2025〕34号。</w:t>
            </w:r>
          </w:p>
          <w:p w14:paraId="7B6BBE0E">
            <w:pPr>
              <w:spacing w:line="360" w:lineRule="auto"/>
              <w:ind w:firstLine="440" w:firstLineChars="200"/>
              <w:rPr>
                <w:rFonts w:hint="eastAsia" w:ascii="宋体" w:hAnsi="宋体" w:eastAsia="宋体" w:cs="宋体"/>
                <w:spacing w:val="0"/>
                <w:position w:val="0"/>
                <w:sz w:val="22"/>
                <w:szCs w:val="22"/>
                <w:highlight w:val="none"/>
                <w:lang w:val="en-US" w:eastAsia="zh-CN"/>
              </w:rPr>
            </w:pPr>
            <w:r>
              <w:rPr>
                <w:rFonts w:hint="eastAsia" w:ascii="宋体" w:hAnsi="宋体" w:eastAsia="宋体" w:cs="宋体"/>
                <w:sz w:val="22"/>
                <w:szCs w:val="22"/>
                <w:highlight w:val="none"/>
                <w:lang w:val="en-US" w:eastAsia="zh-CN"/>
              </w:rPr>
              <w:t>12.其他需要落实的政府采购政策（如有最新颁布的政府采购政策，按最新文件执行）</w:t>
            </w:r>
            <w:r>
              <w:rPr>
                <w:rFonts w:hint="eastAsia" w:ascii="宋体" w:hAnsi="宋体" w:eastAsia="宋体" w:cs="宋体"/>
                <w:sz w:val="22"/>
                <w:szCs w:val="22"/>
                <w:highlight w:val="none"/>
              </w:rPr>
              <w:t>。</w:t>
            </w:r>
          </w:p>
        </w:tc>
      </w:tr>
      <w:tr w14:paraId="2FC9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408A1F75">
            <w:pPr>
              <w:spacing w:line="420" w:lineRule="exact"/>
              <w:jc w:val="cente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10.</w:t>
            </w:r>
            <w:r>
              <w:rPr>
                <w:rFonts w:hint="eastAsia" w:ascii="宋体" w:hAnsi="宋体" w:eastAsia="宋体" w:cs="宋体"/>
                <w:sz w:val="22"/>
                <w:szCs w:val="22"/>
                <w:highlight w:val="none"/>
                <w:lang w:val="en-US" w:eastAsia="zh-CN"/>
              </w:rPr>
              <w:t>1</w:t>
            </w:r>
            <w:r>
              <w:rPr>
                <w:rFonts w:hint="eastAsia" w:ascii="宋体" w:hAnsi="宋体" w:cs="宋体"/>
                <w:sz w:val="22"/>
                <w:szCs w:val="22"/>
                <w:highlight w:val="none"/>
                <w:lang w:val="en-US" w:eastAsia="zh-CN"/>
              </w:rPr>
              <w:t>4</w:t>
            </w:r>
          </w:p>
        </w:tc>
        <w:tc>
          <w:tcPr>
            <w:tcW w:w="8524" w:type="dxa"/>
            <w:gridSpan w:val="3"/>
            <w:shd w:val="clear" w:color="auto" w:fill="auto"/>
            <w:vAlign w:val="center"/>
          </w:tcPr>
          <w:p w14:paraId="579C52AE">
            <w:pPr>
              <w:spacing w:line="360" w:lineRule="auto"/>
              <w:ind w:firstLine="442" w:firstLineChars="20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特别提醒：</w:t>
            </w:r>
          </w:p>
          <w:p w14:paraId="0F956969">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本次开标采用“不见面开标”方式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“不见面开标大厅”登录方式：全国公共资源交易平台</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陕西省宝鸡市</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http</w:t>
            </w:r>
            <w:r>
              <w:rPr>
                <w:rFonts w:hint="eastAsia" w:ascii="宋体" w:hAnsi="宋体" w:cs="宋体"/>
                <w:sz w:val="22"/>
                <w:szCs w:val="22"/>
                <w:highlight w:val="none"/>
                <w:lang w:eastAsia="zh-CN"/>
              </w:rPr>
              <w:t>：</w:t>
            </w:r>
            <w:r>
              <w:rPr>
                <w:rFonts w:hint="eastAsia" w:ascii="宋体" w:hAnsi="宋体" w:eastAsia="宋体" w:cs="宋体"/>
                <w:sz w:val="22"/>
                <w:szCs w:val="22"/>
                <w:highlight w:val="none"/>
              </w:rPr>
              <w:t>//ggzy.baoji.gov.cn/</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点击【不见面开标】-----【宝鸡市】进入不见面开标大厅登陆首页。电子投标文件在截止时间前签章加密上传。关于使用不见面开标方式的相关事项详见全国公共资源交易平台</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陕西省宝鸡市</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“服务指南”“下载专区”下载并仔细阅读</w:t>
            </w:r>
            <w:r>
              <w:rPr>
                <w:rFonts w:hint="eastAsia" w:ascii="宋体" w:hAnsi="宋体" w:eastAsia="宋体" w:cs="宋体"/>
                <w:sz w:val="22"/>
                <w:szCs w:val="22"/>
                <w:highlight w:val="none"/>
                <w:lang w:val="en-US" w:eastAsia="zh-CN"/>
              </w:rPr>
              <w:t>“新版政府采购不见面开标系统操作演示”和“</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HYPERLINK "javascript:void(0);" \o "宝鸡不见面开标大厅操作手册-投标人.docx"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宝鸡不见面开标大厅操作手册-投标人</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w:t>
            </w:r>
          </w:p>
          <w:p w14:paraId="07DD1794">
            <w:pPr>
              <w:spacing w:line="360" w:lineRule="auto"/>
              <w:ind w:firstLine="440" w:firstLineChars="200"/>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1.</w:t>
            </w:r>
            <w:r>
              <w:rPr>
                <w:rFonts w:hint="eastAsia" w:ascii="宋体" w:hAnsi="宋体" w:eastAsia="宋体" w:cs="宋体"/>
                <w:sz w:val="22"/>
                <w:szCs w:val="22"/>
                <w:highlight w:val="none"/>
              </w:rPr>
              <w:t>本项目采用电子化投标的方式。投标人须使用数字认证证书对电子化投标文件进行签章、加密、递交及开标时解密等相关招投标事宜。如因投标人自身原因造成未能解密、解密失败或解密超时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30分钟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无法导入</w:t>
            </w:r>
            <w:r>
              <w:rPr>
                <w:rFonts w:hint="eastAsia" w:ascii="宋体" w:hAnsi="宋体" w:eastAsia="宋体" w:cs="宋体"/>
                <w:sz w:val="22"/>
                <w:szCs w:val="22"/>
                <w:highlight w:val="none"/>
              </w:rPr>
              <w:t>投标</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响应</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文件</w:t>
            </w:r>
            <w:r>
              <w:rPr>
                <w:rFonts w:hint="eastAsia" w:ascii="宋体" w:hAnsi="宋体" w:eastAsia="宋体" w:cs="宋体"/>
                <w:sz w:val="22"/>
                <w:szCs w:val="22"/>
                <w:highlight w:val="none"/>
                <w:lang w:val="en-US" w:eastAsia="zh-CN"/>
              </w:rPr>
              <w:t>参与评审的，投标人自行承担对其不利的后果</w:t>
            </w:r>
            <w:r>
              <w:rPr>
                <w:rFonts w:hint="eastAsia" w:ascii="宋体" w:hAnsi="宋体" w:eastAsia="宋体" w:cs="宋体"/>
                <w:sz w:val="22"/>
                <w:szCs w:val="22"/>
                <w:highlight w:val="none"/>
              </w:rPr>
              <w:t>。</w:t>
            </w:r>
          </w:p>
          <w:p w14:paraId="5F6D2CB5">
            <w:pPr>
              <w:spacing w:line="360" w:lineRule="auto"/>
              <w:ind w:firstLine="440" w:firstLineChars="20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2.</w:t>
            </w:r>
            <w:r>
              <w:rPr>
                <w:rFonts w:hint="eastAsia" w:ascii="宋体" w:hAnsi="宋体" w:eastAsia="宋体" w:cs="宋体"/>
                <w:sz w:val="22"/>
                <w:szCs w:val="22"/>
                <w:highlight w:val="none"/>
              </w:rPr>
              <w:t>制作电子投标文件。投标人须在“全国公共资源交易中心平台（陕西省.宝鸡市）（http</w:t>
            </w:r>
            <w:r>
              <w:rPr>
                <w:rFonts w:hint="eastAsia" w:ascii="宋体" w:hAnsi="宋体" w:cs="宋体"/>
                <w:sz w:val="22"/>
                <w:szCs w:val="22"/>
                <w:highlight w:val="none"/>
                <w:lang w:eastAsia="zh-CN"/>
              </w:rPr>
              <w:t>：</w:t>
            </w:r>
            <w:r>
              <w:rPr>
                <w:rFonts w:hint="eastAsia" w:ascii="宋体" w:hAnsi="宋体" w:eastAsia="宋体" w:cs="宋体"/>
                <w:sz w:val="22"/>
                <w:szCs w:val="22"/>
                <w:highlight w:val="none"/>
              </w:rPr>
              <w:t>//ggzy.baoji.gov.cn/）”的“服务指南”栏目“下载专区”中</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免费下载“政府采购电子标书制作工具”</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并使用该客户端制作*.SXSTF格式电子投标文件。网上响应成功并在文件下载时限内从电子交易平台下载采购文件后</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应随时关注交易平台。如有答疑文件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应及时下载答疑文件（*.sxstf 格式）并使用最终答疑文件编制响应文件。如因自身原因未在下载时限内从电子交易平台下载采购文件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或未下载并使用最终答疑文件编制投标</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响应</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文件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导致无法编制（上传）投标</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响应</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文件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自行承担不利后果。</w:t>
            </w:r>
          </w:p>
          <w:p w14:paraId="19A74D5F">
            <w:pPr>
              <w:spacing w:line="360" w:lineRule="auto"/>
              <w:ind w:firstLine="440" w:firstLineChars="20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3.</w:t>
            </w:r>
            <w:r>
              <w:rPr>
                <w:rFonts w:hint="eastAsia" w:ascii="宋体" w:hAnsi="宋体" w:eastAsia="宋体" w:cs="宋体"/>
                <w:sz w:val="22"/>
                <w:szCs w:val="22"/>
                <w:highlight w:val="none"/>
              </w:rPr>
              <w:t>递交电子投标</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响应</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文件。登录陕西省宝鸡市公共资源交易中心平台</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http</w:t>
            </w:r>
            <w:r>
              <w:rPr>
                <w:rFonts w:hint="eastAsia" w:ascii="宋体" w:hAnsi="宋体" w:cs="宋体"/>
                <w:sz w:val="22"/>
                <w:szCs w:val="22"/>
                <w:highlight w:val="none"/>
                <w:lang w:eastAsia="zh-CN"/>
              </w:rPr>
              <w:t>：</w:t>
            </w:r>
            <w:r>
              <w:rPr>
                <w:rFonts w:hint="eastAsia" w:ascii="宋体" w:hAnsi="宋体" w:eastAsia="宋体" w:cs="宋体"/>
                <w:sz w:val="22"/>
                <w:szCs w:val="22"/>
                <w:highlight w:val="none"/>
              </w:rPr>
              <w:t>//ggzy.baoji.gov.cn/</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选择“电子交易平台-陕西政府采购交易系统-企业端”进行登录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登录后选择“交易乙方”身份进入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选择“我的项目”-“项目流程”-“上传投标文件”菜单页面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上传加密的电子化投标</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响应</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文件。上传成功后</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电子化平台将予以记录。</w:t>
            </w:r>
          </w:p>
          <w:p w14:paraId="09C4F032">
            <w:pPr>
              <w:spacing w:line="360" w:lineRule="auto"/>
              <w:ind w:firstLine="440" w:firstLineChars="200"/>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4.</w:t>
            </w:r>
            <w:r>
              <w:rPr>
                <w:rFonts w:hint="eastAsia" w:ascii="宋体" w:hAnsi="宋体" w:eastAsia="宋体" w:cs="宋体"/>
                <w:sz w:val="22"/>
                <w:szCs w:val="22"/>
                <w:highlight w:val="none"/>
              </w:rPr>
              <w:t>投标人应于开标前</w:t>
            </w:r>
            <w:r>
              <w:rPr>
                <w:rFonts w:hint="eastAsia" w:ascii="宋体" w:hAnsi="宋体" w:eastAsia="宋体" w:cs="宋体"/>
                <w:sz w:val="22"/>
                <w:szCs w:val="22"/>
                <w:highlight w:val="none"/>
                <w:lang w:val="en-US" w:eastAsia="zh-CN"/>
              </w:rPr>
              <w:t>准备好不见面开标所使用的硬件设备，包括但不限于（电脑、耳机、麦克风、CA锁等），</w:t>
            </w:r>
            <w:r>
              <w:rPr>
                <w:rFonts w:hint="eastAsia" w:ascii="宋体" w:hAnsi="宋体" w:eastAsia="宋体" w:cs="宋体"/>
                <w:sz w:val="22"/>
                <w:szCs w:val="22"/>
                <w:highlight w:val="none"/>
              </w:rPr>
              <w:t>检查网络环境、安装插件以及浏览器</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提前阅读宝鸡市不见面大厅投标人操作手册</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务必在开标前一小时内完成在线签到工作。</w:t>
            </w:r>
            <w:r>
              <w:rPr>
                <w:rFonts w:hint="eastAsia" w:ascii="宋体" w:hAnsi="宋体" w:eastAsia="宋体" w:cs="宋体"/>
                <w:sz w:val="22"/>
                <w:szCs w:val="22"/>
                <w:highlight w:val="none"/>
                <w:lang w:val="en-US" w:eastAsia="zh-CN"/>
              </w:rPr>
              <w:t>开标时签到内容应含投标人联系人姓名及联系方式，确保在开标环节代理机构工作人员能及时有效的联系沟通。投标人始终保持在线，及时刷新页面，关注评审小组发起的在线通知，确保项目评审顺利。</w:t>
            </w:r>
            <w:r>
              <w:rPr>
                <w:rFonts w:hint="eastAsia" w:ascii="宋体" w:hAnsi="宋体" w:eastAsia="宋体" w:cs="宋体"/>
                <w:sz w:val="22"/>
                <w:szCs w:val="22"/>
                <w:highlight w:val="none"/>
              </w:rPr>
              <w:t>如有供应商因不熟悉系统操作流程无法签到</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应及时联系宝鸡市公共资源交易中心技术人员指导完成相应操作。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联系方式：0917-3263756</w:t>
            </w:r>
            <w:r>
              <w:rPr>
                <w:rFonts w:hint="eastAsia" w:ascii="宋体" w:hAnsi="宋体" w:eastAsia="宋体" w:cs="宋体"/>
                <w:sz w:val="22"/>
                <w:szCs w:val="22"/>
                <w:highlight w:val="none"/>
                <w:lang w:eastAsia="zh-CN"/>
              </w:rPr>
              <w:t>）。</w:t>
            </w:r>
          </w:p>
          <w:p w14:paraId="06732EB7">
            <w:pPr>
              <w:spacing w:line="360" w:lineRule="auto"/>
              <w:ind w:firstLine="440" w:firstLineChars="200"/>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lang w:val="en-US" w:eastAsia="zh-CN"/>
              </w:rPr>
              <w:t>若因投标人未按要求签到、系统操作不熟练、数字认证证书故障、软硬件环境未提前安装测试等，在开评标过程中无法联系投标人进行解密、澄清、谈判等必要程序，投标人自行承担对其不利的后果。</w:t>
            </w:r>
          </w:p>
          <w:p w14:paraId="7E19A1F7">
            <w:pPr>
              <w:spacing w:line="360" w:lineRule="auto"/>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6、为规范竞争性</w:t>
            </w:r>
            <w:r>
              <w:rPr>
                <w:rFonts w:hint="eastAsia" w:ascii="宋体" w:hAnsi="宋体" w:cs="宋体"/>
                <w:b w:val="0"/>
                <w:bCs w:val="0"/>
                <w:color w:val="auto"/>
                <w:sz w:val="22"/>
                <w:szCs w:val="22"/>
                <w:highlight w:val="none"/>
                <w:lang w:val="en-US" w:eastAsia="zh-CN"/>
              </w:rPr>
              <w:t>谈判</w:t>
            </w:r>
            <w:r>
              <w:rPr>
                <w:rFonts w:hint="eastAsia" w:ascii="宋体" w:hAnsi="宋体" w:eastAsia="宋体" w:cs="宋体"/>
                <w:b w:val="0"/>
                <w:bCs w:val="0"/>
                <w:color w:val="auto"/>
                <w:sz w:val="22"/>
                <w:szCs w:val="22"/>
                <w:highlight w:val="none"/>
                <w:lang w:val="en-US" w:eastAsia="zh-CN"/>
              </w:rPr>
              <w:t>项目线上评审流程，统一报价轮次、时限管理标准，避免评审操作违规、供应商资格争议等问题，结合专家评审管理要求，现明确以下注意事项：</w:t>
            </w:r>
          </w:p>
          <w:p w14:paraId="3C0D52A9">
            <w:pPr>
              <w:spacing w:line="360" w:lineRule="auto"/>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6.1采购文件报价相关条款编制要求</w:t>
            </w:r>
          </w:p>
          <w:p w14:paraId="61C7F3C2">
            <w:pPr>
              <w:spacing w:line="360" w:lineRule="auto"/>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若第二轮报价出现多家供应商最低报价并列的特殊情形，可组织并列最低价供应商开展第三轮报价，其余供应商不得参与本轮报价。</w:t>
            </w:r>
          </w:p>
          <w:p w14:paraId="7D210452">
            <w:pPr>
              <w:spacing w:line="360" w:lineRule="auto"/>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6.2</w:t>
            </w:r>
            <w:r>
              <w:rPr>
                <w:rFonts w:hint="eastAsia" w:ascii="宋体" w:hAnsi="宋体" w:cs="宋体"/>
                <w:b w:val="0"/>
                <w:bCs w:val="0"/>
                <w:color w:val="auto"/>
                <w:sz w:val="22"/>
                <w:szCs w:val="22"/>
                <w:highlight w:val="none"/>
                <w:lang w:val="en-US" w:eastAsia="zh-CN"/>
              </w:rPr>
              <w:t>谈判</w:t>
            </w:r>
            <w:r>
              <w:rPr>
                <w:rFonts w:hint="eastAsia" w:ascii="宋体" w:hAnsi="宋体" w:eastAsia="宋体" w:cs="宋体"/>
                <w:b w:val="0"/>
                <w:bCs w:val="0"/>
                <w:color w:val="auto"/>
                <w:sz w:val="22"/>
                <w:szCs w:val="22"/>
                <w:highlight w:val="none"/>
                <w:lang w:val="en-US" w:eastAsia="zh-CN"/>
              </w:rPr>
              <w:t>响应时限、第二轮报价固定时限(分别设为45分钟)，全程不得延长报价时间。</w:t>
            </w:r>
          </w:p>
          <w:p w14:paraId="079599B7">
            <w:pPr>
              <w:spacing w:line="360" w:lineRule="auto"/>
              <w:ind w:firstLine="440" w:firstLineChars="200"/>
              <w:rPr>
                <w:rFonts w:hint="eastAsia" w:ascii="宋体" w:hAnsi="宋体" w:eastAsia="宋体" w:cs="宋体"/>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6.3各投标供应商未在规定时限内完成线上响应及第二轮报价的，视作自动放弃</w:t>
            </w:r>
            <w:r>
              <w:rPr>
                <w:rFonts w:hint="eastAsia" w:ascii="宋体" w:hAnsi="宋体" w:cs="宋体"/>
                <w:b w:val="0"/>
                <w:bCs w:val="0"/>
                <w:color w:val="auto"/>
                <w:sz w:val="22"/>
                <w:szCs w:val="22"/>
                <w:highlight w:val="none"/>
                <w:lang w:val="en-US" w:eastAsia="zh-CN"/>
              </w:rPr>
              <w:t>谈判</w:t>
            </w:r>
            <w:r>
              <w:rPr>
                <w:rFonts w:hint="eastAsia" w:ascii="宋体" w:hAnsi="宋体" w:eastAsia="宋体" w:cs="宋体"/>
                <w:b w:val="0"/>
                <w:bCs w:val="0"/>
                <w:color w:val="auto"/>
                <w:sz w:val="22"/>
                <w:szCs w:val="22"/>
                <w:highlight w:val="none"/>
                <w:lang w:val="en-US" w:eastAsia="zh-CN"/>
              </w:rPr>
              <w:t>响应，按无效响应处理。</w:t>
            </w:r>
          </w:p>
          <w:p w14:paraId="03935B74">
            <w:pPr>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cs="宋体"/>
                <w:sz w:val="22"/>
                <w:szCs w:val="22"/>
                <w:highlight w:val="none"/>
                <w:lang w:val="en-US" w:eastAsia="zh-CN"/>
              </w:rPr>
              <w:t>7.</w:t>
            </w:r>
            <w:r>
              <w:rPr>
                <w:rFonts w:hint="eastAsia" w:ascii="宋体" w:hAnsi="宋体" w:eastAsia="宋体" w:cs="宋体"/>
                <w:sz w:val="22"/>
                <w:szCs w:val="22"/>
                <w:highlight w:val="none"/>
              </w:rPr>
              <w:t>发布结果公告后</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成交</w:t>
            </w:r>
            <w:r>
              <w:rPr>
                <w:rFonts w:hint="eastAsia" w:ascii="宋体" w:hAnsi="宋体" w:eastAsia="宋体" w:cs="宋体"/>
                <w:sz w:val="22"/>
                <w:szCs w:val="22"/>
                <w:highlight w:val="none"/>
              </w:rPr>
              <w:t>供应商应向采购人提交与上传的加密响应文件内容一致的纸质版响应文件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正本一份</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副本二份</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电子版U盘</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含可编辑的Word版本及签字盖章的PDF版本</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一份</w:t>
            </w:r>
            <w:r>
              <w:rPr>
                <w:rFonts w:hint="eastAsia" w:ascii="宋体" w:hAnsi="宋体" w:eastAsia="宋体" w:cs="宋体"/>
                <w:sz w:val="22"/>
                <w:szCs w:val="22"/>
                <w:highlight w:val="none"/>
                <w:lang w:eastAsia="zh-CN"/>
              </w:rPr>
              <w:t>。</w:t>
            </w:r>
          </w:p>
        </w:tc>
      </w:tr>
      <w:tr w14:paraId="10E0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8" w:type="dxa"/>
            <w:shd w:val="clear" w:color="auto" w:fill="auto"/>
            <w:vAlign w:val="center"/>
          </w:tcPr>
          <w:p w14:paraId="1506438E">
            <w:pPr>
              <w:spacing w:line="420" w:lineRule="exact"/>
              <w:jc w:val="cente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10.</w:t>
            </w:r>
            <w:r>
              <w:rPr>
                <w:rFonts w:hint="eastAsia" w:ascii="宋体" w:hAnsi="宋体" w:eastAsia="宋体" w:cs="宋体"/>
                <w:sz w:val="22"/>
                <w:szCs w:val="22"/>
                <w:highlight w:val="none"/>
                <w:lang w:val="en-US" w:eastAsia="zh-CN"/>
              </w:rPr>
              <w:t>1</w:t>
            </w:r>
            <w:r>
              <w:rPr>
                <w:rFonts w:hint="eastAsia" w:ascii="宋体" w:hAnsi="宋体" w:cs="宋体"/>
                <w:sz w:val="22"/>
                <w:szCs w:val="22"/>
                <w:highlight w:val="none"/>
                <w:lang w:val="en-US" w:eastAsia="zh-CN"/>
              </w:rPr>
              <w:t>5</w:t>
            </w:r>
          </w:p>
        </w:tc>
        <w:tc>
          <w:tcPr>
            <w:tcW w:w="8524" w:type="dxa"/>
            <w:gridSpan w:val="3"/>
            <w:shd w:val="clear" w:color="auto" w:fill="auto"/>
            <w:vAlign w:val="center"/>
          </w:tcPr>
          <w:p w14:paraId="2B049F85">
            <w:pPr>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信用担保及信用融资：</w:t>
            </w:r>
          </w:p>
          <w:p w14:paraId="3AA9D600">
            <w:pPr>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根据陕西省财政厅关于印发《陕西省中小企业政府采购信用融资办法》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陕财办采〔2018〕23号</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文件精神</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有融资需求的供应商可根据自身情况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在陕西省政府采购信用融资平台</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含各市分平台</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自主选择金融机构及其融资产品</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凭政府采购中标</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成交</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通知书或政府采购合同向金融机构提出融资申请</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办理“政采贷”业务。</w:t>
            </w:r>
          </w:p>
        </w:tc>
      </w:tr>
      <w:tr w14:paraId="65E0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968" w:type="dxa"/>
            <w:shd w:val="clear" w:color="auto" w:fill="auto"/>
            <w:vAlign w:val="center"/>
          </w:tcPr>
          <w:p w14:paraId="78185630">
            <w:pPr>
              <w:spacing w:line="420" w:lineRule="exac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10.1</w:t>
            </w:r>
            <w:r>
              <w:rPr>
                <w:rFonts w:hint="eastAsia" w:ascii="宋体" w:hAnsi="宋体" w:cs="宋体"/>
                <w:sz w:val="22"/>
                <w:szCs w:val="22"/>
                <w:highlight w:val="none"/>
                <w:lang w:val="en-US" w:eastAsia="zh-CN"/>
              </w:rPr>
              <w:t>6</w:t>
            </w:r>
          </w:p>
        </w:tc>
        <w:tc>
          <w:tcPr>
            <w:tcW w:w="8524" w:type="dxa"/>
            <w:gridSpan w:val="3"/>
            <w:shd w:val="clear" w:color="auto" w:fill="auto"/>
            <w:vAlign w:val="center"/>
          </w:tcPr>
          <w:p w14:paraId="77D48F28">
            <w:pPr>
              <w:spacing w:line="360" w:lineRule="auto"/>
              <w:ind w:firstLine="440" w:firstLineChars="200"/>
              <w:rPr>
                <w:rFonts w:hint="eastAsia" w:ascii="宋体" w:hAnsi="宋体" w:eastAsia="宋体" w:cs="宋体"/>
                <w:spacing w:val="0"/>
                <w:position w:val="0"/>
                <w:sz w:val="22"/>
                <w:szCs w:val="22"/>
                <w:highlight w:val="none"/>
                <w:lang w:val="en-US" w:eastAsia="zh-CN"/>
              </w:rPr>
            </w:pPr>
            <w:r>
              <w:rPr>
                <w:rFonts w:hint="eastAsia" w:ascii="宋体" w:hAnsi="宋体" w:eastAsia="宋体" w:cs="宋体"/>
                <w:sz w:val="22"/>
                <w:szCs w:val="22"/>
                <w:highlight w:val="none"/>
              </w:rPr>
              <w:t>本竞争性</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文件未明确的其他事项</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按照有关法律、法规或省市有关规定执行。</w:t>
            </w:r>
          </w:p>
        </w:tc>
      </w:tr>
    </w:tbl>
    <w:p w14:paraId="225F1A6B">
      <w:pPr>
        <w:pStyle w:val="6"/>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32"/>
          <w:szCs w:val="36"/>
          <w:highlight w:val="none"/>
        </w:rPr>
        <w:br w:type="page"/>
      </w:r>
      <w:bookmarkStart w:id="13" w:name="_Toc26263"/>
      <w:bookmarkStart w:id="14" w:name="_Toc495674329"/>
      <w:bookmarkStart w:id="15" w:name="_Toc17834"/>
      <w:bookmarkStart w:id="16" w:name="_Toc27670"/>
      <w:r>
        <w:rPr>
          <w:rFonts w:hint="eastAsia" w:ascii="宋体" w:hAnsi="宋体" w:eastAsia="宋体" w:cs="宋体"/>
          <w:sz w:val="22"/>
          <w:szCs w:val="22"/>
          <w:highlight w:val="none"/>
        </w:rPr>
        <w:t>1.总则</w:t>
      </w:r>
      <w:bookmarkEnd w:id="9"/>
      <w:bookmarkEnd w:id="10"/>
      <w:bookmarkEnd w:id="11"/>
      <w:bookmarkEnd w:id="12"/>
      <w:bookmarkEnd w:id="13"/>
      <w:bookmarkEnd w:id="14"/>
      <w:bookmarkEnd w:id="15"/>
      <w:bookmarkEnd w:id="16"/>
    </w:p>
    <w:p w14:paraId="6D35B22A">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 项目概况</w:t>
      </w:r>
    </w:p>
    <w:p w14:paraId="3226856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1.1.1 根据《中华人民共和国政府采购法》等有关法律、法规和规章的规定，本采购项目己具备竞争性谈判条件，现对本项目进行竞争性谈判。</w:t>
      </w:r>
    </w:p>
    <w:p w14:paraId="7B8BF69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1.1.2 本项目采购人：见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2E88A68B">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1.1.3 本</w:t>
      </w:r>
      <w:r>
        <w:rPr>
          <w:rFonts w:hint="eastAsia" w:ascii="宋体" w:hAnsi="宋体" w:cs="宋体"/>
          <w:sz w:val="22"/>
          <w:szCs w:val="22"/>
          <w:highlight w:val="none"/>
          <w:lang w:eastAsia="zh-CN"/>
        </w:rPr>
        <w:t>项目</w:t>
      </w:r>
      <w:r>
        <w:rPr>
          <w:rFonts w:hint="eastAsia" w:ascii="宋体" w:hAnsi="宋体" w:eastAsia="宋体" w:cs="宋体"/>
          <w:sz w:val="22"/>
          <w:szCs w:val="22"/>
          <w:highlight w:val="none"/>
        </w:rPr>
        <w:t>采购代理机构：见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5CBBD3E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1.1.4 本项目名称：见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721C2F72">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1.1.5</w:t>
      </w:r>
      <w:r>
        <w:rPr>
          <w:rFonts w:hint="eastAsia" w:ascii="宋体" w:hAnsi="宋体" w:cs="宋体"/>
          <w:sz w:val="22"/>
          <w:szCs w:val="22"/>
          <w:highlight w:val="none"/>
          <w:lang w:val="en-US" w:eastAsia="zh-CN"/>
        </w:rPr>
        <w:t xml:space="preserve"> </w:t>
      </w:r>
      <w:r>
        <w:rPr>
          <w:rFonts w:hint="eastAsia" w:ascii="宋体" w:hAnsi="宋体" w:eastAsia="宋体" w:cs="宋体"/>
          <w:sz w:val="22"/>
          <w:szCs w:val="22"/>
          <w:highlight w:val="none"/>
        </w:rPr>
        <w:t>本项目实施地点：见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57E926FB">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 资金来源和落实情况</w:t>
      </w:r>
    </w:p>
    <w:p w14:paraId="2669225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1.2.1 本项目的资金来源：见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0F88745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1.2.2 本项目的出资比例：见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78E80C1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1.2.3 本项目的资金落实情况：见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769DE5C0">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1.3 竞争性谈判采购内容、</w:t>
      </w:r>
      <w:r>
        <w:rPr>
          <w:rFonts w:hint="eastAsia" w:ascii="宋体" w:hAnsi="宋体" w:eastAsia="宋体" w:cs="宋体"/>
          <w:sz w:val="22"/>
          <w:szCs w:val="22"/>
          <w:highlight w:val="none"/>
          <w:lang w:eastAsia="zh-CN"/>
        </w:rPr>
        <w:t>供货期</w:t>
      </w:r>
      <w:r>
        <w:rPr>
          <w:rFonts w:hint="eastAsia" w:ascii="宋体" w:hAnsi="宋体" w:eastAsia="宋体" w:cs="宋体"/>
          <w:sz w:val="22"/>
          <w:szCs w:val="22"/>
          <w:highlight w:val="none"/>
        </w:rPr>
        <w:t>和</w:t>
      </w:r>
      <w:r>
        <w:rPr>
          <w:rFonts w:hint="eastAsia" w:ascii="宋体" w:hAnsi="宋体" w:eastAsia="宋体" w:cs="宋体"/>
          <w:sz w:val="22"/>
          <w:szCs w:val="22"/>
          <w:highlight w:val="none"/>
          <w:lang w:val="en-US" w:eastAsia="zh-CN"/>
        </w:rPr>
        <w:t>质量要求</w:t>
      </w:r>
    </w:p>
    <w:p w14:paraId="1C98CE43">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1.3.1 本</w:t>
      </w:r>
      <w:r>
        <w:rPr>
          <w:rFonts w:hint="eastAsia" w:ascii="宋体" w:hAnsi="宋体" w:cs="宋体"/>
          <w:sz w:val="22"/>
          <w:szCs w:val="22"/>
          <w:highlight w:val="none"/>
          <w:lang w:eastAsia="zh-CN"/>
        </w:rPr>
        <w:t>项目</w:t>
      </w:r>
      <w:r>
        <w:rPr>
          <w:rFonts w:hint="eastAsia" w:ascii="宋体" w:hAnsi="宋体" w:eastAsia="宋体" w:cs="宋体"/>
          <w:sz w:val="22"/>
          <w:szCs w:val="22"/>
          <w:highlight w:val="none"/>
        </w:rPr>
        <w:t>采购内容：见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061EA39B">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1.3.2 本</w:t>
      </w:r>
      <w:r>
        <w:rPr>
          <w:rFonts w:hint="eastAsia" w:ascii="宋体" w:hAnsi="宋体" w:cs="宋体"/>
          <w:sz w:val="22"/>
          <w:szCs w:val="22"/>
          <w:highlight w:val="none"/>
          <w:lang w:eastAsia="zh-CN"/>
        </w:rPr>
        <w:t>项目</w:t>
      </w:r>
      <w:r>
        <w:rPr>
          <w:rFonts w:hint="eastAsia" w:ascii="宋体" w:hAnsi="宋体" w:cs="宋体"/>
          <w:sz w:val="22"/>
          <w:szCs w:val="22"/>
          <w:highlight w:val="none"/>
          <w:lang w:val="en-US" w:eastAsia="zh-CN"/>
        </w:rPr>
        <w:t>供货期</w:t>
      </w:r>
      <w:r>
        <w:rPr>
          <w:rFonts w:hint="eastAsia" w:ascii="宋体" w:hAnsi="宋体" w:eastAsia="宋体" w:cs="宋体"/>
          <w:sz w:val="22"/>
          <w:szCs w:val="22"/>
          <w:highlight w:val="none"/>
        </w:rPr>
        <w:t>：见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2762B9FA">
      <w:pPr>
        <w:pStyle w:val="2"/>
        <w:keepNext w:val="0"/>
        <w:keepLines w:val="0"/>
        <w:pageBreakBefore w:val="0"/>
        <w:widowControl w:val="0"/>
        <w:kinsoku/>
        <w:wordWrap/>
        <w:overflowPunct/>
        <w:topLinePunct w:val="0"/>
        <w:autoSpaceDE/>
        <w:autoSpaceDN/>
        <w:bidi w:val="0"/>
        <w:spacing w:line="520" w:lineRule="exact"/>
        <w:textAlignment w:val="auto"/>
        <w:rPr>
          <w:rFonts w:hint="default"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1.3.3</w:t>
      </w:r>
      <w:r>
        <w:rPr>
          <w:rFonts w:hint="eastAsia" w:ascii="宋体" w:hAnsi="宋体" w:cs="宋体"/>
          <w:kern w:val="2"/>
          <w:sz w:val="22"/>
          <w:szCs w:val="22"/>
          <w:highlight w:val="none"/>
          <w:lang w:val="en-US" w:eastAsia="zh-CN" w:bidi="ar-SA"/>
        </w:rPr>
        <w:t xml:space="preserve"> </w:t>
      </w:r>
      <w:r>
        <w:rPr>
          <w:rFonts w:hint="eastAsia" w:ascii="宋体" w:hAnsi="宋体" w:eastAsia="宋体" w:cs="宋体"/>
          <w:kern w:val="2"/>
          <w:sz w:val="22"/>
          <w:szCs w:val="22"/>
          <w:highlight w:val="none"/>
          <w:lang w:val="en-US" w:eastAsia="zh-CN" w:bidi="ar-SA"/>
        </w:rPr>
        <w:t>本项目质量要求：见</w:t>
      </w:r>
      <w:r>
        <w:rPr>
          <w:rFonts w:hint="eastAsia" w:ascii="宋体" w:hAnsi="宋体" w:cs="宋体"/>
          <w:kern w:val="2"/>
          <w:sz w:val="22"/>
          <w:szCs w:val="22"/>
          <w:highlight w:val="none"/>
          <w:lang w:val="en-US" w:eastAsia="zh-CN" w:bidi="ar-SA"/>
        </w:rPr>
        <w:t>供应商须知前附表</w:t>
      </w:r>
      <w:r>
        <w:rPr>
          <w:rFonts w:hint="eastAsia" w:ascii="宋体" w:hAnsi="宋体" w:eastAsia="宋体" w:cs="宋体"/>
          <w:kern w:val="2"/>
          <w:sz w:val="22"/>
          <w:szCs w:val="22"/>
          <w:highlight w:val="none"/>
          <w:lang w:val="en-US" w:eastAsia="zh-CN" w:bidi="ar-SA"/>
        </w:rPr>
        <w:t>。</w:t>
      </w:r>
    </w:p>
    <w:p w14:paraId="3C4A76F9">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1.4 供应商资格要求</w:t>
      </w:r>
    </w:p>
    <w:p w14:paraId="03BC34C6">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1.4.1供应商应满足《中华人民共和国政府采购法》第二十二条的规定。</w:t>
      </w:r>
    </w:p>
    <w:p w14:paraId="5A23DEF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1.4.1 供应商应具备承担本项目的资格要求及条件</w:t>
      </w:r>
    </w:p>
    <w:p w14:paraId="5DDB6DD9">
      <w:pPr>
        <w:spacing w:line="360" w:lineRule="auto"/>
        <w:ind w:firstLine="525" w:firstLineChars="250"/>
        <w:rPr>
          <w:rFonts w:hint="eastAsia" w:ascii="宋体" w:hAnsi="宋体" w:cs="宋体"/>
          <w:szCs w:val="21"/>
          <w:highlight w:val="none"/>
        </w:rPr>
      </w:pPr>
      <w:r>
        <w:rPr>
          <w:rFonts w:hint="eastAsia" w:ascii="宋体" w:hAnsi="宋体" w:cs="宋体"/>
          <w:szCs w:val="21"/>
          <w:highlight w:val="none"/>
        </w:rPr>
        <w:t>（1）具有独立承担民事责任的能力；</w:t>
      </w:r>
    </w:p>
    <w:p w14:paraId="38829111">
      <w:pPr>
        <w:spacing w:line="360" w:lineRule="auto"/>
        <w:ind w:firstLine="525" w:firstLineChars="250"/>
        <w:rPr>
          <w:rFonts w:hint="eastAsia" w:ascii="宋体" w:hAnsi="宋体" w:cs="宋体"/>
          <w:szCs w:val="21"/>
          <w:highlight w:val="none"/>
        </w:rPr>
      </w:pPr>
      <w:r>
        <w:rPr>
          <w:rFonts w:hint="eastAsia" w:ascii="宋体" w:hAnsi="宋体" w:cs="宋体"/>
          <w:szCs w:val="21"/>
          <w:highlight w:val="none"/>
        </w:rPr>
        <w:t>（2）具有良好的商业信誉和健全的财务会计制度；</w:t>
      </w:r>
    </w:p>
    <w:p w14:paraId="108AA97B">
      <w:pPr>
        <w:spacing w:line="360" w:lineRule="auto"/>
        <w:ind w:firstLine="525" w:firstLineChars="250"/>
        <w:rPr>
          <w:rFonts w:hint="eastAsia" w:ascii="宋体" w:hAnsi="宋体" w:cs="宋体"/>
          <w:szCs w:val="21"/>
          <w:highlight w:val="none"/>
        </w:rPr>
      </w:pPr>
      <w:r>
        <w:rPr>
          <w:rFonts w:hint="eastAsia" w:ascii="宋体" w:hAnsi="宋体" w:cs="宋体"/>
          <w:szCs w:val="21"/>
          <w:highlight w:val="none"/>
        </w:rPr>
        <w:t>（3）具有履行合同所必需的设备和专业技术能力；</w:t>
      </w:r>
    </w:p>
    <w:p w14:paraId="2AC2ABE7">
      <w:pPr>
        <w:spacing w:line="360" w:lineRule="auto"/>
        <w:ind w:firstLine="525" w:firstLineChars="250"/>
        <w:rPr>
          <w:rFonts w:hint="eastAsia" w:ascii="宋体" w:hAnsi="宋体" w:cs="宋体"/>
          <w:szCs w:val="21"/>
          <w:highlight w:val="none"/>
        </w:rPr>
      </w:pPr>
      <w:r>
        <w:rPr>
          <w:rFonts w:hint="eastAsia" w:ascii="宋体" w:hAnsi="宋体" w:cs="宋体"/>
          <w:szCs w:val="21"/>
          <w:highlight w:val="none"/>
        </w:rPr>
        <w:t>（4）有依法缴纳税收和社会保障资金的良好记录；</w:t>
      </w:r>
    </w:p>
    <w:p w14:paraId="2F6040EE">
      <w:pPr>
        <w:spacing w:line="360" w:lineRule="auto"/>
        <w:ind w:firstLine="525" w:firstLineChars="250"/>
        <w:rPr>
          <w:rFonts w:hint="eastAsia" w:ascii="宋体" w:hAnsi="宋体" w:cs="宋体"/>
          <w:szCs w:val="21"/>
          <w:highlight w:val="none"/>
        </w:rPr>
      </w:pPr>
      <w:r>
        <w:rPr>
          <w:rFonts w:hint="eastAsia" w:ascii="宋体" w:hAnsi="宋体" w:cs="宋体"/>
          <w:szCs w:val="21"/>
          <w:highlight w:val="none"/>
        </w:rPr>
        <w:t>（5）参加政府采购活动前三年内，在经营活动中没有重大违法记录；</w:t>
      </w:r>
    </w:p>
    <w:p w14:paraId="25F1BD03">
      <w:pPr>
        <w:spacing w:line="360" w:lineRule="auto"/>
        <w:ind w:firstLine="525" w:firstLineChars="250"/>
        <w:rPr>
          <w:rFonts w:hint="eastAsia" w:ascii="宋体" w:hAnsi="宋体" w:cs="宋体"/>
          <w:szCs w:val="21"/>
          <w:highlight w:val="none"/>
        </w:rPr>
      </w:pPr>
      <w:r>
        <w:rPr>
          <w:rFonts w:hint="eastAsia" w:ascii="宋体" w:hAnsi="宋体" w:cs="宋体"/>
          <w:szCs w:val="21"/>
          <w:highlight w:val="none"/>
        </w:rPr>
        <w:t>（6）中华人民共和国法律、行政法规规定的其他条件：见响应供应商须知前附表；</w:t>
      </w:r>
    </w:p>
    <w:p w14:paraId="69EBCCE8">
      <w:pPr>
        <w:spacing w:line="360" w:lineRule="auto"/>
        <w:ind w:firstLine="525" w:firstLineChars="250"/>
        <w:rPr>
          <w:rFonts w:hint="eastAsia" w:ascii="宋体" w:hAnsi="宋体" w:cs="宋体"/>
          <w:szCs w:val="21"/>
          <w:highlight w:val="none"/>
        </w:rPr>
      </w:pPr>
      <w:r>
        <w:rPr>
          <w:rFonts w:hint="eastAsia" w:ascii="宋体" w:hAnsi="宋体" w:cs="宋体"/>
          <w:szCs w:val="21"/>
          <w:highlight w:val="none"/>
        </w:rPr>
        <w:t>（7）落实政府采购政策需满足的资格要求：见响应供应商须知前附表；</w:t>
      </w:r>
    </w:p>
    <w:p w14:paraId="44BBE10E">
      <w:pPr>
        <w:spacing w:line="360" w:lineRule="auto"/>
        <w:ind w:firstLine="525" w:firstLineChars="250"/>
        <w:rPr>
          <w:rFonts w:hint="eastAsia" w:asciiTheme="minorEastAsia" w:hAnsiTheme="minorEastAsia" w:eastAsiaTheme="minorEastAsia" w:cstheme="minorEastAsia"/>
          <w:color w:val="auto"/>
          <w:kern w:val="0"/>
          <w:sz w:val="22"/>
          <w:szCs w:val="22"/>
          <w:highlight w:val="none"/>
          <w:lang w:val="en-US" w:eastAsia="zh-CN"/>
        </w:rPr>
      </w:pPr>
      <w:r>
        <w:rPr>
          <w:rFonts w:hint="eastAsia" w:ascii="宋体" w:hAnsi="宋体" w:cs="宋体"/>
          <w:szCs w:val="21"/>
          <w:highlight w:val="none"/>
        </w:rPr>
        <w:t>（8）根据本次采购项目的特殊要求，规定的供应商其他资格要求：见响应供应商须知前附表。</w:t>
      </w:r>
    </w:p>
    <w:p w14:paraId="4B1980D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1.4.2 </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规定接受联合体</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的，除应符合本章第1.4.1项和</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的要求外，应遵守以下规定：</w:t>
      </w:r>
    </w:p>
    <w:p w14:paraId="533736B9">
      <w:pPr>
        <w:pageBreakBefore w:val="0"/>
        <w:widowControl w:val="0"/>
        <w:kinsoku/>
        <w:wordWrap/>
        <w:overflowPunct/>
        <w:topLinePunct w:val="0"/>
        <w:autoSpaceDE/>
        <w:autoSpaceDN/>
        <w:bidi w:val="0"/>
        <w:adjustRightInd w:val="0"/>
        <w:snapToGrid w:val="0"/>
        <w:spacing w:line="520" w:lineRule="exact"/>
        <w:ind w:firstLine="550" w:firstLineChars="25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(1）联合体各方应按竞争性谈判文件提供的格式签订联合体协议书，明确联合体牵头人和各方权利义务；</w:t>
      </w:r>
    </w:p>
    <w:p w14:paraId="717A530A">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（2）以联合体形式参加谈判的，联合体各方均应当符合政府采购法第二十二条第一款规定的条件。采购人根据采购项目的特殊要求规定供应商其他特定条件的，联合体各方中至少应当有一方符合采购人其他</w:t>
      </w:r>
      <w:r>
        <w:rPr>
          <w:rFonts w:hint="eastAsia" w:ascii="宋体" w:hAnsi="宋体" w:eastAsia="宋体" w:cs="宋体"/>
          <w:color w:val="auto"/>
          <w:sz w:val="22"/>
          <w:szCs w:val="22"/>
          <w:highlight w:val="none"/>
        </w:rPr>
        <w:t>特定条件的要求；</w:t>
      </w:r>
    </w:p>
    <w:p w14:paraId="0856C88A">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（3）由同一专业的单位组成的联合体，按照资质等级较低的单位确定资质等级；</w:t>
      </w:r>
    </w:p>
    <w:p w14:paraId="6996E128">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（4）联合体各方不得再以自己名义单独或参加其他联合体在同一</w:t>
      </w:r>
      <w:r>
        <w:rPr>
          <w:rFonts w:hint="eastAsia" w:ascii="宋体" w:hAnsi="宋体" w:cs="宋体"/>
          <w:color w:val="auto"/>
          <w:sz w:val="22"/>
          <w:szCs w:val="22"/>
          <w:highlight w:val="none"/>
          <w:lang w:eastAsia="zh-CN"/>
        </w:rPr>
        <w:t>项目</w:t>
      </w:r>
      <w:r>
        <w:rPr>
          <w:rFonts w:hint="eastAsia" w:ascii="宋体" w:hAnsi="宋体" w:eastAsia="宋体" w:cs="宋体"/>
          <w:color w:val="auto"/>
          <w:sz w:val="22"/>
          <w:szCs w:val="22"/>
          <w:highlight w:val="none"/>
        </w:rPr>
        <w:t>中谈判。</w:t>
      </w:r>
    </w:p>
    <w:p w14:paraId="5113C9F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eastAsia="宋体"/>
          <w:color w:val="auto"/>
          <w:highlight w:val="none"/>
          <w:lang w:eastAsia="zh-CN"/>
        </w:rPr>
      </w:pPr>
      <w:r>
        <w:rPr>
          <w:rFonts w:hint="eastAsia" w:ascii="宋体" w:hAnsi="宋体" w:eastAsia="宋体" w:cs="宋体"/>
          <w:color w:val="auto"/>
          <w:sz w:val="22"/>
          <w:szCs w:val="22"/>
          <w:highlight w:val="none"/>
        </w:rPr>
        <w:t>1.4.3 供应商不得存在下列情形之一：</w:t>
      </w:r>
    </w:p>
    <w:p w14:paraId="4A0CEAD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（1）供应商不得直接或间接的与采购人、采购代理机构有任何关联关系，不得是采购人的附属机构。如果供应商在谈判中隐瞒了上述关系，则该谈判无效。</w:t>
      </w:r>
    </w:p>
    <w:p w14:paraId="3C11409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（2）单位负责人为同一人或者存在直接控股、管理关系的不同供应商，不得同时参加同一合同项下的谈判。如果供应商在谈判中隐瞒了上述关系，则该谈判无效。</w:t>
      </w:r>
    </w:p>
    <w:p w14:paraId="4C6157E4">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（3）为本采购项目提供整体设计、规范编制或者项目管理、监理、检测等服务的供应商。如果供应商在</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中隐瞒了上述关系，则该竞争性</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响应无效。</w:t>
      </w:r>
    </w:p>
    <w:p w14:paraId="7C88BDB5">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 xml:space="preserve"> 费用承担</w:t>
      </w:r>
    </w:p>
    <w:p w14:paraId="502DE19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供应商准备和参加谈判活动发生的费用自理。</w:t>
      </w:r>
    </w:p>
    <w:p w14:paraId="3E777CB4">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 xml:space="preserve"> 保密</w:t>
      </w:r>
    </w:p>
    <w:p w14:paraId="28B1943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参与竞争性谈判活动的各方应对竞争性谈判文件和竞争性谈判响应文件中的商业和技术等秘密保密，违者应对由此造成的后果承担法律责任。</w:t>
      </w:r>
    </w:p>
    <w:p w14:paraId="088C9F28">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en-US" w:eastAsia="zh-CN"/>
        </w:rPr>
        <w:t>7</w:t>
      </w:r>
      <w:r>
        <w:rPr>
          <w:rFonts w:hint="eastAsia" w:ascii="宋体" w:hAnsi="宋体" w:eastAsia="宋体" w:cs="宋体"/>
          <w:sz w:val="22"/>
          <w:szCs w:val="22"/>
          <w:highlight w:val="none"/>
        </w:rPr>
        <w:t xml:space="preserve"> 语言文字</w:t>
      </w:r>
    </w:p>
    <w:p w14:paraId="471881F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除专用术语外，与竞争性谈判有关的语言均使用中文。必要时专用术语应附有中文注释。对不同文字文本竞争性谈判响应文件的解释发生异议的，以中文文本为准。</w:t>
      </w:r>
    </w:p>
    <w:p w14:paraId="63463DE7">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en-US" w:eastAsia="zh-CN"/>
        </w:rPr>
        <w:t>8</w:t>
      </w:r>
      <w:r>
        <w:rPr>
          <w:rFonts w:hint="eastAsia" w:ascii="宋体" w:hAnsi="宋体" w:eastAsia="宋体" w:cs="宋体"/>
          <w:sz w:val="22"/>
          <w:szCs w:val="22"/>
          <w:highlight w:val="none"/>
        </w:rPr>
        <w:t xml:space="preserve"> 计量单位</w:t>
      </w:r>
    </w:p>
    <w:p w14:paraId="08BFCE3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所有计量均采用中华人民共和国法定计量单位。</w:t>
      </w:r>
    </w:p>
    <w:p w14:paraId="17DC3C4B">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en-US" w:eastAsia="zh-CN"/>
        </w:rPr>
        <w:t>9</w:t>
      </w:r>
      <w:r>
        <w:rPr>
          <w:rFonts w:hint="eastAsia" w:ascii="宋体" w:hAnsi="宋体" w:eastAsia="宋体" w:cs="宋体"/>
          <w:sz w:val="22"/>
          <w:szCs w:val="22"/>
          <w:highlight w:val="none"/>
        </w:rPr>
        <w:t xml:space="preserve"> 踏勘现场</w:t>
      </w:r>
    </w:p>
    <w:p w14:paraId="51E474BA">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cs="宋体"/>
          <w:sz w:val="22"/>
          <w:szCs w:val="22"/>
          <w:highlight w:val="none"/>
          <w:lang w:val="en-US" w:eastAsia="zh-CN"/>
        </w:rPr>
        <w:t>9</w:t>
      </w:r>
      <w:r>
        <w:rPr>
          <w:rFonts w:hint="eastAsia" w:ascii="宋体" w:hAnsi="宋体" w:eastAsia="宋体" w:cs="宋体"/>
          <w:sz w:val="22"/>
          <w:szCs w:val="22"/>
          <w:highlight w:val="none"/>
        </w:rPr>
        <w:t xml:space="preserve">.1 </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规定组织踏勘现场的，供应商按</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规定的时间、地点组织供应商踏勘项目现场。</w:t>
      </w:r>
    </w:p>
    <w:p w14:paraId="06F3C7D9">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cs="宋体"/>
          <w:sz w:val="22"/>
          <w:szCs w:val="22"/>
          <w:highlight w:val="none"/>
          <w:lang w:val="en-US" w:eastAsia="zh-CN"/>
        </w:rPr>
        <w:t>9</w:t>
      </w:r>
      <w:r>
        <w:rPr>
          <w:rFonts w:hint="eastAsia" w:ascii="宋体" w:hAnsi="宋体" w:eastAsia="宋体" w:cs="宋体"/>
          <w:sz w:val="22"/>
          <w:szCs w:val="22"/>
          <w:highlight w:val="none"/>
        </w:rPr>
        <w:t>.2 供应商踏勘现场发生的费用自理。</w:t>
      </w:r>
    </w:p>
    <w:p w14:paraId="6C9FAAA2">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cs="宋体"/>
          <w:sz w:val="22"/>
          <w:szCs w:val="22"/>
          <w:highlight w:val="none"/>
          <w:lang w:val="en-US" w:eastAsia="zh-CN"/>
        </w:rPr>
        <w:t>9</w:t>
      </w:r>
      <w:r>
        <w:rPr>
          <w:rFonts w:hint="eastAsia" w:ascii="宋体" w:hAnsi="宋体" w:eastAsia="宋体" w:cs="宋体"/>
          <w:sz w:val="22"/>
          <w:szCs w:val="22"/>
          <w:highlight w:val="none"/>
        </w:rPr>
        <w:t>.3 除采购人的原因外，供应商自行负责在踏勘现场中所发生的人员伤亡和财产损失。</w:t>
      </w:r>
    </w:p>
    <w:p w14:paraId="21623AD8">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cs="宋体"/>
          <w:sz w:val="22"/>
          <w:szCs w:val="22"/>
          <w:highlight w:val="none"/>
          <w:lang w:val="en-US" w:eastAsia="zh-CN"/>
        </w:rPr>
        <w:t>9</w:t>
      </w:r>
      <w:r>
        <w:rPr>
          <w:rFonts w:hint="eastAsia" w:ascii="宋体" w:hAnsi="宋体" w:eastAsia="宋体" w:cs="宋体"/>
          <w:sz w:val="22"/>
          <w:szCs w:val="22"/>
          <w:highlight w:val="none"/>
        </w:rPr>
        <w:t>.4 采购人在踏勘现场中介绍的工程场地和相关的周边环境情况，供供应商在编制竞争性谈判响应文件时参考，采购人不对供应商据此做出的判断和决策负责。</w:t>
      </w:r>
    </w:p>
    <w:p w14:paraId="661D0B9C">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w:t>
      </w:r>
      <w:r>
        <w:rPr>
          <w:rFonts w:hint="eastAsia" w:ascii="宋体" w:hAnsi="宋体" w:eastAsia="宋体" w:cs="宋体"/>
          <w:sz w:val="22"/>
          <w:szCs w:val="22"/>
          <w:highlight w:val="none"/>
          <w:lang w:val="en-US" w:eastAsia="zh-CN"/>
        </w:rPr>
        <w:t xml:space="preserve">0 </w:t>
      </w:r>
      <w:r>
        <w:rPr>
          <w:rFonts w:hint="eastAsia" w:ascii="宋体" w:hAnsi="宋体" w:eastAsia="宋体" w:cs="宋体"/>
          <w:sz w:val="22"/>
          <w:szCs w:val="22"/>
          <w:highlight w:val="none"/>
        </w:rPr>
        <w:t>分包</w:t>
      </w:r>
    </w:p>
    <w:p w14:paraId="07D267C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本项目不允许分包。</w:t>
      </w:r>
    </w:p>
    <w:p w14:paraId="56AF946E">
      <w:pPr>
        <w:pStyle w:val="8"/>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1.1</w:t>
      </w:r>
      <w:r>
        <w:rPr>
          <w:rFonts w:hint="eastAsia" w:ascii="宋体" w:hAnsi="宋体" w:eastAsia="宋体" w:cs="宋体"/>
          <w:sz w:val="22"/>
          <w:szCs w:val="22"/>
          <w:highlight w:val="none"/>
          <w:lang w:val="en-US" w:eastAsia="zh-CN"/>
        </w:rPr>
        <w:t xml:space="preserve">1 </w:t>
      </w:r>
      <w:r>
        <w:rPr>
          <w:rFonts w:hint="eastAsia" w:ascii="宋体" w:hAnsi="宋体" w:eastAsia="宋体" w:cs="宋体"/>
          <w:sz w:val="22"/>
          <w:szCs w:val="22"/>
          <w:highlight w:val="none"/>
        </w:rPr>
        <w:t>回避</w:t>
      </w:r>
    </w:p>
    <w:p w14:paraId="3FAC623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在政府采购活动中，采购人员及相关人员与供应商有下列利害关系之一的，应当回避：</w:t>
      </w:r>
    </w:p>
    <w:p w14:paraId="68F3F290">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（一）参加采购活动前3年内与供应商存在劳动关系； </w:t>
      </w:r>
    </w:p>
    <w:p w14:paraId="78A5AB23">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（二）参加采购活动前3年内担任供应商的董事、监事；</w:t>
      </w:r>
    </w:p>
    <w:p w14:paraId="190B902B">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（三）参加采购活动前3年内是供应商的控股股东或者实际控制人；</w:t>
      </w:r>
    </w:p>
    <w:p w14:paraId="41AE59B7">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（四）与供应商的法定代表人或者负责人有夫妻、直系血亲、三代以内旁系血亲或者近姻亲关系； </w:t>
      </w:r>
    </w:p>
    <w:p w14:paraId="6B5F4CA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（五）与供应商有其他可能影响政府采购活动公平、公正进行的关系。</w:t>
      </w:r>
    </w:p>
    <w:p w14:paraId="0D3752B2">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0D808755">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相关人员，包括竞争性谈判采购中谈判小组的组成人员等。</w:t>
      </w:r>
    </w:p>
    <w:p w14:paraId="36F376C3">
      <w:pPr>
        <w:pStyle w:val="6"/>
        <w:keepNext/>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bookmarkStart w:id="17" w:name="_Toc184635072"/>
      <w:bookmarkStart w:id="18" w:name="_Toc321812011"/>
      <w:bookmarkStart w:id="19" w:name="_Toc324521808"/>
      <w:bookmarkStart w:id="20" w:name="_Toc290389699"/>
      <w:r>
        <w:rPr>
          <w:rFonts w:hint="eastAsia" w:ascii="宋体" w:hAnsi="宋体" w:eastAsia="宋体" w:cs="宋体"/>
          <w:sz w:val="22"/>
          <w:szCs w:val="22"/>
          <w:highlight w:val="none"/>
        </w:rPr>
        <w:t>2.竞争性谈判文件</w:t>
      </w:r>
      <w:bookmarkEnd w:id="17"/>
      <w:bookmarkEnd w:id="18"/>
      <w:bookmarkEnd w:id="19"/>
      <w:bookmarkEnd w:id="20"/>
    </w:p>
    <w:p w14:paraId="78DF6424">
      <w:pPr>
        <w:pStyle w:val="7"/>
        <w:keepNext/>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bCs/>
          <w:kern w:val="2"/>
          <w:sz w:val="22"/>
          <w:szCs w:val="22"/>
          <w:highlight w:val="none"/>
          <w:lang w:val="en-US" w:eastAsia="zh-CN" w:bidi="ar-SA"/>
        </w:rPr>
      </w:pPr>
      <w:bookmarkStart w:id="21" w:name="_Toc12922"/>
      <w:bookmarkStart w:id="22" w:name="_Toc9463"/>
      <w:bookmarkStart w:id="23" w:name="_Toc495674330"/>
      <w:bookmarkStart w:id="24" w:name="_Toc3626"/>
      <w:r>
        <w:rPr>
          <w:rFonts w:hint="eastAsia" w:ascii="宋体" w:hAnsi="宋体" w:eastAsia="宋体" w:cs="宋体"/>
          <w:b/>
          <w:bCs/>
          <w:kern w:val="2"/>
          <w:sz w:val="22"/>
          <w:szCs w:val="22"/>
          <w:highlight w:val="none"/>
          <w:lang w:val="en-US" w:eastAsia="zh-CN" w:bidi="ar-SA"/>
        </w:rPr>
        <w:t>2.1 竞争性谈判文件的组成</w:t>
      </w:r>
      <w:bookmarkEnd w:id="21"/>
      <w:bookmarkEnd w:id="22"/>
      <w:bookmarkEnd w:id="23"/>
      <w:bookmarkEnd w:id="24"/>
    </w:p>
    <w:p w14:paraId="58125307">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本竞争性谈判文件包括：</w:t>
      </w:r>
    </w:p>
    <w:p w14:paraId="233ECCF9">
      <w:pPr>
        <w:pageBreakBefore w:val="0"/>
        <w:widowControl w:val="0"/>
        <w:kinsoku/>
        <w:wordWrap/>
        <w:overflowPunct/>
        <w:topLinePunct w:val="0"/>
        <w:autoSpaceDE/>
        <w:autoSpaceDN/>
        <w:bidi w:val="0"/>
        <w:adjustRightInd w:val="0"/>
        <w:snapToGrid w:val="0"/>
        <w:spacing w:line="520" w:lineRule="exact"/>
        <w:ind w:firstLine="550" w:firstLineChars="25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 竞争性谈判公告； </w:t>
      </w:r>
    </w:p>
    <w:p w14:paraId="648ADA47">
      <w:pPr>
        <w:pageBreakBefore w:val="0"/>
        <w:widowControl w:val="0"/>
        <w:kinsoku/>
        <w:wordWrap/>
        <w:overflowPunct/>
        <w:topLinePunct w:val="0"/>
        <w:autoSpaceDE/>
        <w:autoSpaceDN/>
        <w:bidi w:val="0"/>
        <w:adjustRightInd w:val="0"/>
        <w:snapToGrid w:val="0"/>
        <w:spacing w:line="520" w:lineRule="exact"/>
        <w:ind w:firstLine="550" w:firstLineChars="25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 供应商须知；</w:t>
      </w:r>
    </w:p>
    <w:p w14:paraId="4AF2DB01">
      <w:pPr>
        <w:pageBreakBefore w:val="0"/>
        <w:widowControl w:val="0"/>
        <w:kinsoku/>
        <w:wordWrap/>
        <w:overflowPunct/>
        <w:topLinePunct w:val="0"/>
        <w:autoSpaceDE/>
        <w:autoSpaceDN/>
        <w:bidi w:val="0"/>
        <w:adjustRightInd w:val="0"/>
        <w:snapToGrid w:val="0"/>
        <w:spacing w:line="520" w:lineRule="exact"/>
        <w:ind w:firstLine="550" w:firstLineChars="25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 谈判方法；</w:t>
      </w:r>
    </w:p>
    <w:p w14:paraId="00472E2B">
      <w:pPr>
        <w:pageBreakBefore w:val="0"/>
        <w:widowControl w:val="0"/>
        <w:kinsoku/>
        <w:wordWrap/>
        <w:overflowPunct/>
        <w:topLinePunct w:val="0"/>
        <w:autoSpaceDE/>
        <w:autoSpaceDN/>
        <w:bidi w:val="0"/>
        <w:adjustRightInd w:val="0"/>
        <w:snapToGrid w:val="0"/>
        <w:spacing w:line="520" w:lineRule="exact"/>
        <w:ind w:firstLine="550" w:firstLineChars="25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 合同条款及格式；</w:t>
      </w:r>
    </w:p>
    <w:p w14:paraId="709EB187">
      <w:pPr>
        <w:pageBreakBefore w:val="0"/>
        <w:widowControl w:val="0"/>
        <w:kinsoku/>
        <w:wordWrap/>
        <w:overflowPunct/>
        <w:topLinePunct w:val="0"/>
        <w:autoSpaceDE/>
        <w:autoSpaceDN/>
        <w:bidi w:val="0"/>
        <w:adjustRightInd w:val="0"/>
        <w:snapToGrid w:val="0"/>
        <w:spacing w:line="520" w:lineRule="exact"/>
        <w:ind w:firstLine="550" w:firstLineChars="25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 采购</w:t>
      </w:r>
      <w:r>
        <w:rPr>
          <w:rFonts w:hint="eastAsia" w:ascii="宋体" w:hAnsi="宋体" w:cs="宋体"/>
          <w:sz w:val="22"/>
          <w:szCs w:val="22"/>
          <w:highlight w:val="none"/>
          <w:lang w:val="en-US" w:eastAsia="zh-CN"/>
        </w:rPr>
        <w:t>需求</w:t>
      </w:r>
      <w:r>
        <w:rPr>
          <w:rFonts w:hint="eastAsia" w:ascii="宋体" w:hAnsi="宋体" w:eastAsia="宋体" w:cs="宋体"/>
          <w:sz w:val="22"/>
          <w:szCs w:val="22"/>
          <w:highlight w:val="none"/>
        </w:rPr>
        <w:t>；</w:t>
      </w:r>
    </w:p>
    <w:p w14:paraId="52B7466E">
      <w:pPr>
        <w:pageBreakBefore w:val="0"/>
        <w:widowControl w:val="0"/>
        <w:kinsoku/>
        <w:wordWrap/>
        <w:overflowPunct/>
        <w:topLinePunct w:val="0"/>
        <w:autoSpaceDE/>
        <w:autoSpaceDN/>
        <w:bidi w:val="0"/>
        <w:adjustRightInd w:val="0"/>
        <w:snapToGrid w:val="0"/>
        <w:spacing w:line="520" w:lineRule="exact"/>
        <w:ind w:firstLine="550" w:firstLineChars="250"/>
        <w:textAlignment w:val="auto"/>
        <w:rPr>
          <w:rFonts w:hint="eastAsia" w:ascii="宋体" w:hAnsi="宋体" w:eastAsia="宋体" w:cs="宋体"/>
          <w:color w:val="FF0000"/>
          <w:sz w:val="22"/>
          <w:szCs w:val="22"/>
          <w:highlight w:val="none"/>
          <w:lang w:eastAsia="zh-CN"/>
        </w:rPr>
      </w:pPr>
      <w:r>
        <w:rPr>
          <w:rFonts w:hint="eastAsia" w:ascii="宋体" w:hAnsi="宋体" w:eastAsia="宋体" w:cs="宋体"/>
          <w:sz w:val="22"/>
          <w:szCs w:val="22"/>
          <w:highlight w:val="none"/>
        </w:rPr>
        <w:t>(6) 竞争性谈判响应文件格式</w:t>
      </w:r>
      <w:r>
        <w:rPr>
          <w:rFonts w:hint="eastAsia" w:ascii="宋体" w:hAnsi="宋体" w:eastAsia="宋体" w:cs="宋体"/>
          <w:sz w:val="22"/>
          <w:szCs w:val="22"/>
          <w:highlight w:val="none"/>
          <w:lang w:eastAsia="zh-CN"/>
        </w:rPr>
        <w:t>。</w:t>
      </w:r>
    </w:p>
    <w:p w14:paraId="57366A25">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2.2 竞争性谈判文件的澄清或修改</w:t>
      </w:r>
    </w:p>
    <w:p w14:paraId="1DBCAE55">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2.2.1采购人或者采购代理机构可以对已发出的竞争性谈判文件进行必要的澄清或者修改，竞争性谈判文件的澄清或修改将在</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规定的谈判截止时间3个工作日前，在发布竞争性谈判公告的财政部门指定媒体上由采购代理机构发布更正公告，同时将变更时间书面形式或通过全国公共资源交易平台（陕西省·宝鸡市）通知所有获取竞争性</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文件的单位。如果澄清或修改发出的时间距谈判截止时间不足3个工作日，相应延长谈判截止时间。</w:t>
      </w:r>
    </w:p>
    <w:p w14:paraId="054D406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2.2.2 供应商在收到澄清或修改后，应以书面形式通知采购人，确认己收到该澄清或修改。当竞争性谈判文件、澄清(答疑)纪要、修改(补充)函件内容相互矛盾时，以最后发出的为准。</w:t>
      </w:r>
    </w:p>
    <w:p w14:paraId="4AFE55B3">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 竞争性谈判文件的询问或者质疑和答复</w:t>
      </w:r>
    </w:p>
    <w:p w14:paraId="730A92E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bookmarkStart w:id="25" w:name="_Toc184635073"/>
      <w:bookmarkStart w:id="26" w:name="_Toc290389700"/>
      <w:bookmarkStart w:id="27" w:name="_Toc324521809"/>
      <w:bookmarkStart w:id="28" w:name="_Toc321812012"/>
      <w:r>
        <w:rPr>
          <w:rFonts w:hint="eastAsia" w:ascii="宋体" w:hAnsi="宋体" w:eastAsia="宋体" w:cs="宋体"/>
          <w:sz w:val="22"/>
          <w:szCs w:val="22"/>
          <w:highlight w:val="none"/>
        </w:rPr>
        <w:t>2.3.1 已经购买竞争性谈判文件的供应商对竞争性谈判文件有疑问或者认为竞争性谈判文件使自己的权益受到损害的，应当在“</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”规定的时间内以书面形式向采购代理机构提出询问或者质疑，在此之后提出的询问或者质疑均为无效，采购代理机构不予受理。</w:t>
      </w:r>
    </w:p>
    <w:p w14:paraId="277F7E3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2.3.2 对于在规定时间内收到的供应商依法提出的询问，采购代理机构将在在3个工作日内对供应商依法提出的询问作出答复。若对竞争性谈判文件做出实质性变动，则按照相关规定延长谈判截止时间。</w:t>
      </w:r>
    </w:p>
    <w:p w14:paraId="31E698C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2.3.3 对于在规定时间内收到的供应商依法提出的质疑，采购人将在收到供应商的书面质疑后七个工作日内作出答复。</w:t>
      </w:r>
    </w:p>
    <w:p w14:paraId="475F171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2.3.4 供应商提出质疑应当有明确的请求和必要的证明材料。</w:t>
      </w:r>
    </w:p>
    <w:p w14:paraId="5FC41841">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2.4 谈判截止时间和竞争性谈判时间的延长</w:t>
      </w:r>
    </w:p>
    <w:p w14:paraId="4186014B">
      <w:pPr>
        <w:pageBreakBefore w:val="0"/>
        <w:widowControl w:val="0"/>
        <w:kinsoku/>
        <w:wordWrap/>
        <w:overflowPunct/>
        <w:topLinePunct w:val="0"/>
        <w:autoSpaceDE/>
        <w:autoSpaceDN/>
        <w:bidi w:val="0"/>
        <w:adjustRightInd w:val="0"/>
        <w:snapToGrid w:val="0"/>
        <w:spacing w:before="0" w:after="0" w:line="520" w:lineRule="exact"/>
        <w:ind w:firstLine="440" w:firstLineChars="200"/>
        <w:textAlignment w:val="auto"/>
        <w:outlineLvl w:val="9"/>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在递交响应文件截止时间三日前，采购代理机构可以视采购具体情况，延长递交响应文件截止时间和竞争性</w:t>
      </w:r>
      <w:r>
        <w:rPr>
          <w:rFonts w:hint="eastAsia" w:ascii="宋体" w:hAnsi="宋体" w:cs="宋体"/>
          <w:b w:val="0"/>
          <w:bCs w:val="0"/>
          <w:sz w:val="22"/>
          <w:szCs w:val="22"/>
          <w:highlight w:val="none"/>
          <w:lang w:eastAsia="zh-CN"/>
        </w:rPr>
        <w:t>谈判</w:t>
      </w:r>
      <w:r>
        <w:rPr>
          <w:rFonts w:hint="eastAsia" w:ascii="宋体" w:hAnsi="宋体" w:eastAsia="宋体" w:cs="宋体"/>
          <w:b w:val="0"/>
          <w:bCs w:val="0"/>
          <w:sz w:val="22"/>
          <w:szCs w:val="22"/>
          <w:highlight w:val="none"/>
        </w:rPr>
        <w:t>时间。延长递交响应文件截止时间和竞争性</w:t>
      </w:r>
      <w:r>
        <w:rPr>
          <w:rFonts w:hint="eastAsia" w:ascii="宋体" w:hAnsi="宋体" w:cs="宋体"/>
          <w:b w:val="0"/>
          <w:bCs w:val="0"/>
          <w:sz w:val="22"/>
          <w:szCs w:val="22"/>
          <w:highlight w:val="none"/>
          <w:lang w:eastAsia="zh-CN"/>
        </w:rPr>
        <w:t>谈判</w:t>
      </w:r>
      <w:r>
        <w:rPr>
          <w:rFonts w:hint="eastAsia" w:ascii="宋体" w:hAnsi="宋体" w:eastAsia="宋体" w:cs="宋体"/>
          <w:b w:val="0"/>
          <w:bCs w:val="0"/>
          <w:sz w:val="22"/>
          <w:szCs w:val="22"/>
          <w:highlight w:val="none"/>
        </w:rPr>
        <w:t>时间将在财政部门指定的媒体上发布变更公告，同时将变更时间书面</w:t>
      </w:r>
      <w:r>
        <w:rPr>
          <w:rFonts w:hint="eastAsia" w:ascii="宋体" w:hAnsi="宋体" w:eastAsia="宋体" w:cs="宋体"/>
          <w:b w:val="0"/>
          <w:bCs w:val="0"/>
          <w:sz w:val="22"/>
          <w:szCs w:val="22"/>
          <w:highlight w:val="none"/>
          <w:lang w:val="en-US" w:eastAsia="zh-CN"/>
        </w:rPr>
        <w:t>形式</w:t>
      </w:r>
      <w:r>
        <w:rPr>
          <w:rFonts w:hint="eastAsia" w:ascii="宋体" w:hAnsi="宋体" w:eastAsia="宋体" w:cs="宋体"/>
          <w:b w:val="0"/>
          <w:bCs w:val="0"/>
          <w:sz w:val="22"/>
          <w:szCs w:val="22"/>
          <w:highlight w:val="none"/>
        </w:rPr>
        <w:t>通知所有购买竞争性</w:t>
      </w:r>
      <w:r>
        <w:rPr>
          <w:rFonts w:hint="eastAsia" w:ascii="宋体" w:hAnsi="宋体" w:cs="宋体"/>
          <w:b w:val="0"/>
          <w:bCs w:val="0"/>
          <w:sz w:val="22"/>
          <w:szCs w:val="22"/>
          <w:highlight w:val="none"/>
          <w:lang w:eastAsia="zh-CN"/>
        </w:rPr>
        <w:t>谈判</w:t>
      </w:r>
      <w:r>
        <w:rPr>
          <w:rFonts w:hint="eastAsia" w:ascii="宋体" w:hAnsi="宋体" w:eastAsia="宋体" w:cs="宋体"/>
          <w:b w:val="0"/>
          <w:bCs w:val="0"/>
          <w:sz w:val="22"/>
          <w:szCs w:val="22"/>
          <w:highlight w:val="none"/>
        </w:rPr>
        <w:t>文件的单位。</w:t>
      </w:r>
    </w:p>
    <w:p w14:paraId="3C168DE8">
      <w:pPr>
        <w:pStyle w:val="6"/>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3.竞争性谈判响应文件</w:t>
      </w:r>
      <w:bookmarkEnd w:id="25"/>
      <w:bookmarkEnd w:id="26"/>
      <w:bookmarkEnd w:id="27"/>
      <w:bookmarkEnd w:id="28"/>
    </w:p>
    <w:p w14:paraId="7C7CF490">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3.1 竞争性谈判响应文件的组成：</w:t>
      </w:r>
    </w:p>
    <w:p w14:paraId="720482D2">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3.1.1 竞争性谈判响应文件应包括下列内容：</w:t>
      </w:r>
    </w:p>
    <w:p w14:paraId="6350587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1.响应函</w:t>
      </w:r>
    </w:p>
    <w:p w14:paraId="129105F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2.第一次</w:t>
      </w:r>
      <w:r>
        <w:rPr>
          <w:rFonts w:hint="eastAsia" w:ascii="宋体" w:hAnsi="宋体" w:eastAsia="宋体" w:cs="宋体"/>
          <w:sz w:val="22"/>
          <w:szCs w:val="22"/>
          <w:highlight w:val="none"/>
          <w:lang w:eastAsia="zh-CN"/>
        </w:rPr>
        <w:t>谈判</w:t>
      </w:r>
      <w:r>
        <w:rPr>
          <w:rFonts w:hint="eastAsia" w:ascii="宋体" w:hAnsi="宋体" w:eastAsia="宋体" w:cs="宋体"/>
          <w:sz w:val="22"/>
          <w:szCs w:val="22"/>
          <w:highlight w:val="none"/>
        </w:rPr>
        <w:t>报价表</w:t>
      </w:r>
    </w:p>
    <w:p w14:paraId="01CA1F13">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eastAsia="zh-CN"/>
        </w:rPr>
        <w:t>相关资格证明文件</w:t>
      </w:r>
    </w:p>
    <w:p w14:paraId="626FAF8A">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w:t>
      </w:r>
      <w:r>
        <w:rPr>
          <w:rFonts w:hint="eastAsia" w:ascii="宋体" w:hAnsi="宋体" w:eastAsia="宋体" w:cs="宋体"/>
          <w:sz w:val="22"/>
          <w:szCs w:val="22"/>
          <w:highlight w:val="none"/>
          <w:lang w:eastAsia="zh-CN"/>
        </w:rPr>
        <w:t>谈判</w:t>
      </w:r>
      <w:r>
        <w:rPr>
          <w:rFonts w:hint="eastAsia" w:ascii="宋体" w:hAnsi="宋体" w:eastAsia="宋体" w:cs="宋体"/>
          <w:sz w:val="22"/>
          <w:szCs w:val="22"/>
          <w:highlight w:val="none"/>
        </w:rPr>
        <w:t>保证金</w:t>
      </w:r>
    </w:p>
    <w:p w14:paraId="12F92262">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5.响应偏离表</w:t>
      </w:r>
    </w:p>
    <w:p w14:paraId="5FDFCBEA">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w:t>
      </w:r>
      <w:r>
        <w:rPr>
          <w:rFonts w:hint="eastAsia" w:ascii="宋体" w:hAnsi="宋体" w:eastAsia="宋体" w:cs="宋体"/>
          <w:sz w:val="22"/>
          <w:szCs w:val="22"/>
          <w:highlight w:val="none"/>
          <w:lang w:eastAsia="zh-CN"/>
        </w:rPr>
        <w:t>供货</w:t>
      </w:r>
      <w:r>
        <w:rPr>
          <w:rFonts w:hint="eastAsia" w:ascii="宋体" w:hAnsi="宋体" w:eastAsia="宋体" w:cs="宋体"/>
          <w:sz w:val="22"/>
          <w:szCs w:val="22"/>
          <w:highlight w:val="none"/>
        </w:rPr>
        <w:t>方案</w:t>
      </w:r>
    </w:p>
    <w:p w14:paraId="58461F7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7.售后服务方案</w:t>
      </w:r>
    </w:p>
    <w:p w14:paraId="6525BE4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8.供应商近3年类似业绩</w:t>
      </w:r>
    </w:p>
    <w:p w14:paraId="4B2BB950">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9.</w:t>
      </w:r>
      <w:r>
        <w:rPr>
          <w:rFonts w:hint="eastAsia" w:ascii="宋体" w:hAnsi="宋体" w:eastAsia="宋体" w:cs="宋体"/>
          <w:sz w:val="22"/>
          <w:szCs w:val="22"/>
          <w:highlight w:val="none"/>
        </w:rPr>
        <w:t>其他资料</w:t>
      </w:r>
    </w:p>
    <w:p w14:paraId="5F0E7EBC">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（1）供应商承诺书</w:t>
      </w:r>
    </w:p>
    <w:p w14:paraId="7D96473B">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（2）供应商认为有必要补充说明的事宜</w:t>
      </w:r>
    </w:p>
    <w:p w14:paraId="2107EDE5">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3.2 谈判报价</w:t>
      </w:r>
    </w:p>
    <w:p w14:paraId="777862A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3.2.1 供应商应按第六章竞争性谈判响应文件格式的要求及响应供应商须知前附表的说明填报价格及费用。供应商应充分考虑国家现行规范要求，以及供应商自身情况，自主报价。谈判报价应以人民币为货币单位进行报价</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是竞争性谈判范围内全部工作内容的价格体现。谈判报价一经提交，则将被视为发包内容的全部费用已经包含在谈判报价内，供应商没有填报的费用，采购人将不予支付，并认为此项费用已包括在谈判报价中。</w:t>
      </w:r>
    </w:p>
    <w:p w14:paraId="2F62D668">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3.2.2 采购人应结合现场实际情况，根据企业自身的管理水平和实力在保证不低于成本的基础上自主确定切合自身实力的竞争性谈判报价。</w:t>
      </w:r>
    </w:p>
    <w:p w14:paraId="6C3D711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bCs/>
          <w:sz w:val="22"/>
          <w:szCs w:val="22"/>
          <w:highlight w:val="none"/>
          <w:lang w:val="en-US" w:eastAsia="zh-CN"/>
        </w:rPr>
      </w:pPr>
      <w:r>
        <w:rPr>
          <w:rFonts w:hint="eastAsia" w:ascii="宋体" w:hAnsi="宋体" w:eastAsia="宋体" w:cs="宋体"/>
          <w:sz w:val="22"/>
          <w:szCs w:val="22"/>
          <w:highlight w:val="none"/>
          <w:lang w:val="en-US" w:eastAsia="zh-CN"/>
        </w:rPr>
        <w:t>3.2.3本次谈判</w:t>
      </w:r>
      <w:r>
        <w:rPr>
          <w:rFonts w:hint="eastAsia" w:ascii="宋体" w:hAnsi="宋体" w:cs="宋体"/>
          <w:sz w:val="22"/>
          <w:szCs w:val="22"/>
          <w:highlight w:val="none"/>
          <w:lang w:val="en-US" w:eastAsia="zh-CN"/>
        </w:rPr>
        <w:t>采购人和谈判小组可以根据谈判情况开启多轮报价</w:t>
      </w:r>
      <w:r>
        <w:rPr>
          <w:rFonts w:hint="eastAsia" w:ascii="宋体" w:hAnsi="宋体" w:eastAsia="宋体" w:cs="宋体"/>
          <w:sz w:val="22"/>
          <w:szCs w:val="22"/>
          <w:highlight w:val="none"/>
          <w:lang w:val="en-US" w:eastAsia="zh-CN"/>
        </w:rPr>
        <w:t>，最后一次报价为最终报价，最终报价是供应商响应文件的有效组成部分，</w:t>
      </w:r>
      <w:r>
        <w:rPr>
          <w:rFonts w:hint="eastAsia" w:ascii="宋体" w:hAnsi="宋体" w:eastAsia="宋体" w:cs="宋体"/>
          <w:b/>
          <w:bCs/>
          <w:sz w:val="22"/>
          <w:szCs w:val="22"/>
          <w:highlight w:val="none"/>
          <w:lang w:val="en-US" w:eastAsia="zh-CN"/>
        </w:rPr>
        <w:t>如果采购需求的技术或者服务要求未发生实质性变化，最后报价不得超过首次报价否则按无效响应处理。</w:t>
      </w:r>
    </w:p>
    <w:p w14:paraId="04D5EE15">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3.2.4供应商的报价不接受任何有选择性的报价，不得超过最高限价（未设定最高限价的采购项目，以采购项目预算金额作为最高限价），否则作为不实质性响应谈判文件，按无效响应处理。 </w:t>
      </w:r>
    </w:p>
    <w:p w14:paraId="400D43BE">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3.3 谈判有效期</w:t>
      </w:r>
    </w:p>
    <w:p w14:paraId="4F32958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3.3.1 在</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规定的谈判有效期内，供应商不得要求撤销或修改其竞争性谈判响应文件。</w:t>
      </w:r>
    </w:p>
    <w:p w14:paraId="29F617C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3.3.2 出现特殊情况需要延长谈判有效期的，采购人以书面形式通知所有供应商延长谈判有效期。供应商同意延长的，不得要求或被允许修改或撤销其竞争性谈判响应文件；供应商拒绝延长的，其谈判失效。</w:t>
      </w:r>
    </w:p>
    <w:p w14:paraId="315B6F21">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3.4 谈判保证金</w:t>
      </w:r>
    </w:p>
    <w:p w14:paraId="21CBE28B">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3.4.1 供应商在递交竞争性谈判响应文件的同时，应按</w:t>
      </w:r>
      <w:r>
        <w:rPr>
          <w:rFonts w:hint="eastAsia" w:ascii="宋体" w:hAnsi="宋体" w:cs="Times New Roman"/>
          <w:sz w:val="22"/>
          <w:szCs w:val="22"/>
          <w:highlight w:val="none"/>
          <w:lang w:eastAsia="zh-CN"/>
        </w:rPr>
        <w:t>供应商须知前附表</w:t>
      </w:r>
      <w:r>
        <w:rPr>
          <w:rFonts w:hint="eastAsia" w:ascii="宋体" w:hAnsi="宋体" w:eastAsia="宋体" w:cs="Times New Roman"/>
          <w:sz w:val="22"/>
          <w:szCs w:val="22"/>
          <w:highlight w:val="none"/>
          <w:lang w:eastAsia="zh-CN"/>
        </w:rPr>
        <w:t>规定的金额递交谈判保证金，并作为其竞争性谈判响应文件的组成部分。谈判保证金有效期同谈判有效期。</w:t>
      </w:r>
    </w:p>
    <w:p w14:paraId="41A674A0">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重要提示：谈判保证金必须在递交响应文件截止时间之前交纳方为有效。请供应商考虑资金在银行之间的转账要求和时间成本，确保在递交响应文件截止时间之前</w:t>
      </w:r>
      <w:r>
        <w:rPr>
          <w:rFonts w:hint="eastAsia" w:ascii="宋体" w:hAnsi="宋体" w:cs="Times New Roman"/>
          <w:sz w:val="22"/>
          <w:szCs w:val="22"/>
          <w:highlight w:val="none"/>
          <w:lang w:eastAsia="zh-CN"/>
        </w:rPr>
        <w:t>“</w:t>
      </w:r>
      <w:r>
        <w:rPr>
          <w:rFonts w:hint="eastAsia" w:ascii="宋体" w:hAnsi="宋体" w:cs="Times New Roman"/>
          <w:sz w:val="22"/>
          <w:szCs w:val="22"/>
          <w:highlight w:val="none"/>
          <w:lang w:val="en-US" w:eastAsia="zh-CN"/>
        </w:rPr>
        <w:t>供应商须知前附表</w:t>
      </w:r>
      <w:r>
        <w:rPr>
          <w:rFonts w:hint="eastAsia" w:ascii="宋体" w:hAnsi="宋体" w:cs="Times New Roman"/>
          <w:sz w:val="22"/>
          <w:szCs w:val="22"/>
          <w:highlight w:val="none"/>
          <w:lang w:eastAsia="zh-CN"/>
        </w:rPr>
        <w:t>”</w:t>
      </w:r>
      <w:r>
        <w:rPr>
          <w:rFonts w:hint="eastAsia" w:ascii="宋体" w:hAnsi="宋体" w:eastAsia="宋体" w:cs="Times New Roman"/>
          <w:sz w:val="22"/>
          <w:szCs w:val="22"/>
          <w:highlight w:val="none"/>
          <w:lang w:eastAsia="zh-CN"/>
        </w:rPr>
        <w:t>指定的账户能收到所交的谈判保证金。</w:t>
      </w:r>
    </w:p>
    <w:p w14:paraId="0367B5B4">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供应商提供政府采购信用担保，并按照程序确定了合作的担保机构。响应供应商在缴纳谈判保证金及成交供应商缴纳履约保证金时可自愿选择通过担保机构保函</w:t>
      </w:r>
      <w:r>
        <w:rPr>
          <w:rFonts w:hint="eastAsia" w:ascii="宋体" w:hAnsi="宋体" w:eastAsia="宋体" w:cs="Times New Roman"/>
          <w:b/>
          <w:bCs/>
          <w:sz w:val="22"/>
          <w:szCs w:val="22"/>
          <w:highlight w:val="none"/>
          <w:lang w:eastAsia="zh-CN"/>
        </w:rPr>
        <w:t>（</w:t>
      </w:r>
      <w:r>
        <w:rPr>
          <w:rFonts w:hint="eastAsia" w:ascii="宋体" w:hAnsi="宋体" w:eastAsia="宋体" w:cs="Times New Roman"/>
          <w:b/>
          <w:bCs/>
          <w:sz w:val="22"/>
          <w:szCs w:val="22"/>
          <w:highlight w:val="none"/>
          <w:lang w:val="en-US" w:eastAsia="zh-CN"/>
        </w:rPr>
        <w:t>格式见第二章附件一</w:t>
      </w:r>
      <w:r>
        <w:rPr>
          <w:rFonts w:hint="eastAsia" w:ascii="宋体" w:hAnsi="宋体" w:eastAsia="宋体" w:cs="Times New Roman"/>
          <w:b/>
          <w:bCs/>
          <w:sz w:val="22"/>
          <w:szCs w:val="22"/>
          <w:highlight w:val="none"/>
          <w:lang w:eastAsia="zh-CN"/>
        </w:rPr>
        <w:t>）</w:t>
      </w:r>
      <w:r>
        <w:rPr>
          <w:rFonts w:hint="eastAsia" w:ascii="宋体" w:hAnsi="宋体" w:eastAsia="宋体" w:cs="Times New Roman"/>
          <w:sz w:val="22"/>
          <w:szCs w:val="22"/>
          <w:highlight w:val="none"/>
          <w:lang w:eastAsia="zh-CN"/>
        </w:rPr>
        <w:t>的形式缴纳；成交供应商如果需要融资贷款服务的，可凭成交通知书、政府采购合同等相关资料，按照文件规定的程序申请办理，具体规定可登陆陕西省政府采购网(www.ccgp-shaanxi.gov.cn/)重要通知专栏中查询了解。</w:t>
      </w:r>
    </w:p>
    <w:p w14:paraId="7F357884">
      <w:pPr>
        <w:spacing w:line="360" w:lineRule="auto"/>
        <w:ind w:firstLine="440" w:firstLineChars="200"/>
        <w:rPr>
          <w:rFonts w:hint="eastAsia"/>
          <w:highlight w:val="none"/>
          <w:lang w:eastAsia="zh-CN"/>
        </w:rPr>
      </w:pPr>
      <w:r>
        <w:rPr>
          <w:rFonts w:hint="eastAsia" w:ascii="宋体" w:hAnsi="宋体" w:eastAsia="宋体" w:cs="宋体"/>
          <w:color w:val="auto"/>
          <w:sz w:val="22"/>
          <w:szCs w:val="22"/>
          <w:highlight w:val="none"/>
        </w:rPr>
        <w:t>依据宝市交易发[2025]19号文件的规定</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供应商可以以信用承诺替代</w:t>
      </w:r>
      <w:r>
        <w:rPr>
          <w:rFonts w:hint="eastAsia" w:ascii="宋体" w:hAnsi="宋体" w:cs="宋体"/>
          <w:color w:val="auto"/>
          <w:sz w:val="22"/>
          <w:szCs w:val="22"/>
          <w:highlight w:val="none"/>
          <w:lang w:eastAsia="zh-CN"/>
        </w:rPr>
        <w:t>谈判</w:t>
      </w:r>
      <w:r>
        <w:rPr>
          <w:rFonts w:hint="eastAsia" w:ascii="宋体" w:hAnsi="宋体" w:eastAsia="宋体" w:cs="宋体"/>
          <w:color w:val="auto"/>
          <w:sz w:val="22"/>
          <w:szCs w:val="22"/>
          <w:highlight w:val="none"/>
        </w:rPr>
        <w:t>保证金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供应商应按照招</w:t>
      </w:r>
      <w:r>
        <w:rPr>
          <w:rFonts w:hint="eastAsia" w:ascii="宋体" w:hAnsi="宋体" w:eastAsia="宋体" w:cs="宋体"/>
          <w:color w:val="auto"/>
          <w:sz w:val="22"/>
          <w:szCs w:val="22"/>
          <w:highlight w:val="none"/>
          <w:lang w:eastAsia="zh-CN"/>
        </w:rPr>
        <w:t>采购文件</w:t>
      </w:r>
      <w:r>
        <w:rPr>
          <w:rFonts w:hint="eastAsia" w:ascii="宋体" w:hAnsi="宋体" w:eastAsia="宋体" w:cs="宋体"/>
          <w:color w:val="auto"/>
          <w:sz w:val="22"/>
          <w:szCs w:val="22"/>
          <w:highlight w:val="none"/>
        </w:rPr>
        <w:t>格式</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rPr>
        <w:t>格式见第二章附件</w:t>
      </w:r>
      <w:r>
        <w:rPr>
          <w:rFonts w:hint="eastAsia" w:ascii="宋体" w:hAnsi="宋体" w:cs="宋体"/>
          <w:b/>
          <w:bCs/>
          <w:color w:val="auto"/>
          <w:sz w:val="22"/>
          <w:szCs w:val="22"/>
          <w:highlight w:val="none"/>
          <w:lang w:val="en-US" w:eastAsia="zh-CN"/>
        </w:rPr>
        <w:t>三</w:t>
      </w:r>
      <w:r>
        <w:rPr>
          <w:rFonts w:hint="eastAsia" w:ascii="宋体" w:hAnsi="宋体" w:eastAsia="宋体" w:cs="宋体"/>
          <w:b/>
          <w:bCs/>
          <w:color w:val="auto"/>
          <w:sz w:val="22"/>
          <w:szCs w:val="22"/>
          <w:highlight w:val="none"/>
          <w:lang w:eastAsia="zh-CN"/>
        </w:rPr>
        <w:t>）</w:t>
      </w:r>
      <w:r>
        <w:rPr>
          <w:rFonts w:hint="eastAsia" w:ascii="宋体" w:hAnsi="宋体" w:eastAsia="宋体" w:cs="宋体"/>
          <w:color w:val="auto"/>
          <w:sz w:val="22"/>
          <w:szCs w:val="22"/>
          <w:highlight w:val="none"/>
        </w:rPr>
        <w:t>填写交易保证金信用承诺书</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信用承诺有效期满足</w:t>
      </w:r>
      <w:r>
        <w:rPr>
          <w:rFonts w:hint="eastAsia" w:ascii="宋体" w:hAnsi="宋体" w:cs="宋体"/>
          <w:color w:val="auto"/>
          <w:sz w:val="22"/>
          <w:szCs w:val="22"/>
          <w:highlight w:val="none"/>
          <w:lang w:eastAsia="zh-CN"/>
        </w:rPr>
        <w:t>谈判</w:t>
      </w:r>
      <w:r>
        <w:rPr>
          <w:rFonts w:hint="eastAsia" w:ascii="宋体" w:hAnsi="宋体" w:eastAsia="宋体" w:cs="宋体"/>
          <w:color w:val="auto"/>
          <w:sz w:val="22"/>
          <w:szCs w:val="22"/>
          <w:highlight w:val="none"/>
        </w:rPr>
        <w:t>有效期时效</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承诺书后附“信用中国”网站下载的信用报告显示无不良信用记录（带水印）并加盖公章，信用报告查询出具日期为项目公告发布之日起至投标人投标文件或响应文件递交截止之日</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也未采用其他方式交纳</w:t>
      </w:r>
      <w:r>
        <w:rPr>
          <w:rFonts w:hint="eastAsia" w:ascii="宋体" w:hAnsi="宋体" w:cs="宋体"/>
          <w:color w:val="auto"/>
          <w:sz w:val="22"/>
          <w:szCs w:val="22"/>
          <w:highlight w:val="none"/>
          <w:lang w:eastAsia="zh-CN"/>
        </w:rPr>
        <w:t>谈判</w:t>
      </w:r>
      <w:r>
        <w:rPr>
          <w:rFonts w:hint="eastAsia" w:ascii="宋体" w:hAnsi="宋体" w:eastAsia="宋体" w:cs="宋体"/>
          <w:color w:val="auto"/>
          <w:sz w:val="22"/>
          <w:szCs w:val="22"/>
          <w:highlight w:val="none"/>
        </w:rPr>
        <w:t>保证金的视为未交纳</w:t>
      </w:r>
      <w:r>
        <w:rPr>
          <w:rFonts w:hint="eastAsia" w:ascii="宋体" w:hAnsi="宋体" w:eastAsia="宋体" w:cs="宋体"/>
          <w:color w:val="auto"/>
          <w:sz w:val="22"/>
          <w:szCs w:val="22"/>
          <w:highlight w:val="none"/>
          <w:lang w:eastAsia="zh-CN"/>
        </w:rPr>
        <w:t>谈判</w:t>
      </w:r>
      <w:r>
        <w:rPr>
          <w:rFonts w:hint="eastAsia" w:ascii="宋体" w:hAnsi="宋体" w:eastAsia="宋体" w:cs="宋体"/>
          <w:color w:val="auto"/>
          <w:sz w:val="22"/>
          <w:szCs w:val="22"/>
          <w:highlight w:val="none"/>
        </w:rPr>
        <w:t>保证金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按</w:t>
      </w:r>
      <w:r>
        <w:rPr>
          <w:rFonts w:hint="eastAsia" w:ascii="宋体" w:hAnsi="宋体" w:eastAsia="宋体" w:cs="宋体"/>
          <w:color w:val="auto"/>
          <w:sz w:val="22"/>
          <w:szCs w:val="22"/>
          <w:highlight w:val="none"/>
          <w:lang w:eastAsia="zh-CN"/>
        </w:rPr>
        <w:t>无效响应</w:t>
      </w:r>
      <w:r>
        <w:rPr>
          <w:rFonts w:hint="eastAsia" w:ascii="宋体" w:hAnsi="宋体" w:eastAsia="宋体" w:cs="宋体"/>
          <w:color w:val="auto"/>
          <w:sz w:val="22"/>
          <w:szCs w:val="22"/>
          <w:highlight w:val="none"/>
        </w:rPr>
        <w:t>处理。</w:t>
      </w:r>
    </w:p>
    <w:p w14:paraId="35F8353A">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3.4.2 供应商不按本章第3.4.1 项要求提交谈判保证金的，按无效响应处理。</w:t>
      </w:r>
    </w:p>
    <w:p w14:paraId="7B7373B3">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3.4.3 谈判保证金退还：</w:t>
      </w:r>
    </w:p>
    <w:p w14:paraId="04D34FFD">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lang w:eastAsia="zh-CN"/>
        </w:rPr>
        <w:t>（</w:t>
      </w:r>
      <w:r>
        <w:rPr>
          <w:rFonts w:hint="eastAsia" w:ascii="宋体" w:hAnsi="宋体" w:cs="宋体"/>
          <w:sz w:val="22"/>
          <w:szCs w:val="22"/>
          <w:highlight w:val="none"/>
          <w:lang w:val="en-US" w:eastAsia="zh-CN"/>
        </w:rPr>
        <w:t>1</w:t>
      </w:r>
      <w:r>
        <w:rPr>
          <w:rFonts w:hint="eastAsia" w:ascii="宋体" w:hAnsi="宋体" w:cs="宋体"/>
          <w:sz w:val="22"/>
          <w:szCs w:val="22"/>
          <w:highlight w:val="none"/>
          <w:lang w:eastAsia="zh-CN"/>
        </w:rPr>
        <w:t>）</w:t>
      </w:r>
      <w:r>
        <w:rPr>
          <w:rFonts w:hint="eastAsia" w:ascii="宋体" w:hAnsi="宋体" w:cs="宋体"/>
          <w:sz w:val="22"/>
          <w:szCs w:val="22"/>
          <w:highlight w:val="none"/>
        </w:rPr>
        <w:t>未成交供应商的</w:t>
      </w:r>
      <w:r>
        <w:rPr>
          <w:rFonts w:hint="eastAsia" w:ascii="宋体" w:hAnsi="宋体" w:cs="宋体"/>
          <w:sz w:val="22"/>
          <w:szCs w:val="22"/>
          <w:highlight w:val="none"/>
          <w:lang w:eastAsia="zh-CN"/>
        </w:rPr>
        <w:t>谈判</w:t>
      </w:r>
      <w:r>
        <w:rPr>
          <w:rFonts w:hint="eastAsia" w:ascii="宋体" w:hAnsi="宋体" w:cs="宋体"/>
          <w:sz w:val="22"/>
          <w:szCs w:val="22"/>
          <w:highlight w:val="none"/>
        </w:rPr>
        <w:t>保证金</w:t>
      </w:r>
      <w:r>
        <w:rPr>
          <w:rFonts w:hint="eastAsia" w:ascii="宋体" w:hAnsi="宋体" w:cs="宋体"/>
          <w:sz w:val="22"/>
          <w:szCs w:val="22"/>
          <w:highlight w:val="none"/>
          <w:lang w:eastAsia="zh-CN"/>
        </w:rPr>
        <w:t>，</w:t>
      </w:r>
      <w:r>
        <w:rPr>
          <w:rFonts w:hint="eastAsia" w:ascii="宋体" w:hAnsi="宋体" w:cs="宋体"/>
          <w:sz w:val="22"/>
          <w:szCs w:val="22"/>
          <w:highlight w:val="none"/>
        </w:rPr>
        <w:t>在成交通知书发出后五个工作日内退还；成交供应商的</w:t>
      </w:r>
      <w:r>
        <w:rPr>
          <w:rFonts w:hint="eastAsia" w:ascii="宋体" w:hAnsi="宋体" w:cs="宋体"/>
          <w:sz w:val="22"/>
          <w:szCs w:val="22"/>
          <w:highlight w:val="none"/>
          <w:lang w:eastAsia="zh-CN"/>
        </w:rPr>
        <w:t>谈判</w:t>
      </w:r>
      <w:r>
        <w:rPr>
          <w:rFonts w:hint="eastAsia" w:ascii="宋体" w:hAnsi="宋体" w:cs="宋体"/>
          <w:sz w:val="22"/>
          <w:szCs w:val="22"/>
          <w:highlight w:val="none"/>
        </w:rPr>
        <w:t>保证金</w:t>
      </w:r>
      <w:r>
        <w:rPr>
          <w:rFonts w:hint="eastAsia" w:ascii="宋体" w:hAnsi="宋体" w:cs="宋体"/>
          <w:sz w:val="22"/>
          <w:szCs w:val="22"/>
          <w:highlight w:val="none"/>
          <w:lang w:eastAsia="zh-CN"/>
        </w:rPr>
        <w:t>，在采购合同签订</w:t>
      </w:r>
      <w:r>
        <w:rPr>
          <w:rFonts w:hint="eastAsia" w:ascii="宋体" w:hAnsi="宋体" w:cs="宋体"/>
          <w:sz w:val="22"/>
          <w:szCs w:val="22"/>
          <w:highlight w:val="none"/>
          <w:lang w:val="en-US" w:eastAsia="zh-CN"/>
        </w:rPr>
        <w:t>之日起</w:t>
      </w:r>
      <w:r>
        <w:rPr>
          <w:rFonts w:hint="eastAsia" w:ascii="宋体" w:hAnsi="宋体" w:cs="宋体"/>
          <w:sz w:val="22"/>
          <w:szCs w:val="22"/>
          <w:highlight w:val="none"/>
          <w:lang w:eastAsia="zh-CN"/>
        </w:rPr>
        <w:t>五个工作日内退还。</w:t>
      </w:r>
    </w:p>
    <w:p w14:paraId="7A08E8E2">
      <w:pPr>
        <w:pStyle w:val="2"/>
        <w:rPr>
          <w:rFonts w:hint="eastAsia" w:eastAsia="宋体"/>
          <w:sz w:val="22"/>
          <w:szCs w:val="24"/>
          <w:highlight w:val="none"/>
          <w:lang w:eastAsia="zh-CN"/>
        </w:rPr>
      </w:pPr>
      <w:r>
        <w:rPr>
          <w:rFonts w:hint="eastAsia" w:ascii="宋体" w:hAnsi="宋体" w:cs="宋体"/>
          <w:sz w:val="22"/>
          <w:szCs w:val="22"/>
          <w:highlight w:val="none"/>
          <w:lang w:eastAsia="zh-CN"/>
        </w:rPr>
        <w:t>（</w:t>
      </w:r>
      <w:r>
        <w:rPr>
          <w:rFonts w:hint="eastAsia" w:ascii="宋体" w:hAnsi="宋体" w:cs="宋体"/>
          <w:sz w:val="22"/>
          <w:szCs w:val="22"/>
          <w:highlight w:val="none"/>
          <w:lang w:val="en-US" w:eastAsia="zh-CN"/>
        </w:rPr>
        <w:t>2</w:t>
      </w:r>
      <w:r>
        <w:rPr>
          <w:rFonts w:hint="eastAsia" w:ascii="宋体" w:hAnsi="宋体" w:cs="宋体"/>
          <w:sz w:val="22"/>
          <w:szCs w:val="22"/>
          <w:highlight w:val="none"/>
          <w:lang w:eastAsia="zh-CN"/>
        </w:rPr>
        <w:t>）以保函和信用承诺方式替代谈判保证金的，不适用上述情形。</w:t>
      </w:r>
    </w:p>
    <w:p w14:paraId="4B873F4B">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3.4.4 有下列情形之一的，谈判保证金将不予退还：</w:t>
      </w:r>
    </w:p>
    <w:p w14:paraId="535A9C95">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（1）供应商在规定的谈判有效期内撤销或修改其竞争性谈判响应文件；</w:t>
      </w:r>
    </w:p>
    <w:p w14:paraId="1EA0E692">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（2）成交供应商在收到成交通知书后，无正当理由拒签合同协议书或未按竞争性谈判文件规定提交履约担保。</w:t>
      </w:r>
    </w:p>
    <w:p w14:paraId="5DBBC749">
      <w:pPr>
        <w:spacing w:line="360" w:lineRule="auto"/>
        <w:ind w:firstLine="550" w:firstLineChars="250"/>
        <w:rPr>
          <w:rFonts w:hint="eastAsia" w:ascii="宋体" w:hAnsi="宋体" w:eastAsia="宋体" w:cs="Times New Roman"/>
          <w:sz w:val="22"/>
          <w:szCs w:val="22"/>
          <w:highlight w:val="none"/>
          <w:lang w:eastAsia="zh-CN"/>
        </w:rPr>
      </w:pPr>
      <w:r>
        <w:rPr>
          <w:rFonts w:hint="eastAsia" w:ascii="宋体" w:hAnsi="宋体" w:eastAsia="宋体" w:cs="Times New Roman"/>
          <w:sz w:val="22"/>
          <w:szCs w:val="22"/>
          <w:highlight w:val="none"/>
          <w:lang w:eastAsia="zh-CN"/>
        </w:rPr>
        <w:t>（3）供应商在竞争性谈判响应文件中提供虚假材料的；</w:t>
      </w:r>
    </w:p>
    <w:p w14:paraId="6C85673C">
      <w:pPr>
        <w:spacing w:line="360" w:lineRule="auto"/>
        <w:ind w:firstLine="550" w:firstLineChars="250"/>
        <w:rPr>
          <w:rFonts w:hint="eastAsia" w:ascii="宋体" w:hAnsi="宋体" w:eastAsia="宋体" w:cs="宋体"/>
          <w:b/>
          <w:sz w:val="22"/>
          <w:szCs w:val="22"/>
          <w:highlight w:val="none"/>
          <w:lang w:eastAsia="zh-CN"/>
        </w:rPr>
      </w:pPr>
      <w:r>
        <w:rPr>
          <w:rFonts w:hint="eastAsia" w:ascii="宋体" w:hAnsi="宋体" w:eastAsia="宋体" w:cs="Times New Roman"/>
          <w:sz w:val="22"/>
          <w:szCs w:val="22"/>
          <w:highlight w:val="none"/>
          <w:lang w:eastAsia="zh-CN"/>
        </w:rPr>
        <w:t>（4）供应商与采购人、其他供应商或者采购代理机构恶意串通的。</w:t>
      </w:r>
    </w:p>
    <w:p w14:paraId="61875C80">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3.5 资格审查资料</w:t>
      </w:r>
    </w:p>
    <w:p w14:paraId="534D7DB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3.5.1供应商在编制竞争性谈判响应文件时，应按本竞争性谈判文件第三章谈判办法及</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要求提供具备承担本项目的资格条件、能力和信誉的相关证明文件。谈判小组根据供应商所提供的资格证明文件进行评审。</w:t>
      </w:r>
    </w:p>
    <w:p w14:paraId="5230466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3.5.2采购人和采购代理机构不承担核查资格资料真实性的义务。由于供应商提供虚假的材料，导致竞争性谈判项目无法顺利进行或者失败，由此造成的后果及经济损失，由供应商承担全部法律责任。</w:t>
      </w:r>
    </w:p>
    <w:p w14:paraId="329281F4">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3.6 备选谈判方案</w:t>
      </w:r>
    </w:p>
    <w:p w14:paraId="76085C0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除</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另有规定外，供应商不得递交备选谈判方案。允许供应商递交备选谈判方案的，只有成交供应商所递交的备选谈判方案方可予以考虑。谈判小组认为成交供应商的备选谈判方案优于其按照竞争性谈判文件要求编制的谈判方案的，采购人可以接受该备选谈判方案。</w:t>
      </w:r>
    </w:p>
    <w:p w14:paraId="05C599F9">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 竞争性谈判响应文件的编制</w:t>
      </w:r>
    </w:p>
    <w:p w14:paraId="1843C7B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bookmarkStart w:id="29" w:name="_Toc184635074"/>
      <w:bookmarkStart w:id="30" w:name="_Toc324521810"/>
      <w:bookmarkStart w:id="31" w:name="_Toc321812013"/>
      <w:bookmarkStart w:id="32" w:name="_Toc290389701"/>
      <w:r>
        <w:rPr>
          <w:rFonts w:hint="eastAsia" w:ascii="宋体" w:hAnsi="宋体" w:eastAsia="宋体" w:cs="宋体"/>
          <w:sz w:val="22"/>
          <w:szCs w:val="22"/>
          <w:highlight w:val="none"/>
        </w:rPr>
        <w:t>3.7.1 竞争性谈判响应文件应按“竞争性</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响应文件格式”进行编写，如有必要，可以增加附页，作为竞争性谈判响应文件的组成部分。</w:t>
      </w:r>
    </w:p>
    <w:p w14:paraId="0A4102F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3.7.2 竞争性</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rPr>
        <w:t>响应文件应当对竞争性谈判文件有关</w:t>
      </w:r>
      <w:r>
        <w:rPr>
          <w:rFonts w:hint="eastAsia" w:ascii="宋体" w:hAnsi="宋体" w:cs="宋体"/>
          <w:sz w:val="22"/>
          <w:szCs w:val="22"/>
          <w:highlight w:val="none"/>
          <w:lang w:val="en-US" w:eastAsia="zh-CN"/>
        </w:rPr>
        <w:t>供货</w:t>
      </w:r>
      <w:r>
        <w:rPr>
          <w:rFonts w:hint="eastAsia" w:ascii="宋体" w:hAnsi="宋体" w:eastAsia="宋体" w:cs="宋体"/>
          <w:sz w:val="22"/>
          <w:szCs w:val="22"/>
          <w:highlight w:val="none"/>
          <w:lang w:val="en-US" w:eastAsia="zh-CN"/>
        </w:rPr>
        <w:t>期限</w:t>
      </w:r>
      <w:r>
        <w:rPr>
          <w:rFonts w:hint="eastAsia" w:ascii="宋体" w:hAnsi="宋体" w:eastAsia="宋体" w:cs="宋体"/>
          <w:sz w:val="22"/>
          <w:szCs w:val="22"/>
          <w:highlight w:val="none"/>
        </w:rPr>
        <w:t>、谈判有</w:t>
      </w:r>
      <w:r>
        <w:rPr>
          <w:rFonts w:hint="eastAsia" w:ascii="宋体" w:hAnsi="宋体" w:eastAsia="宋体" w:cs="宋体"/>
          <w:color w:val="auto"/>
          <w:sz w:val="22"/>
          <w:szCs w:val="22"/>
          <w:highlight w:val="none"/>
        </w:rPr>
        <w:t>效期、</w:t>
      </w:r>
      <w:r>
        <w:rPr>
          <w:rFonts w:hint="eastAsia" w:ascii="宋体" w:hAnsi="宋体" w:eastAsia="宋体" w:cs="宋体"/>
          <w:color w:val="auto"/>
          <w:sz w:val="22"/>
          <w:szCs w:val="22"/>
          <w:highlight w:val="none"/>
          <w:lang w:eastAsia="zh-CN"/>
        </w:rPr>
        <w:t>技术要求、商务</w:t>
      </w:r>
      <w:r>
        <w:rPr>
          <w:rFonts w:hint="eastAsia" w:ascii="宋体" w:hAnsi="宋体" w:eastAsia="宋体" w:cs="宋体"/>
          <w:color w:val="auto"/>
          <w:sz w:val="22"/>
          <w:szCs w:val="22"/>
          <w:highlight w:val="none"/>
          <w:lang w:val="en-US" w:eastAsia="zh-CN"/>
        </w:rPr>
        <w:t>要求</w:t>
      </w:r>
      <w:r>
        <w:rPr>
          <w:rFonts w:hint="eastAsia" w:ascii="宋体" w:hAnsi="宋体" w:eastAsia="宋体" w:cs="宋体"/>
          <w:color w:val="auto"/>
          <w:sz w:val="22"/>
          <w:szCs w:val="22"/>
          <w:highlight w:val="none"/>
        </w:rPr>
        <w:t>、竞争性谈判范围等实质性内容做出响应。</w:t>
      </w:r>
    </w:p>
    <w:p w14:paraId="755291F5">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3.7.3 竞争性谈判响应文件应由供应商的法定代表人或其委托代理人签字或盖单位章。委托代理人签字的，竞争性谈判响应文件应附法定代表人签署的授权委托书。竞争性谈判响应文件应尽量避免涂改、行间插字或删除。如果出现上述情况，改动之处应加盖单位章或由供应商的法定代表人或其授权的代理人签字确认。签字、盖章的具体要求见响应供应商须知前附表。未按本条规定办理的，视同签字、盖章不全。</w:t>
      </w:r>
    </w:p>
    <w:p w14:paraId="47640920">
      <w:pPr>
        <w:keepNext w:val="0"/>
        <w:keepLines w:val="0"/>
        <w:pageBreakBefore w:val="0"/>
        <w:widowControl w:val="0"/>
        <w:kinsoku/>
        <w:wordWrap w:val="0"/>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3.7.4 竞争性谈判响应文件</w:t>
      </w:r>
      <w:r>
        <w:rPr>
          <w:rFonts w:hint="eastAsia" w:ascii="宋体" w:hAnsi="宋体" w:eastAsia="宋体" w:cs="宋体"/>
          <w:sz w:val="22"/>
          <w:szCs w:val="22"/>
          <w:highlight w:val="none"/>
          <w:lang w:val="en-US" w:eastAsia="zh-CN"/>
        </w:rPr>
        <w:t>份数都要求见响应供应商须知前附表规定</w:t>
      </w:r>
      <w:r>
        <w:rPr>
          <w:rFonts w:hint="eastAsia" w:ascii="宋体" w:hAnsi="宋体" w:eastAsia="宋体" w:cs="宋体"/>
          <w:sz w:val="22"/>
          <w:szCs w:val="22"/>
          <w:highlight w:val="none"/>
        </w:rPr>
        <w:t>。</w:t>
      </w:r>
    </w:p>
    <w:p w14:paraId="64B86511">
      <w:pPr>
        <w:spacing w:line="360" w:lineRule="auto"/>
        <w:ind w:firstLine="440" w:firstLineChars="200"/>
        <w:rPr>
          <w:rFonts w:hint="eastAsia"/>
          <w:highlight w:val="none"/>
          <w:lang w:eastAsia="zh-CN"/>
        </w:rPr>
      </w:pPr>
      <w:r>
        <w:rPr>
          <w:rFonts w:hint="eastAsia" w:ascii="宋体" w:hAnsi="宋体" w:cs="宋体"/>
          <w:sz w:val="22"/>
          <w:szCs w:val="22"/>
          <w:highlight w:val="none"/>
          <w:lang w:val="en-US" w:eastAsia="zh-CN"/>
        </w:rPr>
        <w:t>3.7.5 采购文件获取时间内下载电子版采购文件（*.SXSZF），</w:t>
      </w:r>
      <w:r>
        <w:rPr>
          <w:rFonts w:hint="eastAsia" w:ascii="宋体" w:hAnsi="宋体" w:eastAsia="宋体" w:cs="宋体"/>
          <w:b w:val="0"/>
          <w:bCs w:val="0"/>
          <w:sz w:val="22"/>
          <w:szCs w:val="22"/>
          <w:highlight w:val="none"/>
        </w:rPr>
        <w:t>并使用“政府采购电子标书制作工具”制作电子投标</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lang w:val="en-US" w:eastAsia="zh-CN"/>
        </w:rPr>
        <w:t>响应文件</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文件</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*.SXSTF</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w:t>
      </w:r>
      <w:r>
        <w:rPr>
          <w:rFonts w:hint="eastAsia" w:ascii="宋体" w:hAnsi="宋体" w:eastAsia="宋体" w:cs="宋体"/>
          <w:b w:val="0"/>
          <w:bCs w:val="0"/>
          <w:sz w:val="22"/>
          <w:szCs w:val="22"/>
          <w:highlight w:val="none"/>
          <w:lang w:val="en-US" w:eastAsia="zh-CN"/>
        </w:rPr>
        <w:t>获取采购文件的供应商</w:t>
      </w:r>
      <w:r>
        <w:rPr>
          <w:rFonts w:hint="eastAsia" w:ascii="宋体" w:hAnsi="宋体" w:eastAsia="宋体" w:cs="宋体"/>
          <w:b w:val="0"/>
          <w:bCs w:val="0"/>
          <w:sz w:val="22"/>
          <w:szCs w:val="22"/>
          <w:highlight w:val="none"/>
        </w:rPr>
        <w:t>应随时关注交易平台。如有答疑文件</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应及时下载答疑文件（*.SXSTF）并使用最终答疑文件编制电子投标</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lang w:val="en-US" w:eastAsia="zh-CN"/>
        </w:rPr>
        <w:t>响应文件</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文件。如因自身原因未在下载时限内从电子交易平台下载采购文件</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或未下载并使用最终答疑文件编制投标</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lang w:val="en-US" w:eastAsia="zh-CN"/>
        </w:rPr>
        <w:t>响应</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文件</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导致无法编制（上传）投标</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lang w:val="en-US" w:eastAsia="zh-CN"/>
        </w:rPr>
        <w:t>响应</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文件</w:t>
      </w:r>
      <w:r>
        <w:rPr>
          <w:rFonts w:hint="eastAsia" w:ascii="宋体" w:hAnsi="宋体" w:eastAsia="宋体" w:cs="宋体"/>
          <w:b w:val="0"/>
          <w:bCs w:val="0"/>
          <w:sz w:val="22"/>
          <w:szCs w:val="22"/>
          <w:highlight w:val="none"/>
          <w:lang w:eastAsia="zh-CN"/>
        </w:rPr>
        <w:t>，</w:t>
      </w:r>
      <w:r>
        <w:rPr>
          <w:rFonts w:hint="eastAsia" w:ascii="宋体" w:hAnsi="宋体" w:eastAsia="宋体" w:cs="宋体"/>
          <w:b w:val="0"/>
          <w:bCs w:val="0"/>
          <w:sz w:val="22"/>
          <w:szCs w:val="22"/>
          <w:highlight w:val="none"/>
        </w:rPr>
        <w:t>自行承担不利后果。</w:t>
      </w:r>
    </w:p>
    <w:p w14:paraId="0E8681C2">
      <w:pPr>
        <w:pStyle w:val="6"/>
        <w:keepNext w:val="0"/>
        <w:keepLines w:val="0"/>
        <w:pageBreakBefore w:val="0"/>
        <w:widowControl w:val="0"/>
        <w:kinsoku/>
        <w:wordWrap w:val="0"/>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w:t>
      </w:r>
      <w:bookmarkEnd w:id="29"/>
      <w:bookmarkEnd w:id="30"/>
      <w:bookmarkEnd w:id="31"/>
      <w:bookmarkEnd w:id="32"/>
      <w:r>
        <w:rPr>
          <w:rFonts w:hint="eastAsia" w:ascii="宋体" w:hAnsi="宋体" w:eastAsia="宋体" w:cs="宋体"/>
          <w:sz w:val="22"/>
          <w:szCs w:val="22"/>
          <w:highlight w:val="none"/>
        </w:rPr>
        <w:t>谈判</w:t>
      </w:r>
    </w:p>
    <w:p w14:paraId="37A4F350">
      <w:pPr>
        <w:pStyle w:val="7"/>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sz w:val="21"/>
          <w:szCs w:val="21"/>
          <w:highlight w:val="none"/>
        </w:rPr>
      </w:pPr>
      <w:bookmarkStart w:id="33" w:name="_Toc321812014"/>
      <w:bookmarkStart w:id="34" w:name="_Toc184635075"/>
      <w:bookmarkStart w:id="35" w:name="_Toc290389702"/>
      <w:bookmarkStart w:id="36" w:name="_Toc324521811"/>
      <w:r>
        <w:rPr>
          <w:rFonts w:hint="eastAsia" w:ascii="宋体" w:hAnsi="宋体" w:eastAsia="宋体" w:cs="宋体"/>
          <w:sz w:val="21"/>
          <w:szCs w:val="21"/>
          <w:highlight w:val="none"/>
        </w:rPr>
        <w:t>4.1 竞争性谈判响应文件的密封和标记</w:t>
      </w:r>
    </w:p>
    <w:p w14:paraId="3699FD07">
      <w:pPr>
        <w:pStyle w:val="7"/>
        <w:keepNext w:val="0"/>
        <w:keepLines w:val="0"/>
        <w:pageBreakBefore w:val="0"/>
        <w:widowControl w:val="0"/>
        <w:kinsoku/>
        <w:wordWrap w:val="0"/>
        <w:overflowPunct/>
        <w:topLinePunct w:val="0"/>
        <w:autoSpaceDE/>
        <w:autoSpaceDN/>
        <w:bidi w:val="0"/>
        <w:adjustRightInd w:val="0"/>
        <w:snapToGrid w:val="0"/>
        <w:spacing w:before="0" w:after="0" w:line="520" w:lineRule="exact"/>
        <w:ind w:firstLine="440" w:firstLineChars="200"/>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4.</w:t>
      </w:r>
      <w:r>
        <w:rPr>
          <w:rFonts w:hint="eastAsia" w:ascii="宋体" w:hAnsi="宋体" w:eastAsia="宋体" w:cs="宋体"/>
          <w:b w:val="0"/>
          <w:bCs w:val="0"/>
          <w:sz w:val="22"/>
          <w:szCs w:val="22"/>
          <w:highlight w:val="none"/>
          <w:lang w:val="en-US" w:eastAsia="zh-CN"/>
        </w:rPr>
        <w:t>1</w:t>
      </w:r>
      <w:r>
        <w:rPr>
          <w:rFonts w:hint="eastAsia" w:ascii="宋体" w:hAnsi="宋体" w:eastAsia="宋体" w:cs="宋体"/>
          <w:b w:val="0"/>
          <w:bCs w:val="0"/>
          <w:sz w:val="22"/>
          <w:szCs w:val="22"/>
          <w:highlight w:val="none"/>
        </w:rPr>
        <w:t>.1 供应商应在响应供应商须知前附表第2.2.1项规定的递交响应文件截止时间前</w:t>
      </w:r>
      <w:r>
        <w:rPr>
          <w:rFonts w:hint="eastAsia" w:ascii="宋体" w:hAnsi="宋体" w:eastAsia="宋体" w:cs="宋体"/>
          <w:b w:val="0"/>
          <w:bCs w:val="0"/>
          <w:sz w:val="22"/>
          <w:szCs w:val="22"/>
          <w:highlight w:val="none"/>
          <w:lang w:val="en-US" w:eastAsia="zh-CN"/>
        </w:rPr>
        <w:t>在</w:t>
      </w:r>
      <w:r>
        <w:rPr>
          <w:rFonts w:hint="eastAsia" w:ascii="宋体" w:hAnsi="宋体" w:eastAsia="宋体" w:cs="宋体"/>
          <w:b w:val="0"/>
          <w:bCs w:val="0"/>
          <w:sz w:val="22"/>
          <w:szCs w:val="22"/>
          <w:highlight w:val="none"/>
        </w:rPr>
        <w:t>全国公共资源交易中心平台（陕西省</w:t>
      </w:r>
      <w:r>
        <w:rPr>
          <w:rFonts w:hint="eastAsia" w:ascii="宋体" w:hAnsi="宋体" w:eastAsia="宋体" w:cs="宋体"/>
          <w:b w:val="0"/>
          <w:bCs w:val="0"/>
          <w:sz w:val="22"/>
          <w:szCs w:val="22"/>
          <w:highlight w:val="none"/>
          <w:lang w:val="en-US" w:eastAsia="zh-CN"/>
        </w:rPr>
        <w:t>.宝鸡市</w:t>
      </w:r>
      <w:r>
        <w:rPr>
          <w:rFonts w:hint="eastAsia" w:ascii="宋体" w:hAnsi="宋体" w:eastAsia="宋体" w:cs="宋体"/>
          <w:b w:val="0"/>
          <w:bCs w:val="0"/>
          <w:sz w:val="22"/>
          <w:szCs w:val="22"/>
          <w:highlight w:val="none"/>
        </w:rPr>
        <w:t>）</w:t>
      </w:r>
      <w:r>
        <w:rPr>
          <w:rFonts w:hint="eastAsia" w:ascii="宋体" w:hAnsi="宋体" w:eastAsia="宋体" w:cs="宋体"/>
          <w:b w:val="0"/>
          <w:bCs w:val="0"/>
          <w:sz w:val="22"/>
          <w:szCs w:val="22"/>
          <w:highlight w:val="none"/>
          <w:lang w:val="en-US" w:eastAsia="zh-CN"/>
        </w:rPr>
        <w:t>上传加密的电子响应文件</w:t>
      </w:r>
      <w:r>
        <w:rPr>
          <w:rFonts w:hint="eastAsia" w:ascii="宋体" w:hAnsi="宋体" w:eastAsia="宋体" w:cs="宋体"/>
          <w:b w:val="0"/>
          <w:bCs w:val="0"/>
          <w:sz w:val="22"/>
          <w:szCs w:val="22"/>
          <w:highlight w:val="none"/>
        </w:rPr>
        <w:t>。</w:t>
      </w:r>
    </w:p>
    <w:p w14:paraId="2C7EFA90">
      <w:pPr>
        <w:pStyle w:val="7"/>
        <w:keepNext/>
        <w:keepLines/>
        <w:pageBreakBefore w:val="0"/>
        <w:widowControl w:val="0"/>
        <w:kinsoku/>
        <w:wordWrap/>
        <w:overflowPunct/>
        <w:topLinePunct w:val="0"/>
        <w:autoSpaceDE/>
        <w:autoSpaceDN/>
        <w:bidi w:val="0"/>
        <w:adjustRightInd w:val="0"/>
        <w:snapToGrid w:val="0"/>
        <w:spacing w:before="0" w:after="0" w:line="520" w:lineRule="exact"/>
        <w:ind w:firstLine="440" w:firstLineChars="200"/>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4.</w:t>
      </w:r>
      <w:r>
        <w:rPr>
          <w:rFonts w:hint="eastAsia" w:ascii="宋体" w:hAnsi="宋体" w:eastAsia="宋体" w:cs="宋体"/>
          <w:b w:val="0"/>
          <w:bCs w:val="0"/>
          <w:sz w:val="22"/>
          <w:szCs w:val="22"/>
          <w:highlight w:val="none"/>
          <w:lang w:val="en-US" w:eastAsia="zh-CN"/>
        </w:rPr>
        <w:t>1</w:t>
      </w:r>
      <w:r>
        <w:rPr>
          <w:rFonts w:hint="eastAsia" w:ascii="宋体" w:hAnsi="宋体" w:eastAsia="宋体" w:cs="宋体"/>
          <w:b w:val="0"/>
          <w:bCs w:val="0"/>
          <w:sz w:val="22"/>
          <w:szCs w:val="22"/>
          <w:highlight w:val="none"/>
        </w:rPr>
        <w:t>.2 供应商递交竞争性谈判响应文件的地点：见响应供应商须知前附表。</w:t>
      </w:r>
    </w:p>
    <w:p w14:paraId="3E5BD11A">
      <w:pPr>
        <w:pStyle w:val="7"/>
        <w:keepNext/>
        <w:keepLines/>
        <w:pageBreakBefore w:val="0"/>
        <w:widowControl w:val="0"/>
        <w:kinsoku/>
        <w:wordWrap/>
        <w:overflowPunct/>
        <w:topLinePunct w:val="0"/>
        <w:autoSpaceDE/>
        <w:autoSpaceDN/>
        <w:bidi w:val="0"/>
        <w:adjustRightInd w:val="0"/>
        <w:snapToGrid w:val="0"/>
        <w:spacing w:before="0" w:after="0" w:line="520" w:lineRule="exact"/>
        <w:ind w:firstLine="440" w:firstLineChars="200"/>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4.</w:t>
      </w:r>
      <w:r>
        <w:rPr>
          <w:rFonts w:hint="eastAsia" w:ascii="宋体" w:hAnsi="宋体" w:eastAsia="宋体" w:cs="宋体"/>
          <w:b w:val="0"/>
          <w:bCs w:val="0"/>
          <w:sz w:val="22"/>
          <w:szCs w:val="22"/>
          <w:highlight w:val="none"/>
          <w:lang w:val="en-US" w:eastAsia="zh-CN"/>
        </w:rPr>
        <w:t>1</w:t>
      </w:r>
      <w:r>
        <w:rPr>
          <w:rFonts w:hint="eastAsia" w:ascii="宋体" w:hAnsi="宋体" w:eastAsia="宋体" w:cs="宋体"/>
          <w:b w:val="0"/>
          <w:bCs w:val="0"/>
          <w:sz w:val="22"/>
          <w:szCs w:val="22"/>
          <w:highlight w:val="none"/>
        </w:rPr>
        <w:t>.3 除响应供应商须知前附表另有规定外，供应商所递交的竞争性谈判响应文件不予退还。</w:t>
      </w:r>
    </w:p>
    <w:p w14:paraId="2BCC4810">
      <w:pPr>
        <w:pStyle w:val="7"/>
        <w:keepNext/>
        <w:keepLines/>
        <w:pageBreakBefore w:val="0"/>
        <w:widowControl w:val="0"/>
        <w:kinsoku/>
        <w:wordWrap/>
        <w:overflowPunct/>
        <w:topLinePunct w:val="0"/>
        <w:autoSpaceDE/>
        <w:autoSpaceDN/>
        <w:bidi w:val="0"/>
        <w:adjustRightInd w:val="0"/>
        <w:snapToGrid w:val="0"/>
        <w:spacing w:before="0" w:after="0" w:line="520" w:lineRule="exact"/>
        <w:ind w:firstLine="440" w:firstLineChars="200"/>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4.</w:t>
      </w:r>
      <w:r>
        <w:rPr>
          <w:rFonts w:hint="eastAsia" w:ascii="宋体" w:hAnsi="宋体" w:eastAsia="宋体" w:cs="宋体"/>
          <w:b w:val="0"/>
          <w:bCs w:val="0"/>
          <w:sz w:val="22"/>
          <w:szCs w:val="22"/>
          <w:highlight w:val="none"/>
          <w:lang w:val="en-US" w:eastAsia="zh-CN"/>
        </w:rPr>
        <w:t>1</w:t>
      </w:r>
      <w:r>
        <w:rPr>
          <w:rFonts w:hint="eastAsia" w:ascii="宋体" w:hAnsi="宋体" w:eastAsia="宋体" w:cs="宋体"/>
          <w:b w:val="0"/>
          <w:bCs w:val="0"/>
          <w:sz w:val="22"/>
          <w:szCs w:val="22"/>
          <w:highlight w:val="none"/>
        </w:rPr>
        <w:t>.4 逾期上传</w:t>
      </w:r>
      <w:r>
        <w:rPr>
          <w:rFonts w:hint="eastAsia" w:ascii="宋体" w:hAnsi="宋体" w:eastAsia="宋体" w:cs="宋体"/>
          <w:b w:val="0"/>
          <w:bCs w:val="0"/>
          <w:sz w:val="22"/>
          <w:szCs w:val="22"/>
          <w:highlight w:val="none"/>
          <w:lang w:val="en-US" w:eastAsia="zh-CN"/>
        </w:rPr>
        <w:t>或未按照指定平台上传的谈判</w:t>
      </w:r>
      <w:r>
        <w:rPr>
          <w:rFonts w:hint="eastAsia" w:ascii="宋体" w:hAnsi="宋体" w:eastAsia="宋体" w:cs="宋体"/>
          <w:b w:val="0"/>
          <w:bCs w:val="0"/>
          <w:sz w:val="22"/>
          <w:szCs w:val="22"/>
          <w:highlight w:val="none"/>
        </w:rPr>
        <w:t>电子响应文件，将视为无效。</w:t>
      </w:r>
    </w:p>
    <w:p w14:paraId="402EDBDF">
      <w:pPr>
        <w:rPr>
          <w:rFonts w:hint="eastAsia"/>
          <w:highlight w:val="none"/>
        </w:rPr>
      </w:pPr>
    </w:p>
    <w:p w14:paraId="76051BA6">
      <w:pPr>
        <w:pStyle w:val="7"/>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 竞争性谈判响应文件的递交</w:t>
      </w:r>
    </w:p>
    <w:p w14:paraId="19864CEB">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.1供应商在递交</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响应文件以后，在规定的</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截止时间之前,可以撤回已递交的</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响应文件。</w:t>
      </w:r>
    </w:p>
    <w:p w14:paraId="77728EA9">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.2供应商撤回修改的，可在</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截止时间前重新加密上传。</w:t>
      </w:r>
    </w:p>
    <w:p w14:paraId="07F92041">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.3</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截止时间之后，供应商不得补充、修改</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响应文件；</w:t>
      </w:r>
    </w:p>
    <w:p w14:paraId="439630A7">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sz w:val="24"/>
          <w:szCs w:val="24"/>
          <w:highlight w:val="none"/>
        </w:rPr>
      </w:pPr>
      <w:r>
        <w:rPr>
          <w:rFonts w:hint="eastAsia" w:ascii="宋体" w:hAnsi="宋体" w:eastAsia="宋体" w:cs="宋体"/>
          <w:color w:val="auto"/>
          <w:sz w:val="22"/>
          <w:szCs w:val="22"/>
          <w:highlight w:val="none"/>
        </w:rPr>
        <w:t>4.</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.4在</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截止时间至</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有效期满之前，供应商不得撤回其</w:t>
      </w:r>
      <w:r>
        <w:rPr>
          <w:rFonts w:hint="eastAsia" w:ascii="宋体" w:hAnsi="宋体" w:eastAsia="宋体" w:cs="宋体"/>
          <w:b w:val="0"/>
          <w:bCs w:val="0"/>
          <w:sz w:val="22"/>
          <w:szCs w:val="22"/>
          <w:highlight w:val="none"/>
          <w:lang w:val="en-US" w:eastAsia="zh-CN"/>
        </w:rPr>
        <w:t>谈判</w:t>
      </w:r>
      <w:r>
        <w:rPr>
          <w:rFonts w:hint="eastAsia" w:ascii="宋体" w:hAnsi="宋体" w:eastAsia="宋体" w:cs="宋体"/>
          <w:color w:val="auto"/>
          <w:sz w:val="22"/>
          <w:szCs w:val="22"/>
          <w:highlight w:val="none"/>
        </w:rPr>
        <w:t>响应文件。</w:t>
      </w:r>
    </w:p>
    <w:p w14:paraId="747CB28A">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4.2.5 逾期送达的或者未送达指定地点的竞争性谈判响应文件，采购人不予受理。</w:t>
      </w:r>
    </w:p>
    <w:p w14:paraId="01B2AE73">
      <w:pPr>
        <w:pStyle w:val="7"/>
        <w:spacing w:before="0" w:after="0" w:line="360" w:lineRule="auto"/>
        <w:rPr>
          <w:rFonts w:hint="eastAsia" w:ascii="宋体" w:hAnsi="宋体" w:cs="宋体"/>
          <w:sz w:val="22"/>
          <w:szCs w:val="22"/>
          <w:highlight w:val="none"/>
        </w:rPr>
      </w:pPr>
      <w:r>
        <w:rPr>
          <w:rFonts w:hint="eastAsia" w:ascii="宋体" w:hAnsi="宋体" w:cs="宋体"/>
          <w:sz w:val="22"/>
          <w:szCs w:val="22"/>
          <w:highlight w:val="none"/>
          <w:lang w:val="en-US" w:eastAsia="zh-CN"/>
        </w:rPr>
        <w:t>4.3</w:t>
      </w:r>
      <w:r>
        <w:rPr>
          <w:rFonts w:hint="eastAsia" w:ascii="宋体" w:hAnsi="宋体" w:cs="宋体"/>
          <w:sz w:val="22"/>
          <w:szCs w:val="22"/>
          <w:highlight w:val="none"/>
        </w:rPr>
        <w:t>竞争性谈判响应文件的修改与撤回</w:t>
      </w:r>
    </w:p>
    <w:p w14:paraId="1B2A011C">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4.</w:t>
      </w:r>
      <w:r>
        <w:rPr>
          <w:rFonts w:hint="eastAsia" w:ascii="宋体" w:hAnsi="宋体" w:cs="宋体"/>
          <w:sz w:val="22"/>
          <w:szCs w:val="22"/>
          <w:highlight w:val="none"/>
          <w:lang w:val="en-US" w:eastAsia="zh-CN"/>
        </w:rPr>
        <w:t>3</w:t>
      </w:r>
      <w:r>
        <w:rPr>
          <w:rFonts w:hint="eastAsia" w:ascii="宋体" w:hAnsi="宋体" w:cs="宋体"/>
          <w:sz w:val="22"/>
          <w:szCs w:val="22"/>
          <w:highlight w:val="none"/>
        </w:rPr>
        <w:t>.1供应商在递交</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响应文件以后</w:t>
      </w:r>
      <w:r>
        <w:rPr>
          <w:rFonts w:hint="eastAsia" w:ascii="宋体" w:hAnsi="宋体" w:cs="宋体"/>
          <w:sz w:val="22"/>
          <w:szCs w:val="22"/>
          <w:highlight w:val="none"/>
          <w:lang w:eastAsia="zh-CN"/>
        </w:rPr>
        <w:t>，</w:t>
      </w:r>
      <w:r>
        <w:rPr>
          <w:rFonts w:hint="eastAsia" w:ascii="宋体" w:hAnsi="宋体" w:cs="宋体"/>
          <w:sz w:val="22"/>
          <w:szCs w:val="22"/>
          <w:highlight w:val="none"/>
        </w:rPr>
        <w:t>在规定的</w:t>
      </w:r>
      <w:r>
        <w:rPr>
          <w:rFonts w:hint="eastAsia" w:ascii="宋体" w:hAnsi="宋体" w:cs="宋体"/>
          <w:sz w:val="22"/>
          <w:szCs w:val="22"/>
          <w:highlight w:val="none"/>
          <w:lang w:eastAsia="zh-CN"/>
        </w:rPr>
        <w:t>谈判</w:t>
      </w:r>
      <w:r>
        <w:rPr>
          <w:rFonts w:hint="eastAsia" w:ascii="宋体" w:hAnsi="宋体" w:cs="宋体"/>
          <w:sz w:val="22"/>
          <w:szCs w:val="22"/>
          <w:highlight w:val="none"/>
        </w:rPr>
        <w:t>截止时间之前,可以撤回已递交的</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w:t>
      </w:r>
    </w:p>
    <w:p w14:paraId="08C31C70">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4.</w:t>
      </w:r>
      <w:r>
        <w:rPr>
          <w:rFonts w:hint="eastAsia" w:ascii="宋体" w:hAnsi="宋体" w:cs="宋体"/>
          <w:sz w:val="22"/>
          <w:szCs w:val="22"/>
          <w:highlight w:val="none"/>
          <w:lang w:val="en-US" w:eastAsia="zh-CN"/>
        </w:rPr>
        <w:t>3</w:t>
      </w:r>
      <w:r>
        <w:rPr>
          <w:rFonts w:hint="eastAsia" w:ascii="宋体" w:hAnsi="宋体" w:cs="宋体"/>
          <w:sz w:val="22"/>
          <w:szCs w:val="22"/>
          <w:highlight w:val="none"/>
        </w:rPr>
        <w:t>.2供应商撤回修改的</w:t>
      </w:r>
      <w:r>
        <w:rPr>
          <w:rFonts w:hint="eastAsia" w:ascii="宋体" w:hAnsi="宋体" w:cs="宋体"/>
          <w:sz w:val="22"/>
          <w:szCs w:val="22"/>
          <w:highlight w:val="none"/>
          <w:lang w:eastAsia="zh-CN"/>
        </w:rPr>
        <w:t>，</w:t>
      </w:r>
      <w:r>
        <w:rPr>
          <w:rFonts w:hint="eastAsia" w:ascii="宋体" w:hAnsi="宋体" w:cs="宋体"/>
          <w:sz w:val="22"/>
          <w:szCs w:val="22"/>
          <w:highlight w:val="none"/>
        </w:rPr>
        <w:t>可在</w:t>
      </w:r>
      <w:r>
        <w:rPr>
          <w:rFonts w:hint="eastAsia" w:ascii="宋体" w:hAnsi="宋体" w:cs="宋体"/>
          <w:sz w:val="22"/>
          <w:szCs w:val="22"/>
          <w:highlight w:val="none"/>
          <w:lang w:eastAsia="zh-CN"/>
        </w:rPr>
        <w:t>谈判</w:t>
      </w:r>
      <w:r>
        <w:rPr>
          <w:rFonts w:hint="eastAsia" w:ascii="宋体" w:hAnsi="宋体" w:cs="宋体"/>
          <w:sz w:val="22"/>
          <w:szCs w:val="22"/>
          <w:highlight w:val="none"/>
        </w:rPr>
        <w:t>截止时间前重新加密上传。</w:t>
      </w:r>
    </w:p>
    <w:p w14:paraId="0FFF87ED">
      <w:pPr>
        <w:spacing w:line="360" w:lineRule="auto"/>
        <w:ind w:firstLine="440" w:firstLineChars="200"/>
        <w:rPr>
          <w:rFonts w:hint="eastAsia" w:ascii="宋体" w:hAnsi="宋体" w:cs="宋体"/>
          <w:sz w:val="22"/>
          <w:szCs w:val="22"/>
          <w:highlight w:val="none"/>
        </w:rPr>
      </w:pPr>
      <w:r>
        <w:rPr>
          <w:rFonts w:hint="eastAsia" w:ascii="宋体" w:hAnsi="宋体" w:cs="宋体"/>
          <w:sz w:val="22"/>
          <w:szCs w:val="22"/>
          <w:highlight w:val="none"/>
        </w:rPr>
        <w:t>4.</w:t>
      </w:r>
      <w:r>
        <w:rPr>
          <w:rFonts w:hint="eastAsia" w:ascii="宋体" w:hAnsi="宋体" w:cs="宋体"/>
          <w:sz w:val="22"/>
          <w:szCs w:val="22"/>
          <w:highlight w:val="none"/>
          <w:lang w:val="en-US" w:eastAsia="zh-CN"/>
        </w:rPr>
        <w:t>3</w:t>
      </w:r>
      <w:r>
        <w:rPr>
          <w:rFonts w:hint="eastAsia" w:ascii="宋体" w:hAnsi="宋体" w:cs="宋体"/>
          <w:sz w:val="22"/>
          <w:szCs w:val="22"/>
          <w:highlight w:val="none"/>
        </w:rPr>
        <w:t>.3</w:t>
      </w:r>
      <w:r>
        <w:rPr>
          <w:rFonts w:hint="eastAsia" w:ascii="宋体" w:hAnsi="宋体" w:cs="宋体"/>
          <w:sz w:val="22"/>
          <w:szCs w:val="22"/>
          <w:highlight w:val="none"/>
          <w:lang w:eastAsia="zh-CN"/>
        </w:rPr>
        <w:t>谈判</w:t>
      </w:r>
      <w:r>
        <w:rPr>
          <w:rFonts w:hint="eastAsia" w:ascii="宋体" w:hAnsi="宋体" w:cs="宋体"/>
          <w:sz w:val="22"/>
          <w:szCs w:val="22"/>
          <w:highlight w:val="none"/>
        </w:rPr>
        <w:t>截止时间之后</w:t>
      </w:r>
      <w:r>
        <w:rPr>
          <w:rFonts w:hint="eastAsia" w:ascii="宋体" w:hAnsi="宋体" w:cs="宋体"/>
          <w:sz w:val="22"/>
          <w:szCs w:val="22"/>
          <w:highlight w:val="none"/>
          <w:lang w:eastAsia="zh-CN"/>
        </w:rPr>
        <w:t>，</w:t>
      </w:r>
      <w:r>
        <w:rPr>
          <w:rFonts w:hint="eastAsia" w:ascii="宋体" w:hAnsi="宋体" w:cs="宋体"/>
          <w:sz w:val="22"/>
          <w:szCs w:val="22"/>
          <w:highlight w:val="none"/>
        </w:rPr>
        <w:t>供应商不得补充、修改</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w:t>
      </w:r>
    </w:p>
    <w:p w14:paraId="73EE89D7">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highlight w:val="none"/>
        </w:rPr>
      </w:pPr>
      <w:r>
        <w:rPr>
          <w:rFonts w:hint="eastAsia" w:ascii="宋体" w:hAnsi="宋体" w:cs="宋体"/>
          <w:sz w:val="22"/>
          <w:szCs w:val="22"/>
          <w:highlight w:val="none"/>
        </w:rPr>
        <w:t>4.</w:t>
      </w:r>
      <w:r>
        <w:rPr>
          <w:rFonts w:hint="eastAsia" w:ascii="宋体" w:hAnsi="宋体" w:cs="宋体"/>
          <w:sz w:val="22"/>
          <w:szCs w:val="22"/>
          <w:highlight w:val="none"/>
          <w:lang w:val="en-US" w:eastAsia="zh-CN"/>
        </w:rPr>
        <w:t>3</w:t>
      </w:r>
      <w:r>
        <w:rPr>
          <w:rFonts w:hint="eastAsia" w:ascii="宋体" w:hAnsi="宋体" w:cs="宋体"/>
          <w:sz w:val="22"/>
          <w:szCs w:val="22"/>
          <w:highlight w:val="none"/>
        </w:rPr>
        <w:t>.4在</w:t>
      </w:r>
      <w:r>
        <w:rPr>
          <w:rFonts w:hint="eastAsia" w:ascii="宋体" w:hAnsi="宋体" w:cs="宋体"/>
          <w:sz w:val="22"/>
          <w:szCs w:val="22"/>
          <w:highlight w:val="none"/>
          <w:lang w:eastAsia="zh-CN"/>
        </w:rPr>
        <w:t>谈判</w:t>
      </w:r>
      <w:r>
        <w:rPr>
          <w:rFonts w:hint="eastAsia" w:ascii="宋体" w:hAnsi="宋体" w:cs="宋体"/>
          <w:sz w:val="22"/>
          <w:szCs w:val="22"/>
          <w:highlight w:val="none"/>
        </w:rPr>
        <w:t>截止时间至</w:t>
      </w:r>
      <w:r>
        <w:rPr>
          <w:rFonts w:hint="eastAsia" w:ascii="宋体" w:hAnsi="宋体" w:cs="宋体"/>
          <w:sz w:val="22"/>
          <w:szCs w:val="22"/>
          <w:highlight w:val="none"/>
          <w:lang w:eastAsia="zh-CN"/>
        </w:rPr>
        <w:t>谈判</w:t>
      </w:r>
      <w:r>
        <w:rPr>
          <w:rFonts w:hint="eastAsia" w:ascii="宋体" w:hAnsi="宋体" w:cs="宋体"/>
          <w:sz w:val="22"/>
          <w:szCs w:val="22"/>
          <w:highlight w:val="none"/>
        </w:rPr>
        <w:t>有效期满之前</w:t>
      </w:r>
      <w:r>
        <w:rPr>
          <w:rFonts w:hint="eastAsia" w:ascii="宋体" w:hAnsi="宋体" w:cs="宋体"/>
          <w:sz w:val="22"/>
          <w:szCs w:val="22"/>
          <w:highlight w:val="none"/>
          <w:lang w:eastAsia="zh-CN"/>
        </w:rPr>
        <w:t>，</w:t>
      </w:r>
      <w:r>
        <w:rPr>
          <w:rFonts w:hint="eastAsia" w:ascii="宋体" w:hAnsi="宋体" w:cs="宋体"/>
          <w:sz w:val="22"/>
          <w:szCs w:val="22"/>
          <w:highlight w:val="none"/>
        </w:rPr>
        <w:t>供应商不得撤回其</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w:t>
      </w:r>
    </w:p>
    <w:p w14:paraId="663E087B">
      <w:pPr>
        <w:pStyle w:val="6"/>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5.竞争性谈判</w:t>
      </w:r>
      <w:bookmarkEnd w:id="33"/>
      <w:bookmarkEnd w:id="34"/>
      <w:bookmarkEnd w:id="35"/>
      <w:bookmarkEnd w:id="36"/>
    </w:p>
    <w:p w14:paraId="0CB087A5">
      <w:pPr>
        <w:pStyle w:val="7"/>
        <w:keepNext/>
        <w:keepLines/>
        <w:pageBreakBefore w:val="0"/>
        <w:widowControl w:val="0"/>
        <w:kinsoku/>
        <w:wordWrap/>
        <w:overflowPunct/>
        <w:topLinePunct w:val="0"/>
        <w:autoSpaceDE/>
        <w:autoSpaceDN/>
        <w:bidi w:val="0"/>
        <w:adjustRightInd w:val="0"/>
        <w:snapToGrid w:val="0"/>
        <w:spacing w:before="0" w:after="157" w:afterLines="5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5.1 竞争性谈判时间和地点</w:t>
      </w:r>
    </w:p>
    <w:p w14:paraId="66F9D934">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2"/>
          <w:szCs w:val="22"/>
          <w:highlight w:val="none"/>
        </w:rPr>
      </w:pPr>
      <w:r>
        <w:rPr>
          <w:rFonts w:hint="eastAsia" w:ascii="宋体" w:hAnsi="宋体" w:eastAsia="宋体" w:cs="宋体"/>
          <w:sz w:val="21"/>
          <w:szCs w:val="21"/>
          <w:highlight w:val="none"/>
        </w:rPr>
        <w:t>采购人在前附表第2.2.1 项规定的谈判截止时间（竞</w:t>
      </w:r>
      <w:r>
        <w:rPr>
          <w:rFonts w:hint="eastAsia" w:ascii="宋体" w:hAnsi="宋体" w:eastAsia="宋体" w:cs="宋体"/>
          <w:sz w:val="22"/>
          <w:szCs w:val="22"/>
          <w:highlight w:val="none"/>
        </w:rPr>
        <w:t>争性谈判时间）和</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规定的地点公开竞争性谈判，所有供应商的</w:t>
      </w:r>
      <w:r>
        <w:rPr>
          <w:rFonts w:hint="eastAsia" w:ascii="宋体" w:hAnsi="宋体" w:eastAsia="宋体" w:cs="宋体"/>
          <w:sz w:val="22"/>
          <w:szCs w:val="22"/>
          <w:highlight w:val="none"/>
          <w:lang w:eastAsia="zh-CN"/>
        </w:rPr>
        <w:t>法定代表人</w:t>
      </w:r>
      <w:r>
        <w:rPr>
          <w:rFonts w:hint="eastAsia" w:ascii="宋体" w:hAnsi="宋体" w:eastAsia="宋体" w:cs="宋体"/>
          <w:sz w:val="22"/>
          <w:szCs w:val="22"/>
          <w:highlight w:val="none"/>
        </w:rPr>
        <w:t>或其</w:t>
      </w:r>
      <w:r>
        <w:rPr>
          <w:rFonts w:hint="eastAsia" w:ascii="宋体" w:hAnsi="宋体" w:eastAsia="宋体" w:cs="宋体"/>
          <w:sz w:val="21"/>
          <w:szCs w:val="21"/>
          <w:highlight w:val="none"/>
        </w:rPr>
        <w:t>委托代理人应准时参加。</w:t>
      </w:r>
    </w:p>
    <w:p w14:paraId="7D71D718">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5.2 竞争性谈判程序</w:t>
      </w:r>
    </w:p>
    <w:p w14:paraId="54222C35">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bookmarkStart w:id="37" w:name="_Toc324521812"/>
      <w:bookmarkStart w:id="38" w:name="_Toc184635076"/>
      <w:bookmarkStart w:id="39" w:name="_Toc290389703"/>
      <w:bookmarkStart w:id="40" w:name="_Toc321812015"/>
      <w:r>
        <w:rPr>
          <w:rFonts w:hint="eastAsia" w:ascii="宋体" w:hAnsi="宋体" w:eastAsia="宋体" w:cs="宋体"/>
          <w:color w:val="auto"/>
          <w:sz w:val="22"/>
          <w:szCs w:val="22"/>
          <w:highlight w:val="none"/>
        </w:rPr>
        <w:t>5.2.1</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采购代理机构按</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rPr>
        <w:t>文件规定的时间和地点组织</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rPr>
        <w:t>会议。</w:t>
      </w:r>
    </w:p>
    <w:p w14:paraId="3119DBF0">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5.2.2</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所有参会人员应签名报到，以证明其出席。供应商未参加</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rPr>
        <w:t>的，视同认可</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rPr>
        <w:t>结果。</w:t>
      </w:r>
    </w:p>
    <w:p w14:paraId="07B9A519">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5.2.3</w:t>
      </w:r>
      <w:r>
        <w:rPr>
          <w:rFonts w:hint="eastAsia" w:ascii="宋体" w:hAnsi="宋体" w:cs="宋体"/>
          <w:color w:val="auto"/>
          <w:sz w:val="22"/>
          <w:szCs w:val="22"/>
          <w:highlight w:val="none"/>
          <w:lang w:val="en-US" w:eastAsia="zh-CN"/>
        </w:rPr>
        <w:t xml:space="preserve"> </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rPr>
        <w:t>会议由采购代理机构主持。</w:t>
      </w:r>
    </w:p>
    <w:p w14:paraId="273F8F02">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5.2.4</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供应商</w:t>
      </w:r>
      <w:r>
        <w:rPr>
          <w:rFonts w:hint="eastAsia" w:ascii="宋体" w:hAnsi="宋体" w:cs="宋体"/>
          <w:color w:val="auto"/>
          <w:sz w:val="22"/>
          <w:szCs w:val="22"/>
          <w:highlight w:val="none"/>
          <w:lang w:eastAsia="zh-CN"/>
        </w:rPr>
        <w:t>按照不见面开标大厅的流程</w:t>
      </w:r>
      <w:r>
        <w:rPr>
          <w:rFonts w:hint="eastAsia" w:ascii="宋体" w:hAnsi="宋体" w:eastAsia="宋体" w:cs="宋体"/>
          <w:color w:val="auto"/>
          <w:sz w:val="22"/>
          <w:szCs w:val="22"/>
          <w:highlight w:val="none"/>
        </w:rPr>
        <w:t>自行对上传的电子响应文件进行解密。</w:t>
      </w:r>
    </w:p>
    <w:p w14:paraId="52412F67">
      <w:pPr>
        <w:pageBreakBefore w:val="0"/>
        <w:kinsoku/>
        <w:overflowPunct/>
        <w:topLinePunct w:val="0"/>
        <w:autoSpaceDE/>
        <w:autoSpaceDN/>
        <w:bidi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5.2.5</w:t>
      </w:r>
      <w:r>
        <w:rPr>
          <w:rFonts w:hint="eastAsia" w:ascii="宋体" w:hAnsi="宋体" w:cs="宋体"/>
          <w:color w:val="auto"/>
          <w:sz w:val="22"/>
          <w:szCs w:val="22"/>
          <w:highlight w:val="none"/>
          <w:lang w:val="en-US" w:eastAsia="zh-CN"/>
        </w:rPr>
        <w:t xml:space="preserve"> </w:t>
      </w:r>
      <w:r>
        <w:rPr>
          <w:rFonts w:hint="eastAsia" w:ascii="宋体" w:hAnsi="宋体" w:eastAsia="宋体" w:cs="宋体"/>
          <w:sz w:val="22"/>
          <w:szCs w:val="22"/>
          <w:highlight w:val="none"/>
        </w:rPr>
        <w:t>谈判</w:t>
      </w:r>
      <w:r>
        <w:rPr>
          <w:rFonts w:hint="eastAsia" w:ascii="宋体" w:hAnsi="宋体" w:cs="宋体"/>
          <w:color w:val="auto"/>
          <w:sz w:val="22"/>
          <w:szCs w:val="22"/>
          <w:highlight w:val="none"/>
          <w:lang w:val="en-US" w:eastAsia="zh-CN"/>
        </w:rPr>
        <w:t>小组</w:t>
      </w:r>
      <w:r>
        <w:rPr>
          <w:rFonts w:hint="eastAsia" w:ascii="宋体" w:hAnsi="宋体" w:eastAsia="宋体" w:cs="宋体"/>
          <w:color w:val="auto"/>
          <w:sz w:val="22"/>
          <w:szCs w:val="22"/>
          <w:highlight w:val="none"/>
        </w:rPr>
        <w:t>对供应商资格性、符合性进行评审，评审合格后，方可</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rPr>
        <w:t>。</w:t>
      </w:r>
    </w:p>
    <w:p w14:paraId="279D6967">
      <w:pPr>
        <w:pageBreakBefore w:val="0"/>
        <w:kinsoku/>
        <w:overflowPunct/>
        <w:topLinePunct w:val="0"/>
        <w:autoSpaceDE/>
        <w:autoSpaceDN/>
        <w:bidi w:val="0"/>
        <w:spacing w:line="520" w:lineRule="exact"/>
        <w:ind w:firstLine="440" w:firstLineChars="200"/>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5.2.6</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资格性、符合性评审合格的供应商单独与</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rPr>
        <w:t>小组成员进行</w:t>
      </w:r>
      <w:r>
        <w:rPr>
          <w:rFonts w:hint="eastAsia" w:ascii="宋体" w:hAnsi="宋体" w:eastAsia="宋体" w:cs="宋体"/>
          <w:color w:val="auto"/>
          <w:sz w:val="22"/>
          <w:szCs w:val="22"/>
          <w:highlight w:val="none"/>
          <w:lang w:eastAsia="zh-CN"/>
        </w:rPr>
        <w:t>在线</w:t>
      </w:r>
      <w:r>
        <w:rPr>
          <w:rFonts w:hint="eastAsia" w:ascii="宋体" w:hAnsi="宋体" w:eastAsia="宋体" w:cs="宋体"/>
          <w:sz w:val="22"/>
          <w:szCs w:val="22"/>
          <w:highlight w:val="none"/>
        </w:rPr>
        <w:t>谈判</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并进行报价。</w:t>
      </w:r>
    </w:p>
    <w:p w14:paraId="79050A3B">
      <w:pPr>
        <w:pageBreakBefore w:val="0"/>
        <w:kinsoku/>
        <w:overflowPunct/>
        <w:topLinePunct w:val="0"/>
        <w:autoSpaceDE/>
        <w:autoSpaceDN/>
        <w:bidi w:val="0"/>
        <w:spacing w:line="520" w:lineRule="exact"/>
        <w:ind w:firstLine="442" w:firstLineChars="200"/>
        <w:textAlignment w:val="auto"/>
        <w:rPr>
          <w:rFonts w:hint="eastAsia" w:ascii="宋体" w:hAnsi="宋体" w:eastAsia="宋体" w:cs="Times New Roman"/>
          <w:sz w:val="22"/>
          <w:szCs w:val="22"/>
          <w:highlight w:val="none"/>
        </w:rPr>
      </w:pPr>
      <w:r>
        <w:rPr>
          <w:rFonts w:hint="eastAsia" w:ascii="宋体" w:hAnsi="宋体" w:eastAsia="宋体" w:cs="Times New Roman"/>
          <w:b/>
          <w:bCs/>
          <w:sz w:val="22"/>
          <w:szCs w:val="22"/>
          <w:highlight w:val="none"/>
          <w:lang w:val="en-US" w:eastAsia="zh-CN"/>
        </w:rPr>
        <w:t>注：依据《</w:t>
      </w:r>
      <w:r>
        <w:rPr>
          <w:rFonts w:hint="eastAsia" w:ascii="宋体" w:hAnsi="宋体" w:eastAsia="宋体" w:cs="Times New Roman"/>
          <w:b/>
          <w:bCs/>
          <w:sz w:val="22"/>
          <w:szCs w:val="22"/>
          <w:highlight w:val="none"/>
          <w:lang w:val="en-US" w:eastAsia="zh-CN"/>
        </w:rPr>
        <w:fldChar w:fldCharType="begin"/>
      </w:r>
      <w:r>
        <w:rPr>
          <w:rFonts w:hint="eastAsia" w:ascii="宋体" w:hAnsi="宋体" w:eastAsia="宋体" w:cs="Times New Roman"/>
          <w:b/>
          <w:bCs/>
          <w:sz w:val="22"/>
          <w:szCs w:val="22"/>
          <w:highlight w:val="none"/>
          <w:lang w:val="en-US" w:eastAsia="zh-CN"/>
        </w:rPr>
        <w:instrText xml:space="preserve"> HYPERLINK "http://www.baidu.com/link?url=CrSQo8Vva2WMGxF6N5HBN8ZZWxqmcXHRHDzRPpkgbaiOKg0mrXI_YXxO9zPLRnWYXYzpUBvtNspK0zPK6ctOjznsSuTvZ3OIICFoOUjQah6LkAS5-tHHN1DOhz-wYBup" \t "https://www.baidu.com/_blank" </w:instrText>
      </w:r>
      <w:r>
        <w:rPr>
          <w:rFonts w:hint="eastAsia" w:ascii="宋体" w:hAnsi="宋体" w:eastAsia="宋体" w:cs="Times New Roman"/>
          <w:b/>
          <w:bCs/>
          <w:sz w:val="22"/>
          <w:szCs w:val="22"/>
          <w:highlight w:val="none"/>
          <w:lang w:val="en-US" w:eastAsia="zh-CN"/>
        </w:rPr>
        <w:fldChar w:fldCharType="separate"/>
      </w:r>
      <w:r>
        <w:rPr>
          <w:rFonts w:hint="eastAsia" w:ascii="宋体" w:hAnsi="宋体" w:eastAsia="宋体" w:cs="Times New Roman"/>
          <w:b/>
          <w:bCs/>
          <w:sz w:val="22"/>
          <w:szCs w:val="22"/>
          <w:highlight w:val="none"/>
          <w:lang w:val="en-US" w:eastAsia="zh-CN"/>
        </w:rPr>
        <w:t>政府采购非招标采购方式管理办法</w:t>
      </w:r>
      <w:r>
        <w:rPr>
          <w:rFonts w:hint="eastAsia" w:ascii="宋体" w:hAnsi="宋体" w:eastAsia="宋体" w:cs="Times New Roman"/>
          <w:b/>
          <w:bCs/>
          <w:sz w:val="22"/>
          <w:szCs w:val="22"/>
          <w:highlight w:val="none"/>
          <w:lang w:val="en-US" w:eastAsia="zh-CN"/>
        </w:rPr>
        <w:fldChar w:fldCharType="end"/>
      </w:r>
      <w:r>
        <w:rPr>
          <w:rFonts w:hint="eastAsia" w:ascii="宋体" w:hAnsi="宋体" w:eastAsia="宋体" w:cs="Times New Roman"/>
          <w:b/>
          <w:bCs/>
          <w:sz w:val="22"/>
          <w:szCs w:val="22"/>
          <w:highlight w:val="none"/>
          <w:lang w:val="en-US" w:eastAsia="zh-CN"/>
        </w:rPr>
        <w:t>》的规定，为了保证谈判在严格保密的情况下进行，对供应商的首次报价不予公开记录。</w:t>
      </w:r>
    </w:p>
    <w:p w14:paraId="53034409">
      <w:pPr>
        <w:pStyle w:val="6"/>
        <w:keepNext w:val="0"/>
        <w:keepLines w:val="0"/>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w:t>
      </w:r>
      <w:bookmarkEnd w:id="37"/>
      <w:bookmarkEnd w:id="38"/>
      <w:bookmarkEnd w:id="39"/>
      <w:bookmarkEnd w:id="40"/>
      <w:r>
        <w:rPr>
          <w:rFonts w:hint="eastAsia" w:ascii="宋体" w:hAnsi="宋体" w:eastAsia="宋体" w:cs="宋体"/>
          <w:sz w:val="22"/>
          <w:szCs w:val="22"/>
          <w:highlight w:val="none"/>
        </w:rPr>
        <w:t>谈判</w:t>
      </w:r>
    </w:p>
    <w:p w14:paraId="5B7059E1">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6.1 谈判小组</w:t>
      </w:r>
    </w:p>
    <w:p w14:paraId="3FF294A2">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6.1.1按照《中华人民共和国政府采购法》、中华人民共和国2015年第658号国务院令--《中华人民共和国政府采购法实施条例》和中华人民共和国财政部2017年第</w:t>
      </w:r>
      <w:r>
        <w:rPr>
          <w:rFonts w:hint="eastAsia" w:ascii="宋体" w:hAnsi="宋体" w:eastAsia="宋体" w:cs="宋体"/>
          <w:color w:val="auto"/>
          <w:sz w:val="22"/>
          <w:szCs w:val="22"/>
          <w:highlight w:val="none"/>
        </w:rPr>
        <w:t>74号令--《政府采购非招标方式管理办法》的规定，谈判由采购人依法组建的谈判小组负责。谈判小组由评审专家共3人以上单数组成</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其中评审专家人数不得少于谈判小组成员总数的2/3。谈判小组</w:t>
      </w:r>
      <w:r>
        <w:rPr>
          <w:rFonts w:hint="eastAsia" w:ascii="宋体" w:hAnsi="宋体" w:eastAsia="宋体" w:cs="宋体"/>
          <w:sz w:val="22"/>
          <w:szCs w:val="22"/>
          <w:highlight w:val="none"/>
        </w:rPr>
        <w:t>成员人数以及技术、经济等方面专家的确定方式见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0B0DA07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6.1.2 谈判小组成员有下列情形之一的，应当回避：</w:t>
      </w:r>
    </w:p>
    <w:p w14:paraId="5CC8845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（1）参加采购活动前3年内与供应商存在劳动关系； </w:t>
      </w:r>
    </w:p>
    <w:p w14:paraId="66BCB25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（2）参加采购活动前3年内担任供应商的董事、监事；</w:t>
      </w:r>
    </w:p>
    <w:p w14:paraId="01792C2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（3）参加采购活动前3年内是供应商的控股股东或者实际控制人；</w:t>
      </w:r>
    </w:p>
    <w:p w14:paraId="2534690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（4）与供应商的法定代表人或者负责人有夫妻、直系血亲、三代以内旁系血亲或者近姻亲关系； </w:t>
      </w:r>
    </w:p>
    <w:p w14:paraId="6E5BD2B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（5）项目主管部门或者行政监督部门的人员；</w:t>
      </w:r>
    </w:p>
    <w:p w14:paraId="435F0A1C">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（6）采购人就竞争性谈判文件征询过意见的；</w:t>
      </w:r>
    </w:p>
    <w:p w14:paraId="1046529C">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（7）与供应商有其他可能影响政府采购活动公平、公正进行的关系。</w:t>
      </w:r>
    </w:p>
    <w:p w14:paraId="63544F3D">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6.2 谈判原则</w:t>
      </w:r>
    </w:p>
    <w:p w14:paraId="5E5CFFE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谈判活动遵循客观、公正、审慎的原则。</w:t>
      </w:r>
    </w:p>
    <w:p w14:paraId="187D6B07">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6.3 谈判</w:t>
      </w:r>
    </w:p>
    <w:p w14:paraId="3A7ED547">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bookmarkStart w:id="41" w:name="_Toc290389704"/>
      <w:bookmarkStart w:id="42" w:name="_Toc184635077"/>
      <w:bookmarkStart w:id="43" w:name="_Toc321812016"/>
      <w:bookmarkStart w:id="44" w:name="_Toc324521813"/>
      <w:r>
        <w:rPr>
          <w:rFonts w:hint="eastAsia" w:ascii="宋体" w:hAnsi="宋体" w:eastAsia="宋体" w:cs="宋体"/>
          <w:sz w:val="22"/>
          <w:szCs w:val="22"/>
          <w:highlight w:val="none"/>
        </w:rPr>
        <w:t>6.3.1 谈判小组按照第三章“谈判方法”规定的方法、评审因素、标准和程序对竞争性谈判响应文件进行评审。第三章“谈判方法”没有规定的方法、评审因素和标准，不作为评审依据。</w:t>
      </w:r>
    </w:p>
    <w:p w14:paraId="024FC6E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6.3.2 谈判小组成员和与采购活动有关的工作人员不得泄露有关竞争性谈判响应文件的评审和比较、成交候选人的推荐以及与谈判有关的其他情况。</w:t>
      </w:r>
    </w:p>
    <w:p w14:paraId="6842E0A5">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6.3.3 在谈判过程中，如果供应商试图在竞争性谈判响应文件的评审和比较、成交候选人的推荐以及与评审有关的其他方面，向评审小组、采购人和采购代理机构施加任何影响，其谈判响应文件将按照无效谈判处理。</w:t>
      </w:r>
    </w:p>
    <w:p w14:paraId="04419FF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6.3.4 在谈判期间，对竞争性谈判响应文件中含义不明确、同类问题表述不一致或者有明显文字和计算错误的内容，谈判小组可以书面形式（由谈判小组专家签字）要求供应商作出必要的澄清、说明或者纠正。供应商的澄清、说明或者补正应当采用书面形式，由其授权的代表签字，并不得超出竞争性谈判响应文件的范围或者改变竞争性谈判响应文件的实质性内容。</w:t>
      </w:r>
    </w:p>
    <w:p w14:paraId="7ED80E8C">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6.3.5 如果供应商在澄清规定期限内，未能答复或拒绝答复谈判小组提出的澄清要求，将由谈判小组根据其竞争性谈判响应文件按最大风险进行评审。</w:t>
      </w:r>
    </w:p>
    <w:p w14:paraId="28C0E84D">
      <w:pPr>
        <w:pageBreakBefore w:val="0"/>
        <w:widowControl w:val="0"/>
        <w:kinsoku/>
        <w:wordWrap/>
        <w:overflowPunct/>
        <w:topLinePunct w:val="0"/>
        <w:autoSpaceDE/>
        <w:autoSpaceDN/>
        <w:bidi w:val="0"/>
        <w:adjustRightInd w:val="0"/>
        <w:snapToGrid w:val="0"/>
        <w:spacing w:line="520" w:lineRule="exact"/>
        <w:ind w:firstLine="442" w:firstLineChars="200"/>
        <w:textAlignment w:val="auto"/>
        <w:rPr>
          <w:rFonts w:hint="eastAsia" w:ascii="宋体" w:hAnsi="宋体" w:eastAsia="宋体" w:cs="宋体"/>
          <w:sz w:val="22"/>
          <w:szCs w:val="22"/>
          <w:highlight w:val="none"/>
        </w:rPr>
      </w:pPr>
      <w:r>
        <w:rPr>
          <w:rFonts w:hint="eastAsia" w:ascii="宋体" w:hAnsi="宋体" w:eastAsia="宋体" w:cs="宋体"/>
          <w:b/>
          <w:bCs/>
          <w:sz w:val="22"/>
          <w:szCs w:val="22"/>
          <w:highlight w:val="none"/>
        </w:rPr>
        <w:t>6.3.6</w:t>
      </w:r>
      <w:r>
        <w:rPr>
          <w:rFonts w:hint="eastAsia" w:ascii="宋体" w:hAnsi="宋体" w:cs="宋体"/>
          <w:b/>
          <w:bCs/>
          <w:sz w:val="22"/>
          <w:szCs w:val="22"/>
          <w:highlight w:val="none"/>
          <w:lang w:val="en-US" w:eastAsia="zh-CN"/>
        </w:rPr>
        <w:t xml:space="preserve"> </w:t>
      </w:r>
      <w:r>
        <w:rPr>
          <w:rFonts w:hint="eastAsia" w:ascii="宋体" w:hAnsi="宋体" w:eastAsia="宋体" w:cs="宋体"/>
          <w:b/>
          <w:bCs/>
          <w:sz w:val="22"/>
          <w:szCs w:val="22"/>
          <w:highlight w:val="none"/>
        </w:rPr>
        <w:t>在</w:t>
      </w:r>
      <w:r>
        <w:rPr>
          <w:rFonts w:hint="eastAsia" w:ascii="宋体" w:hAnsi="宋体" w:cs="宋体"/>
          <w:b/>
          <w:bCs/>
          <w:sz w:val="22"/>
          <w:szCs w:val="22"/>
          <w:highlight w:val="none"/>
          <w:lang w:val="en-US" w:eastAsia="zh-CN"/>
        </w:rPr>
        <w:t>评审</w:t>
      </w:r>
      <w:r>
        <w:rPr>
          <w:rFonts w:hint="eastAsia" w:ascii="宋体" w:hAnsi="宋体" w:eastAsia="宋体" w:cs="宋体"/>
          <w:b/>
          <w:bCs/>
          <w:sz w:val="22"/>
          <w:szCs w:val="22"/>
          <w:highlight w:val="none"/>
        </w:rPr>
        <w:t>过程中，</w:t>
      </w:r>
      <w:r>
        <w:rPr>
          <w:rFonts w:hint="eastAsia" w:ascii="宋体" w:hAnsi="宋体" w:eastAsia="宋体" w:cs="宋体"/>
          <w:b/>
          <w:bCs/>
          <w:sz w:val="22"/>
          <w:szCs w:val="22"/>
          <w:highlight w:val="none"/>
          <w:lang w:val="en-US" w:eastAsia="zh-CN"/>
        </w:rPr>
        <w:t>谈判报价如果出现第三章6.1条所述情形谈判小组应当启动异常低价投标（响应）审查程序。</w:t>
      </w:r>
    </w:p>
    <w:p w14:paraId="1373FC65">
      <w:pPr>
        <w:pStyle w:val="6"/>
        <w:keepNext w:val="0"/>
        <w:keepLines w:val="0"/>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7.合同授予</w:t>
      </w:r>
      <w:bookmarkEnd w:id="41"/>
      <w:bookmarkEnd w:id="42"/>
      <w:bookmarkEnd w:id="43"/>
      <w:bookmarkEnd w:id="44"/>
    </w:p>
    <w:p w14:paraId="61B00DCC">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 定标程序</w:t>
      </w:r>
    </w:p>
    <w:p w14:paraId="0C8BC37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7.1.1 谈判小组根据谈判方法的规定对供应商进行评审排序，推荐竞争性谈判</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规定数量的成交候选人，作为谈判结果。评审结果由全体谈判小组成员签字确认。</w:t>
      </w:r>
    </w:p>
    <w:p w14:paraId="1F0E3173">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7.1.2</w:t>
      </w:r>
      <w:r>
        <w:rPr>
          <w:rFonts w:hint="eastAsia" w:ascii="宋体" w:hAnsi="宋体" w:eastAsia="宋体" w:cs="宋体"/>
          <w:sz w:val="22"/>
          <w:szCs w:val="22"/>
          <w:highlight w:val="none"/>
          <w:shd w:val="clear" w:color="auto" w:fill="FFFFFF"/>
        </w:rPr>
        <w:t>采购代理机构应当自评审结束之日起2个工作日内将评审报告送交采购人。采购人应当自收到评审报告之日起5个工作日内在评审报告推荐的成交候选人中按顺序确定成交供应商。</w:t>
      </w:r>
    </w:p>
    <w:p w14:paraId="59875BA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7.1.3 成交供应商确定之后，成交结果将在</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规定的媒体予以公告。</w:t>
      </w:r>
    </w:p>
    <w:p w14:paraId="16DFAFB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7.1.4 供应商对成交公告有异议的，应当在成交公告发布之日起七个工作日内，以供应商授权代表签字并加盖供应商印章的质疑函向竞争性谈判采购单位提出质疑。</w:t>
      </w:r>
    </w:p>
    <w:p w14:paraId="3DD4476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7.1.5 书面质疑材料应当包括下列内容：</w:t>
      </w:r>
    </w:p>
    <w:p w14:paraId="7EA48A63">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（1）质疑人的名称、地址及有效联系方式；</w:t>
      </w:r>
    </w:p>
    <w:p w14:paraId="12E66EBA">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（2）被质疑人的名称、地址及有效联系方式；</w:t>
      </w:r>
    </w:p>
    <w:p w14:paraId="328A9B44">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（3）质疑事项的基本事实；</w:t>
      </w:r>
    </w:p>
    <w:p w14:paraId="5BAB887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（4）相关请求及主张；</w:t>
      </w:r>
    </w:p>
    <w:p w14:paraId="6CAE8D2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（5）有效线索和相关证明材料。</w:t>
      </w:r>
    </w:p>
    <w:p w14:paraId="7C978235">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7.1.7 质疑材料必须由供应商法定代表人或者授权代表签字并加盖单位公章，并提供文件规定的相应证明材料，未按上述规定提交的质疑材料不予受理。供应商应保证提出的质疑内容及相应证明材料的真实性及来源的合法性，并承担相应的法律责任。</w:t>
      </w:r>
    </w:p>
    <w:p w14:paraId="62122221">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7.2 成交通知</w:t>
      </w:r>
    </w:p>
    <w:p w14:paraId="2C7218A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7.2.1 在本章第3.3 款规定的谈判有效期内，成交公告发布之日，采购人以书面形式向成交供应商发出成交通知书，同时将成交结果通知未成交的供应商。</w:t>
      </w:r>
    </w:p>
    <w:p w14:paraId="43C31457">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7.2.2 成交通知书对采购人和成交供应商具有同等法律效力。成交通知书发出之后，采购人改变成交结果，或者成交供应商放弃成交，应当承担相应的法律责任。</w:t>
      </w:r>
    </w:p>
    <w:p w14:paraId="50AE5135">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7.3 履约担保</w:t>
      </w:r>
    </w:p>
    <w:p w14:paraId="73EB1856">
      <w:pPr>
        <w:pStyle w:val="7"/>
        <w:pageBreakBefore w:val="0"/>
        <w:widowControl w:val="0"/>
        <w:kinsoku/>
        <w:wordWrap/>
        <w:overflowPunct/>
        <w:topLinePunct w:val="0"/>
        <w:autoSpaceDE/>
        <w:autoSpaceDN/>
        <w:bidi w:val="0"/>
        <w:adjustRightInd w:val="0"/>
        <w:snapToGrid w:val="0"/>
        <w:spacing w:before="0" w:after="0" w:line="520" w:lineRule="exact"/>
        <w:ind w:firstLine="440" w:firstLineChars="200"/>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7.3.1 在签订合同前，供应商应按供应商须知前附表规定的形式、金额或事先经过采购人书面认可的履约担保格式向采购人提交履约担保。采用银行保函时，应由符合供应商须知前附表规定级别的银行开具，所需的费用由供应商承担，供应商应保证银行保函有效。</w:t>
      </w:r>
    </w:p>
    <w:p w14:paraId="17E897ED">
      <w:pPr>
        <w:pStyle w:val="7"/>
        <w:pageBreakBefore w:val="0"/>
        <w:widowControl w:val="0"/>
        <w:kinsoku/>
        <w:wordWrap/>
        <w:overflowPunct/>
        <w:topLinePunct w:val="0"/>
        <w:autoSpaceDE/>
        <w:autoSpaceDN/>
        <w:bidi w:val="0"/>
        <w:adjustRightInd w:val="0"/>
        <w:snapToGrid w:val="0"/>
        <w:spacing w:before="0" w:after="0"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rPr>
        <w:t>7.3.2 供应商不能按本章第7.3.1项要求提交履约担保的，视为放弃成交资格，其谈判保证金不予退还，给采购人造成的损失超过谈判保证金数额的，供应商还应对超过部分予以赔偿。</w:t>
      </w:r>
      <w:r>
        <w:rPr>
          <w:rFonts w:hint="eastAsia" w:ascii="宋体" w:hAnsi="宋体" w:eastAsia="宋体" w:cs="宋体"/>
          <w:color w:val="auto"/>
          <w:sz w:val="22"/>
          <w:szCs w:val="22"/>
          <w:highlight w:val="none"/>
        </w:rPr>
        <w:t>7.4 签订合同</w:t>
      </w:r>
    </w:p>
    <w:p w14:paraId="66EC392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7.4.1 采购人和成交供应商应当自成交通知书发出之日起</w:t>
      </w:r>
      <w:r>
        <w:rPr>
          <w:rFonts w:hint="eastAsia" w:ascii="宋体" w:hAnsi="宋体" w:cs="宋体"/>
          <w:sz w:val="22"/>
          <w:szCs w:val="22"/>
          <w:highlight w:val="none"/>
          <w:lang w:val="en-US" w:eastAsia="zh-CN"/>
        </w:rPr>
        <w:t>25</w:t>
      </w:r>
      <w:r>
        <w:rPr>
          <w:rFonts w:hint="eastAsia" w:ascii="宋体" w:hAnsi="宋体" w:eastAsia="宋体" w:cs="宋体"/>
          <w:sz w:val="22"/>
          <w:szCs w:val="22"/>
          <w:highlight w:val="none"/>
        </w:rPr>
        <w:t>天内，根据竞争性谈判文件和成交供应商的竞争性谈判响应文件订立书面合同。所签订的合同不得对竞争性谈判文件和成交供应商的竞争性谈判响应文件（包括谈判中形成的澄清文件）作实质性修改。成交供应商无正当理由拒签合同的，采购人取消其成交资格；给采购人造成的损失成交供应商予以赔偿。</w:t>
      </w:r>
    </w:p>
    <w:p w14:paraId="42698A03">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7.4.2 发出成交通知书后，采购人无正当理由拒签合同的，给成交供应商造成损失的，应当赔偿损失。</w:t>
      </w:r>
    </w:p>
    <w:p w14:paraId="7B644A5D">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7.4.3采购人自政府采购合同签订之日起2个工作日内，将政府采购合同在省级以上人民政府财政部门指定的媒体上公告，但政府采购合同中涉及国家秘密、商业秘密的内容除外。</w:t>
      </w:r>
    </w:p>
    <w:p w14:paraId="458D9FC5">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7.5 成交合同的履约验收</w:t>
      </w:r>
    </w:p>
    <w:p w14:paraId="383946B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7.5.1 采购人按照政府采购合同规定的技术、服务、安全标准组织对供应商履约情况进行验收</w:t>
      </w:r>
      <w:r>
        <w:rPr>
          <w:rFonts w:hint="eastAsia" w:ascii="宋体" w:hAnsi="宋体" w:eastAsia="宋体" w:cs="宋体"/>
          <w:color w:val="auto"/>
          <w:sz w:val="22"/>
          <w:szCs w:val="22"/>
          <w:highlight w:val="none"/>
        </w:rPr>
        <w:t>，并出具验收书。验收书应当包括每一项技术、服务、安全标准的履约情况。</w:t>
      </w:r>
    </w:p>
    <w:p w14:paraId="327668E9">
      <w:pPr>
        <w:pStyle w:val="6"/>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color w:val="auto"/>
          <w:sz w:val="22"/>
          <w:szCs w:val="22"/>
          <w:highlight w:val="none"/>
        </w:rPr>
      </w:pPr>
      <w:bookmarkStart w:id="45" w:name="_Toc324521814"/>
      <w:bookmarkStart w:id="46" w:name="_Toc290389705"/>
      <w:bookmarkStart w:id="47" w:name="_Toc321812017"/>
      <w:bookmarkStart w:id="48" w:name="_Toc184635078"/>
      <w:r>
        <w:rPr>
          <w:rFonts w:hint="eastAsia" w:ascii="宋体" w:hAnsi="宋体" w:eastAsia="宋体" w:cs="宋体"/>
          <w:color w:val="auto"/>
          <w:sz w:val="22"/>
          <w:szCs w:val="22"/>
          <w:highlight w:val="none"/>
        </w:rPr>
        <w:t>8.重新竞争性谈判</w:t>
      </w:r>
      <w:bookmarkEnd w:id="45"/>
      <w:bookmarkEnd w:id="46"/>
      <w:bookmarkEnd w:id="47"/>
      <w:bookmarkEnd w:id="48"/>
      <w:r>
        <w:rPr>
          <w:rFonts w:hint="eastAsia" w:ascii="宋体" w:hAnsi="宋体" w:eastAsia="宋体" w:cs="宋体"/>
          <w:color w:val="auto"/>
          <w:sz w:val="22"/>
          <w:szCs w:val="22"/>
          <w:highlight w:val="none"/>
        </w:rPr>
        <w:t>或采用其他方式继续采购</w:t>
      </w:r>
    </w:p>
    <w:p w14:paraId="3779F533">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8.1 （1）因情况变化，不再符合规定的竞争性</w:t>
      </w:r>
      <w:r>
        <w:rPr>
          <w:rFonts w:hint="eastAsia" w:ascii="宋体" w:hAnsi="宋体" w:cs="宋体"/>
          <w:color w:val="auto"/>
          <w:sz w:val="22"/>
          <w:szCs w:val="22"/>
          <w:highlight w:val="none"/>
          <w:lang w:eastAsia="zh-CN"/>
        </w:rPr>
        <w:t>谈判</w:t>
      </w:r>
      <w:r>
        <w:rPr>
          <w:rFonts w:hint="eastAsia" w:ascii="宋体" w:hAnsi="宋体" w:eastAsia="宋体" w:cs="宋体"/>
          <w:color w:val="auto"/>
          <w:sz w:val="22"/>
          <w:szCs w:val="22"/>
          <w:highlight w:val="none"/>
        </w:rPr>
        <w:t>采购方式适用情形的；（2）出现影响采购公正的违法、违规行为的；（3）在采购过程中符合要求的供应商或者报价未超过采购预算（设有最高限价的不得超过最高限价)的供应商不足3家的</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但《政府采购非招标采购方式管理办法》第二十七条第二款规定的情形除外，发布项目终止公告并说明原因，重新开展采购活动。</w:t>
      </w:r>
    </w:p>
    <w:p w14:paraId="005D8E4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竞争性谈判响应文件递交截止时间结束后，参加谈判的供应商不足3家，或在谈判期间，出现符合专业条件的供应商或者对竞争性谈判文件作出实质性响应的供应商不足3家情形的，按照《</w:t>
      </w:r>
      <w:r>
        <w:rPr>
          <w:rFonts w:hint="eastAsia" w:ascii="宋体" w:hAnsi="宋体" w:eastAsia="宋体" w:cs="宋体"/>
          <w:color w:val="auto"/>
          <w:sz w:val="22"/>
          <w:szCs w:val="22"/>
          <w:highlight w:val="none"/>
          <w:shd w:val="clear" w:color="auto" w:fill="FFFFFF"/>
        </w:rPr>
        <w:t>政府采购非招标采购方式管理办法</w:t>
      </w:r>
      <w:r>
        <w:rPr>
          <w:rFonts w:hint="eastAsia" w:ascii="宋体" w:hAnsi="宋体" w:eastAsia="宋体" w:cs="宋体"/>
          <w:color w:val="auto"/>
          <w:sz w:val="22"/>
          <w:szCs w:val="22"/>
          <w:highlight w:val="none"/>
        </w:rPr>
        <w:t>》（中华人民共和国财政部第74号令）的规定，发布项目终止公告并说明原因，重新开展采购活动。但项目符合《</w:t>
      </w:r>
      <w:r>
        <w:rPr>
          <w:rFonts w:hint="eastAsia" w:ascii="宋体" w:hAnsi="宋体" w:eastAsia="宋体" w:cs="宋体"/>
          <w:color w:val="auto"/>
          <w:sz w:val="22"/>
          <w:szCs w:val="22"/>
          <w:highlight w:val="none"/>
          <w:shd w:val="clear" w:color="auto" w:fill="FFFFFF"/>
        </w:rPr>
        <w:t>政府采购非招标采购方式管理办法</w:t>
      </w:r>
      <w:r>
        <w:rPr>
          <w:rFonts w:hint="eastAsia" w:ascii="宋体" w:hAnsi="宋体" w:eastAsia="宋体" w:cs="宋体"/>
          <w:color w:val="auto"/>
          <w:sz w:val="22"/>
          <w:szCs w:val="22"/>
          <w:highlight w:val="none"/>
        </w:rPr>
        <w:t>》（中华人民共和国财政部第74号令）符合</w:t>
      </w:r>
      <w:r>
        <w:rPr>
          <w:rFonts w:hint="eastAsia" w:ascii="宋体" w:hAnsi="宋体" w:eastAsia="宋体" w:cs="宋体"/>
          <w:color w:val="auto"/>
          <w:sz w:val="22"/>
          <w:szCs w:val="22"/>
          <w:highlight w:val="none"/>
          <w:shd w:val="clear" w:color="auto" w:fill="FFFFFF"/>
        </w:rPr>
        <w:t>第二十七条第二款规定</w:t>
      </w:r>
      <w:r>
        <w:rPr>
          <w:rFonts w:hint="eastAsia" w:ascii="宋体" w:hAnsi="宋体" w:eastAsia="宋体" w:cs="宋体"/>
          <w:color w:val="auto"/>
          <w:sz w:val="22"/>
          <w:szCs w:val="22"/>
          <w:highlight w:val="none"/>
        </w:rPr>
        <w:t>的可以继续谈判。</w:t>
      </w:r>
    </w:p>
    <w:p w14:paraId="4EAF86AF">
      <w:pPr>
        <w:pStyle w:val="6"/>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color w:val="auto"/>
          <w:sz w:val="22"/>
          <w:szCs w:val="22"/>
          <w:highlight w:val="none"/>
        </w:rPr>
      </w:pPr>
      <w:bookmarkStart w:id="49" w:name="_Toc324521815"/>
      <w:bookmarkStart w:id="50" w:name="_Toc321812018"/>
      <w:bookmarkStart w:id="51" w:name="_Toc290389706"/>
      <w:bookmarkStart w:id="52" w:name="_Toc184635079"/>
      <w:r>
        <w:rPr>
          <w:rFonts w:hint="eastAsia" w:ascii="宋体" w:hAnsi="宋体" w:eastAsia="宋体" w:cs="宋体"/>
          <w:color w:val="auto"/>
          <w:sz w:val="22"/>
          <w:szCs w:val="22"/>
          <w:highlight w:val="none"/>
        </w:rPr>
        <w:t>9.纪律和监督</w:t>
      </w:r>
      <w:bookmarkEnd w:id="49"/>
      <w:bookmarkEnd w:id="50"/>
      <w:bookmarkEnd w:id="51"/>
      <w:bookmarkEnd w:id="52"/>
    </w:p>
    <w:p w14:paraId="4871AD9B">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9.1 对采购人的纪律要求</w:t>
      </w:r>
    </w:p>
    <w:p w14:paraId="479C183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采购人不得泄漏竞争性谈判活动中应当保密的情况和资料，不得与供应</w:t>
      </w:r>
      <w:r>
        <w:rPr>
          <w:rFonts w:hint="eastAsia" w:ascii="宋体" w:hAnsi="宋体" w:eastAsia="宋体" w:cs="宋体"/>
          <w:sz w:val="22"/>
          <w:szCs w:val="22"/>
          <w:highlight w:val="none"/>
        </w:rPr>
        <w:t>商串通损害国家利益、社会公共利益或者他人合法权益。</w:t>
      </w:r>
    </w:p>
    <w:p w14:paraId="28BB3E33">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9.2 对供应商的纪律要求</w:t>
      </w:r>
    </w:p>
    <w:p w14:paraId="29C5FBC8">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供应商不得相互串通谈判或者与采购人串通谈判，不得向采购人或者谈判小组成员行贿谋取成交，不得以他人名义谈判或者以其他方式弄虚作假骗取成交；供应商不得以任何方式干扰、影响谈判工作。</w:t>
      </w:r>
    </w:p>
    <w:p w14:paraId="1547BE67">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9.3 对谈判小组成员的纪律要求</w:t>
      </w:r>
    </w:p>
    <w:p w14:paraId="078D9238">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谈判小组成员不得收受他人的财物或者其他好处，不得向他人透漏对竞争性谈判响应文件的评审和比较、成交候选人的推荐情况以及谈判有关的其他情况。在谈判活动中，谈判小组成员不得擅离职守，影响谈判程序正常进行，不得使用第三章“谈判方法”没有规定的评审因素和标准进行评审。</w:t>
      </w:r>
    </w:p>
    <w:p w14:paraId="79201BC6">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9.4 对与竞争性谈判活动有关的工作人员的纪律要求</w:t>
      </w:r>
    </w:p>
    <w:p w14:paraId="7ACC5C26">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与谈判活动有关的工作人员不得收受他人的财物或者其他好处，不得向他人透漏对竞争性谈判响应文件的评审和比较、成交候选人的推荐情况以及谈判有关的其他情况。在谈判活动中，与谈判活动有关的工作人员不得擅离职守，影响谈判程序正常进行。</w:t>
      </w:r>
    </w:p>
    <w:p w14:paraId="6CD2C56A">
      <w:pPr>
        <w:pStyle w:val="7"/>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9.5 质疑和投诉</w:t>
      </w:r>
    </w:p>
    <w:p w14:paraId="16F9A1C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9.5.1 质疑。供应商认为采购文件、采购过程和成交、成交结果使自己的权益受到损害的，可以在知道或者应知其权益受到损害之日起七个工作日内，以书面形式向采购人提出质疑。采购人委托采购代理机构采购的，供应商可以向采购代理机构提出询问或者质疑。</w:t>
      </w:r>
    </w:p>
    <w:p w14:paraId="7E5250BB">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采购人或者采购代理机构应当在3个工作日内对供应商依法提出的询问作出答复。</w:t>
      </w:r>
    </w:p>
    <w:p w14:paraId="6ACEC50B">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供应商应知其权益受到损害之日，是指：</w:t>
      </w:r>
    </w:p>
    <w:p w14:paraId="0CDCCA11">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（1）对可以质疑的采购文件提出质疑的，为收到采购文件之日或者采购文件公告期限届满之日；</w:t>
      </w:r>
    </w:p>
    <w:p w14:paraId="3B6C8BE8">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（2）对采购过程提出质疑的，为各采购程序环节结束之日；</w:t>
      </w:r>
    </w:p>
    <w:p w14:paraId="1AF8258E">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（3）对成交或者成交结果提出质疑的，为成交或者成交结果公告期限届满之日。</w:t>
      </w:r>
    </w:p>
    <w:p w14:paraId="500961C9">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9.5.2 投诉。质疑供应商对采购人、采购代理机构的答复不满意或者采购人、采购代理机构未在规定的时间内作出答复的，可以在答复期满后十五个工作日内向同级政府采购监督管理部门投诉。政府采购监督管理部门应当在收到投诉后三十个工作日内，对投诉事项作出处理决定，并以书面形式通知投诉人和与投诉事项有关的当事人。</w:t>
      </w:r>
    </w:p>
    <w:p w14:paraId="55156C6F">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9.5.3 供应商质疑、投诉应当有明确的请求和必要的证明材料。供应商投诉的事项不得超出已质疑事项的范围。</w:t>
      </w:r>
    </w:p>
    <w:p w14:paraId="0DC1E75D">
      <w:pPr>
        <w:keepNext w:val="0"/>
        <w:keepLines w:val="0"/>
        <w:pageBreakBefore w:val="0"/>
        <w:widowControl w:val="0"/>
        <w:kinsoku/>
        <w:wordWrap/>
        <w:overflowPunct/>
        <w:topLinePunct w:val="0"/>
        <w:autoSpaceDE/>
        <w:autoSpaceDN/>
        <w:bidi w:val="0"/>
        <w:adjustRightInd/>
        <w:snapToGrid/>
        <w:spacing w:line="420" w:lineRule="exact"/>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质疑联系：</w:t>
      </w:r>
    </w:p>
    <w:p w14:paraId="4248F998">
      <w:pPr>
        <w:keepNext w:val="0"/>
        <w:keepLines w:val="0"/>
        <w:pageBreakBefore w:val="0"/>
        <w:widowControl w:val="0"/>
        <w:kinsoku/>
        <w:wordWrap/>
        <w:overflowPunct/>
        <w:topLinePunct w:val="0"/>
        <w:autoSpaceDE/>
        <w:autoSpaceDN/>
        <w:bidi w:val="0"/>
        <w:adjustRightInd/>
        <w:snapToGrid/>
        <w:spacing w:line="420" w:lineRule="exact"/>
        <w:ind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1.代理机构  联系人： 杨工       联系电话：0917-3235808</w:t>
      </w:r>
    </w:p>
    <w:p w14:paraId="6FC7B212">
      <w:pPr>
        <w:pStyle w:val="2"/>
        <w:keepNext w:val="0"/>
        <w:keepLines w:val="0"/>
        <w:pageBreakBefore w:val="0"/>
        <w:widowControl w:val="0"/>
        <w:kinsoku/>
        <w:wordWrap/>
        <w:overflowPunct/>
        <w:topLinePunct w:val="0"/>
        <w:autoSpaceDE/>
        <w:autoSpaceDN/>
        <w:bidi w:val="0"/>
        <w:adjustRightInd/>
        <w:snapToGrid/>
        <w:ind w:left="0" w:leftChars="0" w:firstLine="440" w:firstLineChars="200"/>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 xml:space="preserve">2.采购人    联系人： </w:t>
      </w:r>
      <w:r>
        <w:rPr>
          <w:rFonts w:hint="eastAsia" w:ascii="宋体" w:hAnsi="宋体" w:cs="宋体"/>
          <w:b w:val="0"/>
          <w:bCs w:val="0"/>
          <w:color w:val="auto"/>
          <w:kern w:val="2"/>
          <w:sz w:val="22"/>
          <w:szCs w:val="22"/>
          <w:highlight w:val="none"/>
          <w:lang w:val="en-US" w:eastAsia="zh-CN" w:bidi="ar-SA"/>
        </w:rPr>
        <w:t>陈</w:t>
      </w:r>
      <w:r>
        <w:rPr>
          <w:rFonts w:hint="eastAsia" w:ascii="宋体" w:hAnsi="宋体" w:eastAsia="宋体" w:cs="宋体"/>
          <w:b w:val="0"/>
          <w:bCs w:val="0"/>
          <w:color w:val="auto"/>
          <w:kern w:val="2"/>
          <w:sz w:val="22"/>
          <w:szCs w:val="22"/>
          <w:highlight w:val="none"/>
          <w:lang w:val="en-US" w:eastAsia="zh-CN" w:bidi="ar-SA"/>
        </w:rPr>
        <w:t>工       联系电话：</w:t>
      </w:r>
      <w:r>
        <w:rPr>
          <w:rFonts w:hint="eastAsia" w:ascii="宋体" w:hAnsi="宋体" w:eastAsia="宋体" w:cs="宋体"/>
          <w:color w:val="auto"/>
          <w:kern w:val="0"/>
          <w:sz w:val="22"/>
          <w:szCs w:val="22"/>
          <w:highlight w:val="none"/>
        </w:rPr>
        <w:t>0917-7962012</w:t>
      </w:r>
    </w:p>
    <w:p w14:paraId="38235810">
      <w:pPr>
        <w:keepNext w:val="0"/>
        <w:keepLines w:val="0"/>
        <w:pageBreakBefore w:val="0"/>
        <w:widowControl/>
        <w:kinsoku/>
        <w:overflowPunct/>
        <w:topLinePunct w:val="0"/>
        <w:autoSpaceDE/>
        <w:autoSpaceDN/>
        <w:bidi w:val="0"/>
        <w:adjustRightInd/>
        <w:snapToGrid/>
        <w:spacing w:line="360" w:lineRule="auto"/>
        <w:ind w:firstLine="440" w:firstLineChars="200"/>
        <w:jc w:val="left"/>
        <w:rPr>
          <w:rFonts w:hint="eastAsia"/>
          <w:color w:val="auto"/>
          <w:highlight w:val="none"/>
        </w:rPr>
      </w:pPr>
      <w:r>
        <w:rPr>
          <w:rFonts w:hint="eastAsia" w:ascii="宋体" w:hAnsi="宋体" w:eastAsia="宋体" w:cs="宋体"/>
          <w:b w:val="0"/>
          <w:bCs w:val="0"/>
          <w:color w:val="auto"/>
          <w:kern w:val="2"/>
          <w:sz w:val="22"/>
          <w:szCs w:val="22"/>
          <w:highlight w:val="none"/>
          <w:lang w:val="en-US" w:eastAsia="zh-CN" w:bidi="ar-SA"/>
        </w:rPr>
        <w:t>投诉渠道：宝鸡市麟游县财政局采购股  0917-7963552。</w:t>
      </w:r>
    </w:p>
    <w:p w14:paraId="07041B16">
      <w:pPr>
        <w:pStyle w:val="6"/>
        <w:pageBreakBefore w:val="0"/>
        <w:widowControl w:val="0"/>
        <w:kinsoku/>
        <w:wordWrap/>
        <w:overflowPunct/>
        <w:topLinePunct w:val="0"/>
        <w:autoSpaceDE/>
        <w:autoSpaceDN/>
        <w:bidi w:val="0"/>
        <w:adjustRightInd w:val="0"/>
        <w:snapToGrid w:val="0"/>
        <w:spacing w:before="0" w:after="0" w:line="520" w:lineRule="exact"/>
        <w:textAlignment w:val="auto"/>
        <w:rPr>
          <w:rFonts w:hint="eastAsia" w:ascii="宋体" w:hAnsi="宋体" w:eastAsia="宋体" w:cs="宋体"/>
          <w:sz w:val="22"/>
          <w:szCs w:val="22"/>
          <w:highlight w:val="none"/>
        </w:rPr>
      </w:pPr>
      <w:bookmarkStart w:id="53" w:name="_Toc321812019"/>
      <w:bookmarkStart w:id="54" w:name="_Toc184635080"/>
      <w:bookmarkStart w:id="55" w:name="_Toc324521816"/>
      <w:bookmarkStart w:id="56" w:name="_Toc290389707"/>
      <w:r>
        <w:rPr>
          <w:rFonts w:hint="eastAsia" w:ascii="宋体" w:hAnsi="宋体" w:eastAsia="宋体" w:cs="宋体"/>
          <w:sz w:val="22"/>
          <w:szCs w:val="22"/>
          <w:highlight w:val="none"/>
        </w:rPr>
        <w:t>10.需要补充的其他内容</w:t>
      </w:r>
      <w:bookmarkEnd w:id="53"/>
      <w:bookmarkEnd w:id="54"/>
      <w:bookmarkEnd w:id="55"/>
      <w:bookmarkEnd w:id="56"/>
    </w:p>
    <w:p w14:paraId="5503DB37">
      <w:pPr>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需要补充的其他内容：见</w:t>
      </w:r>
      <w:r>
        <w:rPr>
          <w:rFonts w:hint="eastAsia" w:ascii="宋体" w:hAnsi="宋体" w:cs="宋体"/>
          <w:sz w:val="22"/>
          <w:szCs w:val="22"/>
          <w:highlight w:val="none"/>
          <w:lang w:eastAsia="zh-CN"/>
        </w:rPr>
        <w:t>供应商须知前附表</w:t>
      </w:r>
      <w:r>
        <w:rPr>
          <w:rFonts w:hint="eastAsia" w:ascii="宋体" w:hAnsi="宋体" w:eastAsia="宋体" w:cs="宋体"/>
          <w:sz w:val="22"/>
          <w:szCs w:val="22"/>
          <w:highlight w:val="none"/>
        </w:rPr>
        <w:t>。</w:t>
      </w:r>
    </w:p>
    <w:p w14:paraId="00BADCF3">
      <w:pPr>
        <w:pageBreakBefore w:val="0"/>
        <w:kinsoku/>
        <w:overflowPunct/>
        <w:topLinePunct w:val="0"/>
        <w:autoSpaceDE/>
        <w:autoSpaceDN/>
        <w:bidi w:val="0"/>
        <w:spacing w:line="520" w:lineRule="exact"/>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br w:type="page"/>
      </w:r>
    </w:p>
    <w:p w14:paraId="21234FDE">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baseline"/>
        <w:outlineLvl w:val="2"/>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附件一：</w:t>
      </w:r>
    </w:p>
    <w:p w14:paraId="066361BE">
      <w:pPr>
        <w:snapToGrid/>
        <w:spacing w:before="120" w:beforeAutospacing="0" w:after="120" w:afterAutospacing="0" w:line="360" w:lineRule="auto"/>
        <w:jc w:val="center"/>
        <w:textAlignment w:val="baseline"/>
        <w:rPr>
          <w:rFonts w:ascii="宋体" w:hAnsi="宋体"/>
          <w:b/>
          <w:i w:val="0"/>
          <w:caps w:val="0"/>
          <w:color w:val="auto"/>
          <w:spacing w:val="0"/>
          <w:w w:val="100"/>
          <w:kern w:val="2"/>
          <w:sz w:val="22"/>
          <w:szCs w:val="22"/>
          <w:highlight w:val="none"/>
          <w:lang w:val="en-US" w:eastAsia="zh-CN" w:bidi="ar-SA"/>
        </w:rPr>
      </w:pPr>
      <w:r>
        <w:rPr>
          <w:rFonts w:ascii="宋体" w:hAnsi="宋体"/>
          <w:b/>
          <w:i w:val="0"/>
          <w:caps w:val="0"/>
          <w:color w:val="auto"/>
          <w:spacing w:val="0"/>
          <w:w w:val="100"/>
          <w:kern w:val="2"/>
          <w:sz w:val="22"/>
          <w:szCs w:val="22"/>
          <w:highlight w:val="none"/>
          <w:lang w:val="en-US" w:eastAsia="zh-CN" w:bidi="ar-SA"/>
        </w:rPr>
        <w:t>政府采购投标担保函 （项目用）</w:t>
      </w:r>
    </w:p>
    <w:p w14:paraId="60E710EE">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720"/>
        <w:jc w:val="left"/>
        <w:textAlignment w:val="baseline"/>
        <w:rPr>
          <w:rFonts w:ascii="微软雅黑" w:hAnsi="微软雅黑" w:eastAsia="微软雅黑" w:cs="Times New Roman"/>
          <w:b w:val="0"/>
          <w:i w:val="0"/>
          <w:caps w:val="0"/>
          <w:color w:val="auto"/>
          <w:spacing w:val="0"/>
          <w:w w:val="100"/>
          <w:kern w:val="0"/>
          <w:sz w:val="22"/>
          <w:szCs w:val="22"/>
          <w:highlight w:val="none"/>
          <w:lang w:val="en-US" w:eastAsia="zh-CN" w:bidi="ar-SA"/>
        </w:rPr>
      </w:pPr>
      <w:r>
        <w:rPr>
          <w:rFonts w:ascii="宋体" w:hAnsi="宋体" w:eastAsia="宋体" w:cs="Times New Roman"/>
          <w:b w:val="0"/>
          <w:i w:val="0"/>
          <w:caps w:val="0"/>
          <w:color w:val="auto"/>
          <w:spacing w:val="0"/>
          <w:w w:val="100"/>
          <w:kern w:val="0"/>
          <w:sz w:val="22"/>
          <w:szCs w:val="22"/>
          <w:highlight w:val="none"/>
          <w:lang w:val="en-US" w:eastAsia="zh-CN" w:bidi="ar-SA"/>
        </w:rPr>
        <w:t>编号：</w:t>
      </w:r>
    </w:p>
    <w:p w14:paraId="095A7632">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420"/>
        <w:jc w:val="left"/>
        <w:textAlignment w:val="baseline"/>
        <w:rPr>
          <w:rFonts w:ascii="微软雅黑" w:hAnsi="微软雅黑" w:eastAsia="微软雅黑" w:cs="Times New Roman"/>
          <w:b w:val="0"/>
          <w:i w:val="0"/>
          <w:caps w:val="0"/>
          <w:color w:val="auto"/>
          <w:spacing w:val="0"/>
          <w:w w:val="100"/>
          <w:kern w:val="0"/>
          <w:sz w:val="22"/>
          <w:szCs w:val="22"/>
          <w:highlight w:val="none"/>
          <w:lang w:val="en-US" w:eastAsia="zh-CN" w:bidi="ar-SA"/>
        </w:rPr>
      </w:pPr>
      <w:r>
        <w:rPr>
          <w:rFonts w:ascii="宋体" w:hAnsi="宋体" w:eastAsia="宋体" w:cs="Times New Roman"/>
          <w:b w:val="0"/>
          <w:i w:val="0"/>
          <w:caps w:val="0"/>
          <w:color w:val="auto"/>
          <w:spacing w:val="0"/>
          <w:w w:val="100"/>
          <w:kern w:val="0"/>
          <w:sz w:val="22"/>
          <w:szCs w:val="22"/>
          <w:highlight w:val="none"/>
          <w:u w:val="single" w:color="000000"/>
          <w:lang w:val="en-US" w:eastAsia="zh-CN" w:bidi="ar-SA"/>
        </w:rPr>
        <w:t>           </w:t>
      </w:r>
      <w:r>
        <w:rPr>
          <w:rFonts w:ascii="宋体" w:hAnsi="宋体" w:eastAsia="宋体" w:cs="Times New Roman"/>
          <w:b w:val="0"/>
          <w:i w:val="0"/>
          <w:caps w:val="0"/>
          <w:color w:val="auto"/>
          <w:spacing w:val="0"/>
          <w:w w:val="100"/>
          <w:kern w:val="0"/>
          <w:sz w:val="22"/>
          <w:szCs w:val="22"/>
          <w:highlight w:val="none"/>
          <w:lang w:val="en-US" w:eastAsia="zh-CN" w:bidi="ar-SA"/>
        </w:rPr>
        <w:t>（采购人或采购代理机构）：</w:t>
      </w:r>
    </w:p>
    <w:p w14:paraId="6E1A1684">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鉴于</w:t>
      </w:r>
      <w:r>
        <w:rPr>
          <w:color w:val="auto"/>
          <w:sz w:val="22"/>
          <w:szCs w:val="22"/>
          <w:highlight w:val="none"/>
          <w:u w:val="single"/>
          <w:lang w:val="en-US" w:eastAsia="zh-CN"/>
        </w:rPr>
        <w:t>               </w:t>
      </w:r>
      <w:r>
        <w:rPr>
          <w:color w:val="auto"/>
          <w:sz w:val="22"/>
          <w:szCs w:val="22"/>
          <w:highlight w:val="none"/>
          <w:lang w:val="en-US" w:eastAsia="zh-CN"/>
        </w:rPr>
        <w:t>（以下简称“</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”）拟参加编号为</w:t>
      </w:r>
      <w:r>
        <w:rPr>
          <w:color w:val="auto"/>
          <w:sz w:val="22"/>
          <w:szCs w:val="22"/>
          <w:highlight w:val="none"/>
          <w:u w:val="single"/>
          <w:lang w:val="en-US" w:eastAsia="zh-CN"/>
        </w:rPr>
        <w:t>            </w:t>
      </w:r>
      <w:r>
        <w:rPr>
          <w:color w:val="auto"/>
          <w:sz w:val="22"/>
          <w:szCs w:val="22"/>
          <w:highlight w:val="none"/>
          <w:lang w:val="en-US" w:eastAsia="zh-CN"/>
        </w:rPr>
        <w:t>的</w:t>
      </w:r>
      <w:r>
        <w:rPr>
          <w:color w:val="auto"/>
          <w:sz w:val="22"/>
          <w:szCs w:val="22"/>
          <w:highlight w:val="none"/>
          <w:u w:val="single"/>
          <w:lang w:val="en-US" w:eastAsia="zh-CN"/>
        </w:rPr>
        <w:t>          </w:t>
      </w:r>
      <w:r>
        <w:rPr>
          <w:color w:val="auto"/>
          <w:sz w:val="22"/>
          <w:szCs w:val="22"/>
          <w:highlight w:val="none"/>
          <w:lang w:val="en-US" w:eastAsia="zh-CN"/>
        </w:rPr>
        <w:t>项目（以下简称“本项目”）</w:t>
      </w:r>
      <w:r>
        <w:rPr>
          <w:rFonts w:hint="eastAsia" w:ascii="Times New Roman" w:eastAsia="宋体"/>
          <w:color w:val="auto"/>
          <w:sz w:val="22"/>
          <w:szCs w:val="22"/>
          <w:highlight w:val="none"/>
          <w:lang w:val="en-US" w:eastAsia="zh-CN"/>
        </w:rPr>
        <w:t>谈判</w:t>
      </w:r>
      <w:r>
        <w:rPr>
          <w:color w:val="auto"/>
          <w:sz w:val="22"/>
          <w:szCs w:val="22"/>
          <w:highlight w:val="none"/>
          <w:lang w:val="en-US" w:eastAsia="zh-CN"/>
        </w:rPr>
        <w:t>，根据本项目</w:t>
      </w:r>
      <w:r>
        <w:rPr>
          <w:rFonts w:hint="eastAsia" w:ascii="Times New Roman" w:eastAsia="宋体"/>
          <w:color w:val="auto"/>
          <w:sz w:val="22"/>
          <w:szCs w:val="22"/>
          <w:highlight w:val="none"/>
          <w:lang w:val="en-US" w:eastAsia="zh-CN"/>
        </w:rPr>
        <w:t>竞争性谈判</w:t>
      </w:r>
      <w:r>
        <w:rPr>
          <w:color w:val="auto"/>
          <w:sz w:val="22"/>
          <w:szCs w:val="22"/>
          <w:highlight w:val="none"/>
          <w:lang w:val="en-US" w:eastAsia="zh-CN"/>
        </w:rPr>
        <w:t>，供应商参加</w:t>
      </w:r>
      <w:r>
        <w:rPr>
          <w:rFonts w:hint="eastAsia" w:ascii="Times New Roman" w:eastAsia="宋体"/>
          <w:color w:val="auto"/>
          <w:sz w:val="22"/>
          <w:szCs w:val="22"/>
          <w:highlight w:val="none"/>
          <w:lang w:val="en-US" w:eastAsia="zh-CN"/>
        </w:rPr>
        <w:t>谈判</w:t>
      </w:r>
      <w:r>
        <w:rPr>
          <w:color w:val="auto"/>
          <w:sz w:val="22"/>
          <w:szCs w:val="22"/>
          <w:highlight w:val="none"/>
          <w:lang w:val="en-US" w:eastAsia="zh-CN"/>
        </w:rPr>
        <w:t>时应向你方交纳</w:t>
      </w:r>
      <w:r>
        <w:rPr>
          <w:rFonts w:hint="eastAsia" w:ascii="Times New Roman" w:eastAsia="宋体"/>
          <w:color w:val="auto"/>
          <w:sz w:val="22"/>
          <w:szCs w:val="22"/>
          <w:highlight w:val="none"/>
          <w:lang w:val="en-US" w:eastAsia="zh-CN"/>
        </w:rPr>
        <w:t>谈判</w:t>
      </w:r>
      <w:r>
        <w:rPr>
          <w:color w:val="auto"/>
          <w:sz w:val="22"/>
          <w:szCs w:val="22"/>
          <w:highlight w:val="none"/>
          <w:lang w:val="en-US" w:eastAsia="zh-CN"/>
        </w:rPr>
        <w:t>保证金，且可以投标担保函的形式交纳</w:t>
      </w:r>
      <w:r>
        <w:rPr>
          <w:rFonts w:hint="eastAsia" w:ascii="Times New Roman" w:eastAsia="宋体"/>
          <w:color w:val="auto"/>
          <w:sz w:val="22"/>
          <w:szCs w:val="22"/>
          <w:highlight w:val="none"/>
          <w:lang w:val="en-US" w:eastAsia="zh-CN"/>
        </w:rPr>
        <w:t>谈判</w:t>
      </w:r>
      <w:r>
        <w:rPr>
          <w:color w:val="auto"/>
          <w:sz w:val="22"/>
          <w:szCs w:val="22"/>
          <w:highlight w:val="none"/>
          <w:lang w:val="en-US" w:eastAsia="zh-CN"/>
        </w:rPr>
        <w:t>保证金。应供应商的申请，我方以保证的方式向你方提供如下</w:t>
      </w:r>
      <w:r>
        <w:rPr>
          <w:rFonts w:hint="eastAsia" w:ascii="Times New Roman" w:eastAsia="宋体"/>
          <w:color w:val="auto"/>
          <w:sz w:val="22"/>
          <w:szCs w:val="22"/>
          <w:highlight w:val="none"/>
          <w:lang w:val="en-US" w:eastAsia="zh-CN"/>
        </w:rPr>
        <w:t>谈判</w:t>
      </w:r>
      <w:r>
        <w:rPr>
          <w:color w:val="auto"/>
          <w:sz w:val="22"/>
          <w:szCs w:val="22"/>
          <w:highlight w:val="none"/>
          <w:lang w:val="en-US" w:eastAsia="zh-CN"/>
        </w:rPr>
        <w:t>保证金担保：</w:t>
      </w:r>
    </w:p>
    <w:p w14:paraId="079D932B">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一、保证责任的情形及保证金额</w:t>
      </w:r>
    </w:p>
    <w:p w14:paraId="1818102D">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（一）在</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出现下列情形之一时，我方承担保证责任：</w:t>
      </w:r>
    </w:p>
    <w:p w14:paraId="104166C1">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1．</w:t>
      </w:r>
      <w:r>
        <w:rPr>
          <w:rFonts w:hint="eastAsia" w:ascii="Times New Roman" w:eastAsia="宋体"/>
          <w:color w:val="auto"/>
          <w:sz w:val="22"/>
          <w:szCs w:val="22"/>
          <w:highlight w:val="none"/>
          <w:lang w:val="en-US" w:eastAsia="zh-CN"/>
        </w:rPr>
        <w:t>成交</w:t>
      </w:r>
      <w:r>
        <w:rPr>
          <w:color w:val="auto"/>
          <w:sz w:val="22"/>
          <w:szCs w:val="22"/>
          <w:highlight w:val="none"/>
          <w:lang w:val="en-US" w:eastAsia="zh-CN"/>
        </w:rPr>
        <w:t>后</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无正当理由不与采购人或者采购代理机构签订《政府采购合同》；</w:t>
      </w:r>
    </w:p>
    <w:p w14:paraId="7848FE8C">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2．</w:t>
      </w:r>
      <w:r>
        <w:rPr>
          <w:rFonts w:hint="eastAsia" w:ascii="Times New Roman" w:eastAsia="宋体"/>
          <w:color w:val="auto"/>
          <w:sz w:val="22"/>
          <w:szCs w:val="22"/>
          <w:highlight w:val="none"/>
          <w:lang w:val="en-US" w:eastAsia="zh-CN"/>
        </w:rPr>
        <w:t>竞争性谈判</w:t>
      </w:r>
      <w:r>
        <w:rPr>
          <w:color w:val="auto"/>
          <w:sz w:val="22"/>
          <w:szCs w:val="22"/>
          <w:highlight w:val="none"/>
          <w:lang w:val="en-US" w:eastAsia="zh-CN"/>
        </w:rPr>
        <w:t>规定的</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应当缴纳保证金的其他情形。</w:t>
      </w:r>
    </w:p>
    <w:p w14:paraId="2CFE8AEF">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rFonts w:ascii="宋体" w:hAnsi="宋体" w:eastAsia="宋体"/>
          <w:b w:val="0"/>
          <w:i w:val="0"/>
          <w:caps w:val="0"/>
          <w:color w:val="auto"/>
          <w:spacing w:val="0"/>
          <w:w w:val="100"/>
          <w:kern w:val="2"/>
          <w:sz w:val="22"/>
          <w:szCs w:val="22"/>
          <w:highlight w:val="none"/>
          <w:lang w:val="en-US" w:eastAsia="zh-CN" w:bidi="ar-SA"/>
        </w:rPr>
        <w:t>（二）我方承担保证责任的最高金额为人民币</w:t>
      </w:r>
      <w:r>
        <w:rPr>
          <w:rFonts w:ascii="宋体" w:hAnsi="宋体" w:eastAsia="宋体"/>
          <w:b w:val="0"/>
          <w:i w:val="0"/>
          <w:caps w:val="0"/>
          <w:color w:val="auto"/>
          <w:spacing w:val="0"/>
          <w:w w:val="100"/>
          <w:kern w:val="2"/>
          <w:sz w:val="22"/>
          <w:szCs w:val="22"/>
          <w:highlight w:val="none"/>
          <w:u w:val="single" w:color="000000"/>
          <w:lang w:val="en-US" w:eastAsia="zh-CN" w:bidi="ar-SA"/>
        </w:rPr>
        <w:t>      </w:t>
      </w:r>
      <w:r>
        <w:rPr>
          <w:rFonts w:ascii="宋体" w:hAnsi="宋体" w:eastAsia="宋体"/>
          <w:b w:val="0"/>
          <w:i w:val="0"/>
          <w:caps w:val="0"/>
          <w:color w:val="auto"/>
          <w:spacing w:val="0"/>
          <w:w w:val="100"/>
          <w:kern w:val="2"/>
          <w:sz w:val="22"/>
          <w:szCs w:val="22"/>
          <w:highlight w:val="none"/>
          <w:lang w:val="en-US" w:eastAsia="zh-CN" w:bidi="ar-SA"/>
        </w:rPr>
        <w:t>元（大写</w:t>
      </w:r>
      <w:r>
        <w:rPr>
          <w:rFonts w:ascii="宋体" w:hAnsi="宋体" w:eastAsia="宋体"/>
          <w:b w:val="0"/>
          <w:i w:val="0"/>
          <w:caps w:val="0"/>
          <w:color w:val="auto"/>
          <w:spacing w:val="0"/>
          <w:w w:val="100"/>
          <w:kern w:val="2"/>
          <w:sz w:val="22"/>
          <w:szCs w:val="22"/>
          <w:highlight w:val="none"/>
          <w:u w:val="single" w:color="000000"/>
          <w:lang w:val="en-US" w:eastAsia="zh-CN" w:bidi="ar-SA"/>
        </w:rPr>
        <w:t>      </w:t>
      </w:r>
      <w:r>
        <w:rPr>
          <w:rFonts w:ascii="宋体" w:hAnsi="宋体" w:eastAsia="宋体"/>
          <w:b w:val="0"/>
          <w:i w:val="0"/>
          <w:caps w:val="0"/>
          <w:color w:val="auto"/>
          <w:spacing w:val="0"/>
          <w:w w:val="100"/>
          <w:kern w:val="2"/>
          <w:sz w:val="22"/>
          <w:szCs w:val="22"/>
          <w:highlight w:val="none"/>
          <w:lang w:val="en-US" w:eastAsia="zh-CN" w:bidi="ar-SA"/>
        </w:rPr>
        <w:t>），即本项</w:t>
      </w:r>
      <w:r>
        <w:rPr>
          <w:color w:val="auto"/>
          <w:sz w:val="22"/>
          <w:szCs w:val="22"/>
          <w:highlight w:val="none"/>
          <w:lang w:val="en-US" w:eastAsia="zh-CN"/>
        </w:rPr>
        <w:t>目的</w:t>
      </w:r>
      <w:r>
        <w:rPr>
          <w:rFonts w:hint="eastAsia" w:ascii="Times New Roman" w:eastAsia="宋体"/>
          <w:color w:val="auto"/>
          <w:sz w:val="22"/>
          <w:szCs w:val="22"/>
          <w:highlight w:val="none"/>
          <w:lang w:val="en-US" w:eastAsia="zh-CN"/>
        </w:rPr>
        <w:t>谈判</w:t>
      </w:r>
      <w:r>
        <w:rPr>
          <w:color w:val="auto"/>
          <w:sz w:val="22"/>
          <w:szCs w:val="22"/>
          <w:highlight w:val="none"/>
          <w:lang w:val="en-US" w:eastAsia="zh-CN"/>
        </w:rPr>
        <w:t>保证金金额。</w:t>
      </w:r>
    </w:p>
    <w:p w14:paraId="441D343A">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二、保证的方式及保证期间</w:t>
      </w:r>
    </w:p>
    <w:p w14:paraId="013BA621">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我方保证的方式为：连带责任保证。</w:t>
      </w:r>
    </w:p>
    <w:p w14:paraId="36134073">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我方的保证期间为：自本保函生效之日起</w:t>
      </w:r>
      <w:r>
        <w:rPr>
          <w:color w:val="auto"/>
          <w:sz w:val="22"/>
          <w:szCs w:val="22"/>
          <w:highlight w:val="none"/>
          <w:u w:val="single"/>
          <w:lang w:val="en-US" w:eastAsia="zh-CN"/>
        </w:rPr>
        <w:t>   </w:t>
      </w:r>
      <w:r>
        <w:rPr>
          <w:rFonts w:hint="eastAsia" w:ascii="Times New Roman" w:eastAsia="宋体"/>
          <w:color w:val="auto"/>
          <w:sz w:val="22"/>
          <w:szCs w:val="22"/>
          <w:highlight w:val="none"/>
          <w:u w:val="single"/>
          <w:lang w:val="en-US" w:eastAsia="zh-CN"/>
        </w:rPr>
        <w:t xml:space="preserve"> </w:t>
      </w:r>
      <w:r>
        <w:rPr>
          <w:color w:val="auto"/>
          <w:sz w:val="22"/>
          <w:szCs w:val="22"/>
          <w:highlight w:val="none"/>
          <w:u w:val="single"/>
          <w:lang w:val="en-US" w:eastAsia="zh-CN"/>
        </w:rPr>
        <w:t> </w:t>
      </w:r>
      <w:r>
        <w:rPr>
          <w:color w:val="auto"/>
          <w:sz w:val="22"/>
          <w:szCs w:val="22"/>
          <w:highlight w:val="none"/>
          <w:lang w:val="en-US" w:eastAsia="zh-CN"/>
        </w:rPr>
        <w:t>个月止。</w:t>
      </w:r>
    </w:p>
    <w:p w14:paraId="5A5F6F14">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三、承担保证责任的程序</w:t>
      </w:r>
    </w:p>
    <w:p w14:paraId="610E7926">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1．你方要求我方承担保证责任的，应在本保函保证期间内向我方发出书面索赔通知。索赔通知应写明要求索赔的金额，支付款项应到达的账号，并附有证明</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发生我方应承担保证责任情形的事实材料。</w:t>
      </w:r>
    </w:p>
    <w:p w14:paraId="05D7B3AF">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2．我方在收到索赔通知及相关证明材料后，在</w:t>
      </w:r>
      <w:r>
        <w:rPr>
          <w:color w:val="auto"/>
          <w:sz w:val="22"/>
          <w:szCs w:val="22"/>
          <w:highlight w:val="none"/>
          <w:u w:val="single"/>
          <w:lang w:val="en-US" w:eastAsia="zh-CN"/>
        </w:rPr>
        <w:t> </w:t>
      </w:r>
      <w:r>
        <w:rPr>
          <w:rFonts w:hint="eastAsia" w:ascii="Times New Roman" w:eastAsia="宋体"/>
          <w:color w:val="auto"/>
          <w:sz w:val="22"/>
          <w:szCs w:val="22"/>
          <w:highlight w:val="none"/>
          <w:u w:val="single"/>
          <w:lang w:val="en-US" w:eastAsia="zh-CN"/>
        </w:rPr>
        <w:t xml:space="preserve"> </w:t>
      </w:r>
      <w:r>
        <w:rPr>
          <w:color w:val="auto"/>
          <w:sz w:val="22"/>
          <w:szCs w:val="22"/>
          <w:highlight w:val="none"/>
          <w:u w:val="single"/>
          <w:lang w:val="en-US" w:eastAsia="zh-CN"/>
        </w:rPr>
        <w:t>  </w:t>
      </w:r>
      <w:r>
        <w:rPr>
          <w:color w:val="auto"/>
          <w:sz w:val="22"/>
          <w:szCs w:val="22"/>
          <w:highlight w:val="none"/>
          <w:lang w:val="en-US" w:eastAsia="zh-CN"/>
        </w:rPr>
        <w:t>个工作日内进行审查，符合应承担保证责任情形的，我方应按照你方的要求代</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向你方支付</w:t>
      </w:r>
      <w:r>
        <w:rPr>
          <w:rFonts w:hint="eastAsia" w:ascii="Times New Roman" w:eastAsia="宋体"/>
          <w:color w:val="auto"/>
          <w:sz w:val="22"/>
          <w:szCs w:val="22"/>
          <w:highlight w:val="none"/>
          <w:lang w:val="en-US" w:eastAsia="zh-CN"/>
        </w:rPr>
        <w:t>谈判</w:t>
      </w:r>
      <w:r>
        <w:rPr>
          <w:color w:val="auto"/>
          <w:sz w:val="22"/>
          <w:szCs w:val="22"/>
          <w:highlight w:val="none"/>
          <w:lang w:val="en-US" w:eastAsia="zh-CN"/>
        </w:rPr>
        <w:t>保证金。</w:t>
      </w:r>
    </w:p>
    <w:p w14:paraId="515176F1">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四、保证责任的终止</w:t>
      </w:r>
    </w:p>
    <w:p w14:paraId="33BEC6E0">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1．保证期间届满你方未向我方书面主张保证责任的，自保证期间届满次日起，我方保证责任自动终止。</w:t>
      </w:r>
    </w:p>
    <w:p w14:paraId="7F4171F4">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2．我方按照本保函向你方履行了保证责任后，自我方向你方支付款项（支付款项从我方账户划出）之日起，保证责任终止。</w:t>
      </w:r>
    </w:p>
    <w:p w14:paraId="3CDBEE1C">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3．按照法律法规的规定或出现我方保证责任终止的其它情形的，我方在本保函项下的保证责任亦终止。</w:t>
      </w:r>
    </w:p>
    <w:p w14:paraId="5044F91D">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五、免责条款</w:t>
      </w:r>
    </w:p>
    <w:p w14:paraId="40B871A0">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1．依照法律规定或你方与</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的另行约定，全部或者部分免除</w:t>
      </w:r>
      <w:r>
        <w:rPr>
          <w:rFonts w:hint="eastAsia" w:ascii="Times New Roman" w:eastAsia="宋体"/>
          <w:color w:val="auto"/>
          <w:sz w:val="22"/>
          <w:szCs w:val="22"/>
          <w:highlight w:val="none"/>
          <w:lang w:val="en-US" w:eastAsia="zh-CN"/>
        </w:rPr>
        <w:t>供应商谈判</w:t>
      </w:r>
      <w:r>
        <w:rPr>
          <w:color w:val="auto"/>
          <w:sz w:val="22"/>
          <w:szCs w:val="22"/>
          <w:highlight w:val="none"/>
          <w:lang w:val="en-US" w:eastAsia="zh-CN"/>
        </w:rPr>
        <w:t>保证金义务时，我方亦免除相应的保证责任。</w:t>
      </w:r>
    </w:p>
    <w:p w14:paraId="39892F90">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2．因你方原因致使</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发生本保函第一条第（一）款约定情形的，我方不承担保证责任。</w:t>
      </w:r>
    </w:p>
    <w:p w14:paraId="518C2333">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3．因不可抗力造成</w:t>
      </w:r>
      <w:r>
        <w:rPr>
          <w:rFonts w:hint="eastAsia" w:ascii="Times New Roman" w:eastAsia="宋体"/>
          <w:color w:val="auto"/>
          <w:sz w:val="22"/>
          <w:szCs w:val="22"/>
          <w:highlight w:val="none"/>
          <w:lang w:val="en-US" w:eastAsia="zh-CN"/>
        </w:rPr>
        <w:t>供应商</w:t>
      </w:r>
      <w:r>
        <w:rPr>
          <w:color w:val="auto"/>
          <w:sz w:val="22"/>
          <w:szCs w:val="22"/>
          <w:highlight w:val="none"/>
          <w:lang w:val="en-US" w:eastAsia="zh-CN"/>
        </w:rPr>
        <w:t>发生本保函第一条约定情形的，我方不承担保证责任。</w:t>
      </w:r>
    </w:p>
    <w:p w14:paraId="02E39EA6">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4．你方或其他有权机关对</w:t>
      </w:r>
      <w:r>
        <w:rPr>
          <w:rFonts w:hint="eastAsia" w:ascii="Times New Roman" w:eastAsia="宋体"/>
          <w:color w:val="auto"/>
          <w:sz w:val="22"/>
          <w:szCs w:val="22"/>
          <w:highlight w:val="none"/>
          <w:lang w:val="en-US" w:eastAsia="zh-CN"/>
        </w:rPr>
        <w:t>竞争性谈判</w:t>
      </w:r>
      <w:r>
        <w:rPr>
          <w:color w:val="auto"/>
          <w:sz w:val="22"/>
          <w:szCs w:val="22"/>
          <w:highlight w:val="none"/>
          <w:lang w:val="en-US" w:eastAsia="zh-CN"/>
        </w:rPr>
        <w:t>进行任何澄清或修改，加重我方保证责任的，我方对加重部分不承担保证责任，但该澄清或修改经我方事先书面同意的除外。</w:t>
      </w:r>
    </w:p>
    <w:p w14:paraId="1FE7D309">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六、争议的解决</w:t>
      </w:r>
    </w:p>
    <w:p w14:paraId="056BD0F1">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因本保函发生的纠纷，由你我双方协商解决，协商不成的，通过诉讼程序解决，诉讼管辖地法院为</w:t>
      </w:r>
      <w:r>
        <w:rPr>
          <w:color w:val="auto"/>
          <w:sz w:val="22"/>
          <w:szCs w:val="22"/>
          <w:highlight w:val="none"/>
          <w:u w:val="single"/>
          <w:lang w:val="en-US" w:eastAsia="zh-CN"/>
        </w:rPr>
        <w:t>          </w:t>
      </w:r>
      <w:r>
        <w:rPr>
          <w:color w:val="auto"/>
          <w:sz w:val="22"/>
          <w:szCs w:val="22"/>
          <w:highlight w:val="none"/>
          <w:lang w:val="en-US" w:eastAsia="zh-CN"/>
        </w:rPr>
        <w:t>法院。</w:t>
      </w:r>
    </w:p>
    <w:p w14:paraId="7D00E75A">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七、保函的生效</w:t>
      </w:r>
    </w:p>
    <w:p w14:paraId="65243118">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color w:val="auto"/>
          <w:sz w:val="22"/>
          <w:szCs w:val="22"/>
          <w:highlight w:val="none"/>
          <w:lang w:val="en-US" w:eastAsia="zh-CN"/>
        </w:rPr>
      </w:pPr>
      <w:r>
        <w:rPr>
          <w:color w:val="auto"/>
          <w:sz w:val="22"/>
          <w:szCs w:val="22"/>
          <w:highlight w:val="none"/>
          <w:lang w:val="en-US" w:eastAsia="zh-CN"/>
        </w:rPr>
        <w:t>本保函自我方加盖公章之日起生效。</w:t>
      </w:r>
    </w:p>
    <w:p w14:paraId="2961A878">
      <w:pPr>
        <w:widowControl/>
        <w:pBdr>
          <w:top w:val="none" w:color="auto" w:sz="0" w:space="0"/>
          <w:left w:val="none" w:color="auto" w:sz="0" w:space="0"/>
          <w:bottom w:val="none" w:color="auto" w:sz="0" w:space="0"/>
          <w:right w:val="none" w:color="auto" w:sz="0" w:space="0"/>
        </w:pBdr>
        <w:shd w:val="clear" w:color="auto" w:fill="FFFFFF"/>
        <w:snapToGrid/>
        <w:spacing w:before="100" w:beforeAutospacing="1" w:after="100" w:afterAutospacing="1" w:line="450" w:lineRule="atLeast"/>
        <w:ind w:left="0" w:right="0" w:firstLine="5565"/>
        <w:jc w:val="left"/>
        <w:textAlignment w:val="baseline"/>
        <w:outlineLvl w:val="9"/>
        <w:rPr>
          <w:rFonts w:ascii="宋体" w:hAnsi="宋体" w:eastAsia="宋体" w:cs="Times New Roman"/>
          <w:b w:val="0"/>
          <w:i w:val="0"/>
          <w:caps w:val="0"/>
          <w:color w:val="auto"/>
          <w:spacing w:val="0"/>
          <w:w w:val="100"/>
          <w:kern w:val="0"/>
          <w:sz w:val="22"/>
          <w:szCs w:val="22"/>
          <w:highlight w:val="none"/>
          <w:lang w:val="en-US" w:eastAsia="zh-CN" w:bidi="ar-SA"/>
        </w:rPr>
      </w:pPr>
    </w:p>
    <w:p w14:paraId="251A4DFB">
      <w:pPr>
        <w:widowControl/>
        <w:pBdr>
          <w:top w:val="none" w:color="auto" w:sz="0" w:space="0"/>
          <w:left w:val="none" w:color="auto" w:sz="0" w:space="0"/>
          <w:bottom w:val="none" w:color="auto" w:sz="0" w:space="0"/>
          <w:right w:val="none" w:color="auto" w:sz="0" w:space="0"/>
        </w:pBdr>
        <w:shd w:val="clear" w:color="auto" w:fill="FFFFFF"/>
        <w:snapToGrid/>
        <w:spacing w:before="100" w:beforeAutospacing="1" w:after="100" w:afterAutospacing="1" w:line="450" w:lineRule="atLeast"/>
        <w:ind w:left="0" w:right="0" w:firstLine="5565"/>
        <w:jc w:val="left"/>
        <w:textAlignment w:val="baseline"/>
        <w:outlineLvl w:val="9"/>
        <w:rPr>
          <w:rFonts w:ascii="宋体" w:hAnsi="宋体" w:eastAsia="宋体" w:cs="Times New Roman"/>
          <w:b w:val="0"/>
          <w:i w:val="0"/>
          <w:caps w:val="0"/>
          <w:color w:val="auto"/>
          <w:spacing w:val="0"/>
          <w:w w:val="100"/>
          <w:kern w:val="0"/>
          <w:sz w:val="22"/>
          <w:szCs w:val="22"/>
          <w:highlight w:val="none"/>
          <w:lang w:val="en-US" w:eastAsia="zh-CN" w:bidi="ar-SA"/>
        </w:rPr>
      </w:pPr>
      <w:r>
        <w:rPr>
          <w:rFonts w:ascii="宋体" w:hAnsi="宋体" w:eastAsia="宋体" w:cs="Times New Roman"/>
          <w:b w:val="0"/>
          <w:i w:val="0"/>
          <w:caps w:val="0"/>
          <w:color w:val="auto"/>
          <w:spacing w:val="0"/>
          <w:w w:val="100"/>
          <w:kern w:val="0"/>
          <w:sz w:val="22"/>
          <w:szCs w:val="22"/>
          <w:highlight w:val="none"/>
          <w:lang w:val="en-US" w:eastAsia="zh-CN" w:bidi="ar-SA"/>
        </w:rPr>
        <w:t>保证人：（公章）</w:t>
      </w:r>
    </w:p>
    <w:p w14:paraId="2E9B687E">
      <w:pPr>
        <w:widowControl w:val="0"/>
        <w:spacing w:before="240" w:after="60"/>
        <w:jc w:val="center"/>
        <w:outlineLvl w:val="9"/>
        <w:rPr>
          <w:rFonts w:ascii="宋体" w:hAnsi="宋体" w:eastAsia="宋体" w:cs="Times New Roman"/>
          <w:b w:val="0"/>
          <w:bCs/>
          <w:i w:val="0"/>
          <w:caps w:val="0"/>
          <w:color w:val="auto"/>
          <w:spacing w:val="0"/>
          <w:w w:val="100"/>
          <w:kern w:val="0"/>
          <w:sz w:val="22"/>
          <w:szCs w:val="22"/>
          <w:highlight w:val="none"/>
          <w:lang w:val="en-US" w:eastAsia="zh-CN" w:bidi="ar-SA"/>
        </w:rPr>
      </w:pPr>
      <w:r>
        <w:rPr>
          <w:rFonts w:hint="eastAsia" w:ascii="宋体" w:hAnsi="宋体" w:eastAsia="宋体" w:cs="Times New Roman"/>
          <w:b w:val="0"/>
          <w:bCs/>
          <w:i w:val="0"/>
          <w:caps w:val="0"/>
          <w:color w:val="auto"/>
          <w:spacing w:val="0"/>
          <w:w w:val="100"/>
          <w:kern w:val="0"/>
          <w:sz w:val="22"/>
          <w:szCs w:val="22"/>
          <w:highlight w:val="none"/>
          <w:lang w:val="en-US" w:eastAsia="zh-CN" w:bidi="ar-SA"/>
        </w:rPr>
        <w:t xml:space="preserve">                                    </w:t>
      </w:r>
      <w:r>
        <w:rPr>
          <w:rFonts w:ascii="宋体" w:hAnsi="宋体" w:eastAsia="宋体" w:cs="Times New Roman"/>
          <w:b w:val="0"/>
          <w:bCs/>
          <w:i w:val="0"/>
          <w:caps w:val="0"/>
          <w:color w:val="auto"/>
          <w:spacing w:val="0"/>
          <w:w w:val="100"/>
          <w:kern w:val="0"/>
          <w:sz w:val="22"/>
          <w:szCs w:val="22"/>
          <w:highlight w:val="none"/>
          <w:lang w:val="en-US" w:eastAsia="zh-CN" w:bidi="ar-SA"/>
        </w:rPr>
        <w:t>年  月   日</w:t>
      </w:r>
    </w:p>
    <w:p w14:paraId="00594490">
      <w:pPr>
        <w:outlineLvl w:val="2"/>
        <w:rPr>
          <w:rFonts w:hint="eastAsia" w:hAnsi="宋体" w:cs="宋体"/>
          <w:b/>
          <w:sz w:val="22"/>
          <w:szCs w:val="22"/>
          <w:highlight w:val="none"/>
          <w:lang w:eastAsia="zh-CN"/>
        </w:rPr>
      </w:pPr>
      <w:r>
        <w:rPr>
          <w:sz w:val="22"/>
          <w:szCs w:val="24"/>
          <w:highlight w:val="none"/>
          <w:lang w:val="en-US" w:eastAsia="zh-CN"/>
        </w:rPr>
        <w:br w:type="page"/>
      </w:r>
      <w:r>
        <w:rPr>
          <w:rFonts w:hint="eastAsia" w:hAnsi="宋体" w:cs="宋体"/>
          <w:b/>
          <w:sz w:val="22"/>
          <w:szCs w:val="22"/>
          <w:highlight w:val="none"/>
          <w:lang w:eastAsia="zh-CN"/>
        </w:rPr>
        <w:t>附件</w:t>
      </w:r>
      <w:r>
        <w:rPr>
          <w:rFonts w:hint="eastAsia" w:hAnsi="宋体" w:cs="宋体"/>
          <w:b/>
          <w:sz w:val="22"/>
          <w:szCs w:val="22"/>
          <w:highlight w:val="none"/>
          <w:lang w:val="en-US" w:eastAsia="zh-CN"/>
        </w:rPr>
        <w:t>二</w:t>
      </w:r>
      <w:r>
        <w:rPr>
          <w:rFonts w:hint="eastAsia" w:hAnsi="宋体" w:cs="宋体"/>
          <w:b/>
          <w:sz w:val="22"/>
          <w:szCs w:val="22"/>
          <w:highlight w:val="none"/>
          <w:lang w:eastAsia="zh-CN"/>
        </w:rPr>
        <w:t>：</w:t>
      </w:r>
    </w:p>
    <w:p w14:paraId="37F3981A">
      <w:pPr>
        <w:outlineLvl w:val="9"/>
        <w:rPr>
          <w:rFonts w:hint="eastAsia" w:hAnsi="宋体" w:cs="宋体"/>
          <w:b/>
          <w:sz w:val="22"/>
          <w:szCs w:val="22"/>
          <w:highlight w:val="none"/>
          <w:lang w:eastAsia="zh-CN"/>
        </w:rPr>
      </w:pPr>
    </w:p>
    <w:p w14:paraId="6D072A28">
      <w:pPr>
        <w:jc w:val="center"/>
        <w:outlineLvl w:val="9"/>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CN"/>
        </w:rPr>
        <w:t>（一）</w:t>
      </w:r>
      <w:r>
        <w:rPr>
          <w:rFonts w:hint="eastAsia" w:ascii="宋体" w:hAnsi="宋体" w:eastAsia="宋体" w:cs="宋体"/>
          <w:b/>
          <w:bCs/>
          <w:color w:val="auto"/>
          <w:sz w:val="22"/>
          <w:szCs w:val="22"/>
          <w:highlight w:val="none"/>
        </w:rPr>
        <w:t>中小企业声明函（</w:t>
      </w:r>
      <w:r>
        <w:rPr>
          <w:rFonts w:hint="eastAsia" w:ascii="宋体" w:hAnsi="宋体" w:cs="宋体"/>
          <w:b/>
          <w:bCs/>
          <w:color w:val="auto"/>
          <w:sz w:val="22"/>
          <w:szCs w:val="22"/>
          <w:highlight w:val="none"/>
          <w:lang w:val="en-US" w:eastAsia="zh-CN"/>
        </w:rPr>
        <w:t>货物</w:t>
      </w:r>
      <w:r>
        <w:rPr>
          <w:rFonts w:hint="eastAsia" w:ascii="宋体" w:hAnsi="宋体" w:eastAsia="宋体" w:cs="宋体"/>
          <w:b/>
          <w:bCs/>
          <w:color w:val="auto"/>
          <w:sz w:val="22"/>
          <w:szCs w:val="22"/>
          <w:highlight w:val="none"/>
        </w:rPr>
        <w:t>）</w:t>
      </w:r>
    </w:p>
    <w:p w14:paraId="7BA1ED13">
      <w:pPr>
        <w:rPr>
          <w:rFonts w:hint="eastAsia" w:ascii="宋体" w:hAnsi="宋体" w:eastAsia="宋体" w:cs="宋体"/>
          <w:color w:val="auto"/>
          <w:sz w:val="22"/>
          <w:szCs w:val="22"/>
          <w:highlight w:val="none"/>
        </w:rPr>
      </w:pPr>
    </w:p>
    <w:p w14:paraId="762BC5B6">
      <w:pPr>
        <w:spacing w:line="360" w:lineRule="auto"/>
        <w:ind w:firstLine="660" w:firstLineChars="30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本公司郑重声明，根据《政府采购促进中小企业发展管理办法》（财库﹝2020﹞46 号）的规定，本公司参加</w:t>
      </w:r>
      <w:r>
        <w:rPr>
          <w:rFonts w:hint="eastAsia" w:ascii="宋体" w:hAnsi="宋体" w:eastAsia="宋体" w:cs="宋体"/>
          <w:bCs/>
          <w:color w:val="auto"/>
          <w:sz w:val="22"/>
          <w:szCs w:val="22"/>
          <w:highlight w:val="none"/>
          <w:u w:val="single"/>
        </w:rPr>
        <w:t xml:space="preserve"> （单位名称） </w:t>
      </w:r>
      <w:r>
        <w:rPr>
          <w:rFonts w:hint="eastAsia" w:ascii="宋体" w:hAnsi="宋体" w:eastAsia="宋体" w:cs="宋体"/>
          <w:bCs/>
          <w:color w:val="auto"/>
          <w:sz w:val="22"/>
          <w:szCs w:val="22"/>
          <w:highlight w:val="none"/>
        </w:rPr>
        <w:t>的</w:t>
      </w:r>
      <w:r>
        <w:rPr>
          <w:rFonts w:hint="eastAsia" w:ascii="宋体" w:hAnsi="宋体" w:eastAsia="宋体" w:cs="宋体"/>
          <w:bCs/>
          <w:color w:val="auto"/>
          <w:sz w:val="22"/>
          <w:szCs w:val="22"/>
          <w:highlight w:val="none"/>
          <w:u w:val="single"/>
        </w:rPr>
        <w:t xml:space="preserve"> （项目名称） </w:t>
      </w:r>
      <w:r>
        <w:rPr>
          <w:rFonts w:hint="eastAsia" w:ascii="宋体" w:hAnsi="宋体" w:eastAsia="宋体" w:cs="宋体"/>
          <w:bCs/>
          <w:color w:val="auto"/>
          <w:sz w:val="22"/>
          <w:szCs w:val="22"/>
          <w:highlight w:val="none"/>
        </w:rPr>
        <w:t>采购活动，提供的货物全部由符合政策要求的中小企业制造。相关企业（含联合体中的中小企业、签订分包意向协议的中小企业）的具体情况如下：</w:t>
      </w:r>
    </w:p>
    <w:p w14:paraId="4841E34E">
      <w:pPr>
        <w:spacing w:line="360" w:lineRule="auto"/>
        <w:ind w:firstLine="440" w:firstLineChars="20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 </w:t>
      </w:r>
      <w:r>
        <w:rPr>
          <w:rFonts w:hint="eastAsia" w:ascii="宋体" w:hAnsi="宋体" w:eastAsia="宋体" w:cs="宋体"/>
          <w:bCs/>
          <w:color w:val="auto"/>
          <w:sz w:val="22"/>
          <w:szCs w:val="22"/>
          <w:highlight w:val="none"/>
          <w:u w:val="single"/>
        </w:rPr>
        <w:t xml:space="preserve">（标的名称） </w:t>
      </w:r>
      <w:r>
        <w:rPr>
          <w:rFonts w:hint="eastAsia" w:ascii="宋体" w:hAnsi="宋体" w:eastAsia="宋体" w:cs="宋体"/>
          <w:bCs/>
          <w:color w:val="auto"/>
          <w:sz w:val="22"/>
          <w:szCs w:val="22"/>
          <w:highlight w:val="none"/>
        </w:rPr>
        <w:t>，属于</w:t>
      </w:r>
      <w:r>
        <w:rPr>
          <w:rFonts w:hint="eastAsia" w:ascii="宋体" w:hAnsi="宋体" w:eastAsia="宋体" w:cs="宋体"/>
          <w:bCs/>
          <w:color w:val="auto"/>
          <w:sz w:val="22"/>
          <w:szCs w:val="22"/>
          <w:highlight w:val="none"/>
          <w:u w:val="single"/>
        </w:rPr>
        <w:t xml:space="preserve"> （采购文件中明确的所属行业）</w:t>
      </w:r>
      <w:r>
        <w:rPr>
          <w:rFonts w:hint="eastAsia" w:ascii="宋体" w:hAnsi="宋体" w:eastAsia="宋体" w:cs="宋体"/>
          <w:bCs/>
          <w:color w:val="auto"/>
          <w:sz w:val="22"/>
          <w:szCs w:val="22"/>
          <w:highlight w:val="none"/>
        </w:rPr>
        <w:t>行业 ；制造商为</w:t>
      </w:r>
      <w:r>
        <w:rPr>
          <w:rFonts w:hint="eastAsia" w:ascii="宋体" w:hAnsi="宋体" w:eastAsia="宋体" w:cs="宋体"/>
          <w:bCs/>
          <w:color w:val="auto"/>
          <w:sz w:val="22"/>
          <w:szCs w:val="22"/>
          <w:highlight w:val="none"/>
          <w:u w:val="single"/>
        </w:rPr>
        <w:t xml:space="preserve"> （企业名称）</w:t>
      </w:r>
      <w:r>
        <w:rPr>
          <w:rFonts w:hint="eastAsia" w:ascii="宋体" w:hAnsi="宋体" w:eastAsia="宋体" w:cs="宋体"/>
          <w:bCs/>
          <w:color w:val="auto"/>
          <w:sz w:val="22"/>
          <w:szCs w:val="22"/>
          <w:highlight w:val="none"/>
        </w:rPr>
        <w:t xml:space="preserve"> ，从业人员</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人，营业收入为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万元，资产总额为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万元，属于</w:t>
      </w:r>
      <w:r>
        <w:rPr>
          <w:rFonts w:hint="eastAsia" w:ascii="宋体" w:hAnsi="宋体" w:eastAsia="宋体" w:cs="宋体"/>
          <w:bCs/>
          <w:color w:val="auto"/>
          <w:sz w:val="22"/>
          <w:szCs w:val="22"/>
          <w:highlight w:val="none"/>
          <w:u w:val="single"/>
        </w:rPr>
        <w:t xml:space="preserve"> （中型企业、小型企业、微型企业） </w:t>
      </w:r>
      <w:r>
        <w:rPr>
          <w:rFonts w:hint="eastAsia" w:ascii="宋体" w:hAnsi="宋体" w:eastAsia="宋体" w:cs="宋体"/>
          <w:bCs/>
          <w:color w:val="auto"/>
          <w:sz w:val="22"/>
          <w:szCs w:val="22"/>
          <w:highlight w:val="none"/>
        </w:rPr>
        <w:t>；</w:t>
      </w:r>
    </w:p>
    <w:p w14:paraId="538C3194">
      <w:pPr>
        <w:spacing w:line="360" w:lineRule="auto"/>
        <w:ind w:firstLine="440" w:firstLineChars="200"/>
        <w:jc w:val="left"/>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2.</w:t>
      </w:r>
      <w:r>
        <w:rPr>
          <w:rFonts w:hint="eastAsia" w:ascii="宋体" w:hAnsi="宋体" w:eastAsia="宋体" w:cs="宋体"/>
          <w:bCs/>
          <w:color w:val="auto"/>
          <w:sz w:val="22"/>
          <w:szCs w:val="22"/>
          <w:highlight w:val="none"/>
          <w:u w:val="single"/>
        </w:rPr>
        <w:t xml:space="preserve"> （标的名称） </w:t>
      </w:r>
      <w:r>
        <w:rPr>
          <w:rFonts w:hint="eastAsia" w:ascii="宋体" w:hAnsi="宋体" w:eastAsia="宋体" w:cs="宋体"/>
          <w:bCs/>
          <w:color w:val="auto"/>
          <w:sz w:val="22"/>
          <w:szCs w:val="22"/>
          <w:highlight w:val="none"/>
        </w:rPr>
        <w:t>，属于</w:t>
      </w:r>
      <w:r>
        <w:rPr>
          <w:rFonts w:hint="eastAsia" w:ascii="宋体" w:hAnsi="宋体" w:eastAsia="宋体" w:cs="宋体"/>
          <w:bCs/>
          <w:color w:val="auto"/>
          <w:sz w:val="22"/>
          <w:szCs w:val="22"/>
          <w:highlight w:val="none"/>
          <w:u w:val="single"/>
        </w:rPr>
        <w:t xml:space="preserve"> （采购文件中明确的所属行业）</w:t>
      </w:r>
      <w:r>
        <w:rPr>
          <w:rFonts w:hint="eastAsia" w:ascii="宋体" w:hAnsi="宋体" w:eastAsia="宋体" w:cs="宋体"/>
          <w:bCs/>
          <w:color w:val="auto"/>
          <w:sz w:val="22"/>
          <w:szCs w:val="22"/>
          <w:highlight w:val="none"/>
        </w:rPr>
        <w:t>行业 ；制造商为</w:t>
      </w:r>
      <w:r>
        <w:rPr>
          <w:rFonts w:hint="eastAsia" w:ascii="宋体" w:hAnsi="宋体" w:eastAsia="宋体" w:cs="宋体"/>
          <w:bCs/>
          <w:color w:val="auto"/>
          <w:sz w:val="22"/>
          <w:szCs w:val="22"/>
          <w:highlight w:val="none"/>
          <w:u w:val="single"/>
        </w:rPr>
        <w:t xml:space="preserve"> （企业名称） </w:t>
      </w:r>
      <w:r>
        <w:rPr>
          <w:rFonts w:hint="eastAsia" w:ascii="宋体" w:hAnsi="宋体" w:eastAsia="宋体" w:cs="宋体"/>
          <w:bCs/>
          <w:color w:val="auto"/>
          <w:sz w:val="22"/>
          <w:szCs w:val="22"/>
          <w:highlight w:val="none"/>
        </w:rPr>
        <w:t>，从业人员</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人，营业收入为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万元，资产总额为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万元，属于</w:t>
      </w:r>
      <w:r>
        <w:rPr>
          <w:rFonts w:hint="eastAsia" w:ascii="宋体" w:hAnsi="宋体" w:eastAsia="宋体" w:cs="宋体"/>
          <w:bCs/>
          <w:color w:val="auto"/>
          <w:sz w:val="22"/>
          <w:szCs w:val="22"/>
          <w:highlight w:val="none"/>
          <w:u w:val="single"/>
        </w:rPr>
        <w:t xml:space="preserve"> （中型企业、小型企业、微型企业） </w:t>
      </w:r>
      <w:r>
        <w:rPr>
          <w:rFonts w:hint="eastAsia" w:ascii="宋体" w:hAnsi="宋体" w:eastAsia="宋体" w:cs="宋体"/>
          <w:bCs/>
          <w:color w:val="auto"/>
          <w:sz w:val="22"/>
          <w:szCs w:val="22"/>
          <w:highlight w:val="none"/>
        </w:rPr>
        <w:t>；</w:t>
      </w:r>
    </w:p>
    <w:p w14:paraId="014C99CA">
      <w:pPr>
        <w:spacing w:line="360" w:lineRule="auto"/>
        <w:ind w:firstLine="440" w:firstLineChars="20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w:t>
      </w:r>
    </w:p>
    <w:p w14:paraId="44AF67E8">
      <w:pPr>
        <w:spacing w:line="360" w:lineRule="auto"/>
        <w:ind w:firstLine="440" w:firstLineChars="20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以上企业，不属于大企业的分支机构，不存在控股股东为大企业的情形，也不存在与大企业的负责人为同一人的情形。</w:t>
      </w:r>
    </w:p>
    <w:p w14:paraId="42B80EF3">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本企业对上述声明内容的真实性负责。如有虚假，将依法承担相应责任。</w:t>
      </w:r>
    </w:p>
    <w:p w14:paraId="2766CCB6">
      <w:pPr>
        <w:keepNext w:val="0"/>
        <w:keepLines w:val="0"/>
        <w:pageBreakBefore w:val="0"/>
        <w:widowControl w:val="0"/>
        <w:kinsoku/>
        <w:wordWrap/>
        <w:overflowPunct/>
        <w:topLinePunct w:val="0"/>
        <w:autoSpaceDE/>
        <w:autoSpaceDN/>
        <w:bidi w:val="0"/>
        <w:spacing w:line="360" w:lineRule="auto"/>
        <w:ind w:firstLine="5060" w:firstLineChars="2300"/>
        <w:jc w:val="left"/>
        <w:textAlignment w:val="auto"/>
        <w:rPr>
          <w:rFonts w:hint="eastAsia" w:ascii="宋体" w:hAnsi="宋体" w:eastAsia="宋体" w:cs="宋体"/>
          <w:color w:val="auto"/>
          <w:sz w:val="22"/>
          <w:szCs w:val="22"/>
          <w:highlight w:val="none"/>
        </w:rPr>
      </w:pPr>
    </w:p>
    <w:p w14:paraId="10E976D3">
      <w:pPr>
        <w:keepNext w:val="0"/>
        <w:keepLines w:val="0"/>
        <w:pageBreakBefore w:val="0"/>
        <w:widowControl w:val="0"/>
        <w:kinsoku/>
        <w:wordWrap/>
        <w:overflowPunct/>
        <w:topLinePunct w:val="0"/>
        <w:autoSpaceDE/>
        <w:autoSpaceDN/>
        <w:bidi w:val="0"/>
        <w:spacing w:line="360" w:lineRule="auto"/>
        <w:ind w:firstLine="5060" w:firstLineChars="23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企业名称（盖章）：</w:t>
      </w:r>
    </w:p>
    <w:p w14:paraId="32C77885">
      <w:pPr>
        <w:keepNext w:val="0"/>
        <w:keepLines w:val="0"/>
        <w:pageBreakBefore w:val="0"/>
        <w:widowControl w:val="0"/>
        <w:kinsoku/>
        <w:wordWrap/>
        <w:overflowPunct/>
        <w:topLinePunct w:val="0"/>
        <w:autoSpaceDE/>
        <w:autoSpaceDN/>
        <w:bidi w:val="0"/>
        <w:spacing w:line="360" w:lineRule="auto"/>
        <w:ind w:firstLine="5060" w:firstLineChars="23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日期：</w:t>
      </w:r>
    </w:p>
    <w:p w14:paraId="07F420B1">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Cs/>
          <w:color w:val="auto"/>
          <w:sz w:val="22"/>
          <w:szCs w:val="22"/>
          <w:highlight w:val="none"/>
        </w:rPr>
      </w:pPr>
    </w:p>
    <w:p w14:paraId="3557639B">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240" w:lineRule="auto"/>
        <w:jc w:val="left"/>
        <w:textAlignment w:val="auto"/>
        <w:rPr>
          <w:rFonts w:hint="eastAsia" w:ascii="宋体" w:hAnsi="宋体" w:cs="宋体"/>
          <w:sz w:val="22"/>
          <w:szCs w:val="22"/>
          <w:highlight w:val="none"/>
        </w:rPr>
      </w:pPr>
      <w:r>
        <w:rPr>
          <w:rFonts w:hint="eastAsia" w:ascii="宋体" w:hAnsi="宋体" w:eastAsia="宋体" w:cs="宋体"/>
          <w:bCs/>
          <w:color w:val="auto"/>
          <w:sz w:val="22"/>
          <w:szCs w:val="22"/>
          <w:highlight w:val="none"/>
        </w:rPr>
        <w:t>1 从业人员、营业收入、资产总额填报上一年度数据，无上一年度数据的新成立企业可不填报。</w:t>
      </w:r>
    </w:p>
    <w:p w14:paraId="4D4A8B8F">
      <w:pPr>
        <w:rPr>
          <w:rFonts w:hint="eastAsia"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br w:type="page"/>
      </w:r>
    </w:p>
    <w:p w14:paraId="1F7A72C1">
      <w:pPr>
        <w:adjustRightInd w:val="0"/>
        <w:snapToGrid w:val="0"/>
        <w:spacing w:line="480" w:lineRule="auto"/>
        <w:jc w:val="center"/>
        <w:rPr>
          <w:rFonts w:hint="eastAsia" w:ascii="宋体" w:hAnsi="宋体" w:cs="宋体"/>
          <w:b/>
          <w:bCs/>
          <w:sz w:val="22"/>
          <w:szCs w:val="22"/>
          <w:highlight w:val="none"/>
        </w:rPr>
      </w:pPr>
      <w:r>
        <w:rPr>
          <w:rFonts w:hint="eastAsia" w:ascii="宋体" w:hAnsi="宋体" w:eastAsia="宋体" w:cs="宋体"/>
          <w:b/>
          <w:bCs/>
          <w:sz w:val="22"/>
          <w:szCs w:val="22"/>
          <w:highlight w:val="none"/>
          <w:lang w:eastAsia="zh-CN"/>
        </w:rPr>
        <w:t>（二）</w:t>
      </w:r>
      <w:r>
        <w:rPr>
          <w:rFonts w:hint="eastAsia" w:ascii="宋体" w:hAnsi="宋体" w:eastAsia="宋体" w:cs="宋体"/>
          <w:b/>
          <w:bCs/>
          <w:sz w:val="22"/>
          <w:szCs w:val="22"/>
          <w:highlight w:val="none"/>
          <w:lang w:val="zh-CN" w:eastAsia="zh-CN"/>
        </w:rPr>
        <w:t>残疾人福利性单位声明函</w:t>
      </w:r>
    </w:p>
    <w:p w14:paraId="5129C89A">
      <w:pPr>
        <w:widowControl/>
        <w:shd w:val="clear" w:color="auto" w:fill="FFFFFF"/>
        <w:jc w:val="left"/>
        <w:rPr>
          <w:rFonts w:hint="eastAsia" w:ascii="宋体" w:hAnsi="宋体" w:cs="宋体"/>
          <w:b/>
          <w:color w:val="000000"/>
          <w:kern w:val="0"/>
          <w:sz w:val="22"/>
          <w:szCs w:val="22"/>
          <w:highlight w:val="none"/>
          <w:shd w:val="clear" w:color="auto" w:fill="FFFFFF"/>
          <w:lang w:bidi="ar"/>
        </w:rPr>
      </w:pPr>
    </w:p>
    <w:p w14:paraId="756B1D9A">
      <w:pPr>
        <w:widowControl/>
        <w:shd w:val="clear" w:color="auto" w:fill="FFFFFF"/>
        <w:spacing w:line="360" w:lineRule="auto"/>
        <w:ind w:firstLine="440" w:firstLineChars="200"/>
        <w:jc w:val="left"/>
        <w:rPr>
          <w:rFonts w:hint="eastAsia" w:ascii="宋体" w:hAnsi="宋体" w:cs="宋体"/>
          <w:color w:val="000000"/>
          <w:sz w:val="22"/>
          <w:szCs w:val="22"/>
          <w:highlight w:val="none"/>
        </w:rPr>
      </w:pPr>
      <w:r>
        <w:rPr>
          <w:rFonts w:hint="eastAsia" w:ascii="宋体" w:hAnsi="宋体" w:cs="宋体"/>
          <w:color w:val="000000"/>
          <w:kern w:val="0"/>
          <w:sz w:val="22"/>
          <w:szCs w:val="22"/>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866C7C">
      <w:pPr>
        <w:widowControl/>
        <w:shd w:val="clear" w:color="auto" w:fill="FFFFFF"/>
        <w:spacing w:line="360" w:lineRule="auto"/>
        <w:ind w:firstLine="440" w:firstLineChars="200"/>
        <w:jc w:val="left"/>
        <w:rPr>
          <w:rFonts w:hint="eastAsia" w:ascii="宋体" w:hAnsi="宋体" w:cs="宋体"/>
          <w:color w:val="000000"/>
          <w:kern w:val="0"/>
          <w:sz w:val="22"/>
          <w:szCs w:val="22"/>
          <w:highlight w:val="none"/>
          <w:shd w:val="clear" w:color="auto" w:fill="FFFFFF"/>
          <w:lang w:bidi="ar"/>
        </w:rPr>
      </w:pPr>
      <w:r>
        <w:rPr>
          <w:rFonts w:hint="eastAsia" w:ascii="宋体" w:hAnsi="宋体" w:cs="宋体"/>
          <w:color w:val="000000"/>
          <w:kern w:val="0"/>
          <w:sz w:val="22"/>
          <w:szCs w:val="22"/>
          <w:highlight w:val="none"/>
          <w:shd w:val="clear" w:color="auto" w:fill="FFFFFF"/>
          <w:lang w:bidi="ar"/>
        </w:rPr>
        <w:t>本单位对上述声明的真实性负责。如有虚假，将依法承担相应责任。</w:t>
      </w:r>
    </w:p>
    <w:p w14:paraId="093DE6CF">
      <w:pPr>
        <w:widowControl w:val="0"/>
        <w:spacing w:line="360" w:lineRule="auto"/>
        <w:ind w:firstLine="220" w:firstLineChars="100"/>
        <w:jc w:val="both"/>
        <w:rPr>
          <w:rFonts w:hint="eastAsia" w:ascii="宋体" w:hAnsi="宋体" w:eastAsia="宋体" w:cs="宋体"/>
          <w:kern w:val="2"/>
          <w:sz w:val="22"/>
          <w:szCs w:val="22"/>
          <w:highlight w:val="none"/>
          <w:lang w:val="en-US" w:eastAsia="zh-CN" w:bidi="ar-SA"/>
        </w:rPr>
      </w:pPr>
    </w:p>
    <w:p w14:paraId="1FFBE763">
      <w:pPr>
        <w:widowControl w:val="0"/>
        <w:spacing w:line="360" w:lineRule="auto"/>
        <w:ind w:firstLine="220" w:firstLineChars="100"/>
        <w:jc w:val="both"/>
        <w:rPr>
          <w:rFonts w:hint="eastAsia" w:ascii="宋体" w:hAnsi="宋体" w:eastAsia="宋体" w:cs="宋体"/>
          <w:kern w:val="2"/>
          <w:sz w:val="22"/>
          <w:szCs w:val="22"/>
          <w:highlight w:val="none"/>
          <w:lang w:val="en-US" w:eastAsia="zh-CN" w:bidi="ar-SA"/>
        </w:rPr>
      </w:pPr>
    </w:p>
    <w:p w14:paraId="7A4A94B8">
      <w:pPr>
        <w:widowControl/>
        <w:shd w:val="clear" w:color="auto" w:fill="FFFFFF"/>
        <w:spacing w:line="360" w:lineRule="auto"/>
        <w:jc w:val="center"/>
        <w:rPr>
          <w:rFonts w:hint="eastAsia" w:ascii="宋体" w:hAnsi="宋体" w:cs="宋体"/>
          <w:color w:val="000000"/>
          <w:kern w:val="0"/>
          <w:sz w:val="22"/>
          <w:szCs w:val="22"/>
          <w:highlight w:val="none"/>
          <w:shd w:val="clear" w:color="auto" w:fill="FFFFFF"/>
          <w:lang w:bidi="ar"/>
        </w:rPr>
      </w:pPr>
      <w:r>
        <w:rPr>
          <w:rFonts w:hint="eastAsia" w:ascii="宋体" w:hAnsi="宋体" w:cs="宋体"/>
          <w:color w:val="000000"/>
          <w:kern w:val="0"/>
          <w:sz w:val="22"/>
          <w:szCs w:val="22"/>
          <w:highlight w:val="none"/>
          <w:shd w:val="clear" w:color="auto" w:fill="FFFFFF"/>
          <w:lang w:bidi="ar"/>
        </w:rPr>
        <w:t xml:space="preserve">          单位名称（盖章）：</w:t>
      </w:r>
    </w:p>
    <w:p w14:paraId="04D39397">
      <w:pPr>
        <w:widowControl/>
        <w:shd w:val="clear" w:color="auto" w:fill="FFFFFF"/>
        <w:spacing w:line="360" w:lineRule="auto"/>
        <w:jc w:val="center"/>
        <w:rPr>
          <w:rFonts w:hint="eastAsia" w:ascii="宋体" w:hAnsi="宋体" w:cs="宋体"/>
          <w:color w:val="000000"/>
          <w:sz w:val="22"/>
          <w:szCs w:val="22"/>
          <w:highlight w:val="none"/>
          <w:u w:val="single"/>
        </w:rPr>
      </w:pPr>
      <w:r>
        <w:rPr>
          <w:rFonts w:hint="eastAsia" w:ascii="宋体" w:hAnsi="宋体" w:cs="宋体"/>
          <w:color w:val="000000"/>
          <w:kern w:val="0"/>
          <w:sz w:val="22"/>
          <w:szCs w:val="22"/>
          <w:highlight w:val="none"/>
          <w:shd w:val="clear" w:color="auto" w:fill="FFFFFF"/>
          <w:lang w:bidi="ar"/>
        </w:rPr>
        <w:t xml:space="preserve"> 日  期：</w:t>
      </w:r>
    </w:p>
    <w:p w14:paraId="01AFB38B">
      <w:pPr>
        <w:tabs>
          <w:tab w:val="left" w:pos="4860"/>
        </w:tabs>
        <w:spacing w:line="360" w:lineRule="auto"/>
        <w:ind w:right="1560" w:firstLine="440" w:firstLineChars="200"/>
        <w:jc w:val="center"/>
        <w:rPr>
          <w:rFonts w:hint="eastAsia" w:ascii="宋体" w:hAnsi="宋体" w:cs="宋体"/>
          <w:sz w:val="22"/>
          <w:szCs w:val="22"/>
          <w:highlight w:val="none"/>
        </w:rPr>
      </w:pPr>
    </w:p>
    <w:p w14:paraId="223DFA53">
      <w:pPr>
        <w:widowControl w:val="0"/>
        <w:spacing w:line="360" w:lineRule="auto"/>
        <w:ind w:firstLine="220" w:firstLineChars="100"/>
        <w:jc w:val="both"/>
        <w:rPr>
          <w:rFonts w:hint="eastAsia" w:ascii="宋体" w:hAnsi="宋体" w:eastAsia="宋体" w:cs="宋体"/>
          <w:kern w:val="2"/>
          <w:sz w:val="22"/>
          <w:szCs w:val="22"/>
          <w:highlight w:val="none"/>
          <w:lang w:val="en-US" w:eastAsia="zh-CN" w:bidi="ar-SA"/>
        </w:rPr>
      </w:pPr>
    </w:p>
    <w:p w14:paraId="735F55C4">
      <w:pPr>
        <w:tabs>
          <w:tab w:val="left" w:pos="1620"/>
          <w:tab w:val="left" w:pos="1800"/>
        </w:tabs>
        <w:spacing w:line="360" w:lineRule="auto"/>
        <w:rPr>
          <w:rFonts w:hint="eastAsia" w:ascii="宋体" w:hAnsi="宋体" w:cs="宋体"/>
          <w:sz w:val="22"/>
          <w:szCs w:val="22"/>
          <w:highlight w:val="none"/>
          <w:lang w:val="zh-CN"/>
        </w:rPr>
      </w:pPr>
      <w:r>
        <w:rPr>
          <w:rFonts w:hint="eastAsia" w:ascii="宋体" w:hAnsi="宋体" w:cs="宋体"/>
          <w:sz w:val="22"/>
          <w:szCs w:val="22"/>
          <w:highlight w:val="none"/>
          <w:lang w:val="zh-CN"/>
        </w:rPr>
        <w:t>备注：</w:t>
      </w:r>
    </w:p>
    <w:p w14:paraId="7FECE2A8">
      <w:pPr>
        <w:tabs>
          <w:tab w:val="left" w:pos="1620"/>
          <w:tab w:val="left" w:pos="1800"/>
        </w:tabs>
        <w:spacing w:line="360" w:lineRule="auto"/>
        <w:ind w:firstLine="220" w:firstLineChars="100"/>
        <w:rPr>
          <w:rFonts w:hint="eastAsia" w:ascii="宋体" w:hAnsi="宋体" w:cs="宋体"/>
          <w:b/>
          <w:bCs/>
          <w:sz w:val="22"/>
          <w:szCs w:val="22"/>
          <w:highlight w:val="none"/>
        </w:rPr>
      </w:pPr>
      <w:r>
        <w:rPr>
          <w:rFonts w:hint="eastAsia" w:ascii="宋体" w:hAnsi="宋体" w:cs="宋体"/>
          <w:sz w:val="22"/>
          <w:szCs w:val="22"/>
          <w:highlight w:val="none"/>
        </w:rPr>
        <w:t>1.</w:t>
      </w:r>
      <w:r>
        <w:rPr>
          <w:rFonts w:hint="eastAsia" w:ascii="宋体" w:hAnsi="宋体" w:cs="宋体"/>
          <w:sz w:val="22"/>
          <w:szCs w:val="22"/>
          <w:highlight w:val="none"/>
          <w:lang w:val="zh-CN"/>
        </w:rPr>
        <w:t>供应商提供的《残疾人福利性单位声明函》必须真实有效。</w:t>
      </w:r>
      <w:r>
        <w:rPr>
          <w:rFonts w:hint="eastAsia" w:ascii="宋体" w:hAnsi="宋体" w:cs="宋体"/>
          <w:color w:val="000000"/>
          <w:kern w:val="0"/>
          <w:sz w:val="22"/>
          <w:szCs w:val="22"/>
          <w:highlight w:val="none"/>
          <w:shd w:val="clear" w:color="auto" w:fill="FFFFFF"/>
          <w:lang w:bidi="ar"/>
        </w:rPr>
        <w:t>如有虚假，将依法承担相应责任。</w:t>
      </w:r>
      <w:r>
        <w:rPr>
          <w:rFonts w:hint="eastAsia" w:ascii="宋体" w:hAnsi="宋体" w:cs="宋体"/>
          <w:b/>
          <w:bCs/>
          <w:sz w:val="22"/>
          <w:szCs w:val="22"/>
          <w:highlight w:val="none"/>
        </w:rPr>
        <w:t>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0860F1D2">
      <w:pPr>
        <w:tabs>
          <w:tab w:val="left" w:pos="1620"/>
          <w:tab w:val="left" w:pos="1800"/>
        </w:tabs>
        <w:spacing w:line="360" w:lineRule="auto"/>
        <w:ind w:firstLine="220" w:firstLineChars="100"/>
        <w:rPr>
          <w:rFonts w:hint="eastAsia" w:ascii="宋体" w:hAnsi="宋体" w:cs="宋体"/>
          <w:sz w:val="22"/>
          <w:szCs w:val="22"/>
          <w:highlight w:val="none"/>
        </w:rPr>
      </w:pPr>
      <w:r>
        <w:rPr>
          <w:rFonts w:hint="eastAsia" w:ascii="宋体" w:hAnsi="宋体" w:cs="宋体"/>
          <w:sz w:val="22"/>
          <w:szCs w:val="22"/>
          <w:highlight w:val="none"/>
        </w:rPr>
        <w:t>2.供应商非残疾人福利性单位，竞争性</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响应文件可不提供此页内容。</w:t>
      </w:r>
    </w:p>
    <w:p w14:paraId="3E72A5FD">
      <w:pPr>
        <w:spacing w:before="120" w:beforeLines="50" w:after="120" w:afterLines="50" w:line="360" w:lineRule="auto"/>
        <w:jc w:val="center"/>
        <w:outlineLvl w:val="9"/>
        <w:rPr>
          <w:rFonts w:hint="eastAsia" w:ascii="宋体" w:hAnsi="宋体" w:cs="宋体"/>
          <w:b/>
          <w:sz w:val="22"/>
          <w:szCs w:val="22"/>
          <w:highlight w:val="none"/>
        </w:rPr>
      </w:pPr>
    </w:p>
    <w:p w14:paraId="217EB93F">
      <w:pPr>
        <w:spacing w:before="120" w:beforeLines="50" w:after="120" w:afterLines="50"/>
        <w:jc w:val="center"/>
        <w:outlineLvl w:val="9"/>
        <w:rPr>
          <w:rFonts w:hint="eastAsia" w:ascii="宋体" w:hAnsi="宋体" w:cs="宋体"/>
          <w:b/>
          <w:sz w:val="22"/>
          <w:szCs w:val="22"/>
          <w:highlight w:val="none"/>
        </w:rPr>
      </w:pPr>
    </w:p>
    <w:p w14:paraId="22108C00">
      <w:pPr>
        <w:spacing w:before="120" w:beforeLines="50" w:after="120" w:afterLines="50"/>
        <w:jc w:val="center"/>
        <w:outlineLvl w:val="9"/>
        <w:rPr>
          <w:rFonts w:hint="eastAsia" w:ascii="宋体" w:hAnsi="宋体" w:cs="宋体"/>
          <w:b/>
          <w:sz w:val="22"/>
          <w:szCs w:val="22"/>
          <w:highlight w:val="none"/>
        </w:rPr>
      </w:pPr>
    </w:p>
    <w:p w14:paraId="6D6C0BD0">
      <w:pPr>
        <w:spacing w:before="120" w:beforeLines="50" w:after="120" w:afterLines="50"/>
        <w:jc w:val="center"/>
        <w:outlineLvl w:val="9"/>
        <w:rPr>
          <w:rFonts w:hint="eastAsia" w:ascii="宋体" w:hAnsi="宋体" w:cs="宋体"/>
          <w:b/>
          <w:sz w:val="22"/>
          <w:szCs w:val="22"/>
          <w:highlight w:val="none"/>
        </w:rPr>
      </w:pPr>
    </w:p>
    <w:p w14:paraId="53490673">
      <w:pPr>
        <w:spacing w:before="120" w:beforeLines="50" w:after="120" w:afterLines="50"/>
        <w:jc w:val="center"/>
        <w:outlineLvl w:val="9"/>
        <w:rPr>
          <w:rFonts w:hint="eastAsia" w:ascii="宋体" w:hAnsi="宋体" w:cs="宋体"/>
          <w:b/>
          <w:sz w:val="22"/>
          <w:szCs w:val="22"/>
          <w:highlight w:val="none"/>
        </w:rPr>
      </w:pPr>
    </w:p>
    <w:p w14:paraId="7A5F0834">
      <w:pPr>
        <w:spacing w:before="120" w:beforeLines="50" w:after="120" w:afterLines="50"/>
        <w:outlineLvl w:val="9"/>
        <w:rPr>
          <w:rFonts w:hint="eastAsia" w:ascii="宋体" w:hAnsi="宋体" w:cs="宋体"/>
          <w:b/>
          <w:sz w:val="22"/>
          <w:szCs w:val="22"/>
          <w:highlight w:val="none"/>
        </w:rPr>
      </w:pPr>
    </w:p>
    <w:p w14:paraId="2AE2FD1D">
      <w:pPr>
        <w:adjustRightInd w:val="0"/>
        <w:snapToGrid w:val="0"/>
        <w:spacing w:line="480" w:lineRule="auto"/>
        <w:jc w:val="center"/>
        <w:rPr>
          <w:rFonts w:hint="eastAsia" w:ascii="宋体" w:hAnsi="宋体" w:cs="宋体"/>
          <w:b/>
          <w:bCs/>
          <w:sz w:val="22"/>
          <w:szCs w:val="22"/>
          <w:highlight w:val="none"/>
        </w:rPr>
      </w:pPr>
      <w:r>
        <w:rPr>
          <w:rFonts w:hint="eastAsia" w:ascii="宋体" w:hAnsi="宋体" w:cs="宋体"/>
          <w:b/>
          <w:bCs/>
          <w:sz w:val="22"/>
          <w:szCs w:val="22"/>
          <w:highlight w:val="none"/>
        </w:rPr>
        <w:br w:type="page"/>
      </w:r>
      <w:r>
        <w:rPr>
          <w:rFonts w:hint="eastAsia" w:ascii="宋体" w:hAnsi="宋体" w:cs="宋体"/>
          <w:b/>
          <w:bCs/>
          <w:sz w:val="22"/>
          <w:szCs w:val="22"/>
          <w:highlight w:val="none"/>
        </w:rPr>
        <w:t>（</w:t>
      </w:r>
      <w:r>
        <w:rPr>
          <w:rFonts w:hint="eastAsia" w:ascii="宋体" w:hAnsi="宋体" w:cs="宋体"/>
          <w:b/>
          <w:bCs/>
          <w:sz w:val="22"/>
          <w:szCs w:val="22"/>
          <w:highlight w:val="none"/>
          <w:lang w:eastAsia="zh-CN"/>
        </w:rPr>
        <w:t>三</w:t>
      </w:r>
      <w:r>
        <w:rPr>
          <w:rFonts w:hint="eastAsia" w:ascii="宋体" w:hAnsi="宋体" w:cs="宋体"/>
          <w:b/>
          <w:bCs/>
          <w:sz w:val="22"/>
          <w:szCs w:val="22"/>
          <w:highlight w:val="none"/>
        </w:rPr>
        <w:t>）监狱企业证明文件</w:t>
      </w:r>
    </w:p>
    <w:p w14:paraId="7993E9DC">
      <w:pPr>
        <w:rPr>
          <w:rFonts w:hint="eastAsia" w:ascii="宋体" w:hAnsi="宋体" w:cs="宋体"/>
          <w:sz w:val="22"/>
          <w:szCs w:val="22"/>
          <w:highlight w:val="none"/>
        </w:rPr>
      </w:pPr>
    </w:p>
    <w:p w14:paraId="2120123B">
      <w:pPr>
        <w:spacing w:line="360" w:lineRule="auto"/>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079C29">
      <w:pPr>
        <w:spacing w:line="360" w:lineRule="auto"/>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监狱企业参加政府采购活动时，应当提供由省级以上监狱管理局、戒毒管理局（含新疆生产建设兵团）出具的属于监狱企业的证明文件。</w:t>
      </w:r>
    </w:p>
    <w:p w14:paraId="5BF72AEE">
      <w:pPr>
        <w:tabs>
          <w:tab w:val="left" w:pos="1620"/>
          <w:tab w:val="left" w:pos="1800"/>
        </w:tabs>
        <w:spacing w:line="360" w:lineRule="auto"/>
        <w:rPr>
          <w:rFonts w:hint="eastAsia" w:hAnsi="宋体" w:cs="宋体"/>
          <w:b w:val="0"/>
          <w:bCs w:val="0"/>
          <w:sz w:val="22"/>
          <w:szCs w:val="22"/>
          <w:highlight w:val="none"/>
          <w:lang w:val="en-US" w:eastAsia="zh-CN"/>
        </w:rPr>
      </w:pPr>
    </w:p>
    <w:p w14:paraId="28584DAA">
      <w:pPr>
        <w:tabs>
          <w:tab w:val="left" w:pos="1620"/>
          <w:tab w:val="left" w:pos="1800"/>
        </w:tabs>
        <w:spacing w:line="360" w:lineRule="auto"/>
        <w:rPr>
          <w:rFonts w:hint="eastAsia" w:hAnsi="宋体" w:cs="宋体"/>
          <w:b w:val="0"/>
          <w:bCs w:val="0"/>
          <w:sz w:val="22"/>
          <w:szCs w:val="22"/>
          <w:highlight w:val="none"/>
          <w:lang w:val="en-US" w:eastAsia="zh-CN"/>
        </w:rPr>
      </w:pPr>
    </w:p>
    <w:p w14:paraId="709B2074">
      <w:pPr>
        <w:tabs>
          <w:tab w:val="left" w:pos="1620"/>
          <w:tab w:val="left" w:pos="1800"/>
        </w:tabs>
        <w:spacing w:line="360" w:lineRule="auto"/>
        <w:rPr>
          <w:rFonts w:hint="eastAsia" w:hAnsi="宋体" w:cs="宋体"/>
          <w:b w:val="0"/>
          <w:bCs w:val="0"/>
          <w:sz w:val="22"/>
          <w:szCs w:val="22"/>
          <w:highlight w:val="none"/>
          <w:lang w:val="en-US" w:eastAsia="zh-CN"/>
        </w:rPr>
      </w:pPr>
    </w:p>
    <w:p w14:paraId="02113955">
      <w:pPr>
        <w:tabs>
          <w:tab w:val="left" w:pos="1620"/>
          <w:tab w:val="left" w:pos="1800"/>
        </w:tabs>
        <w:spacing w:line="360" w:lineRule="auto"/>
        <w:rPr>
          <w:rFonts w:hint="eastAsia" w:hAnsi="宋体" w:cs="宋体"/>
          <w:b w:val="0"/>
          <w:bCs w:val="0"/>
          <w:sz w:val="22"/>
          <w:szCs w:val="22"/>
          <w:highlight w:val="none"/>
          <w:lang w:val="en-US" w:eastAsia="zh-CN"/>
        </w:rPr>
      </w:pPr>
    </w:p>
    <w:p w14:paraId="28DD6F82">
      <w:pPr>
        <w:tabs>
          <w:tab w:val="left" w:pos="1620"/>
          <w:tab w:val="left" w:pos="1800"/>
        </w:tabs>
        <w:spacing w:line="360" w:lineRule="auto"/>
        <w:rPr>
          <w:rFonts w:hint="eastAsia" w:ascii="宋体" w:hAnsi="宋体" w:cs="宋体"/>
          <w:sz w:val="22"/>
          <w:szCs w:val="28"/>
          <w:highlight w:val="none"/>
        </w:rPr>
      </w:pPr>
      <w:r>
        <w:rPr>
          <w:rFonts w:hint="eastAsia" w:hAnsi="宋体" w:cs="宋体"/>
          <w:b w:val="0"/>
          <w:bCs w:val="0"/>
          <w:sz w:val="22"/>
          <w:szCs w:val="22"/>
          <w:highlight w:val="none"/>
          <w:lang w:val="en-US" w:eastAsia="zh-CN"/>
        </w:rPr>
        <w:t>备注：</w:t>
      </w:r>
      <w:r>
        <w:rPr>
          <w:rFonts w:hint="eastAsia" w:ascii="宋体" w:hAnsi="宋体" w:cs="宋体"/>
          <w:sz w:val="22"/>
          <w:szCs w:val="22"/>
          <w:highlight w:val="none"/>
        </w:rPr>
        <w:t>供应商非监狱企业，竞争性</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响应文件可不提供此页内容。</w:t>
      </w:r>
    </w:p>
    <w:p w14:paraId="48397110">
      <w:pPr>
        <w:keepNext w:val="0"/>
        <w:keepLines w:val="0"/>
        <w:pageBreakBefore w:val="0"/>
        <w:widowControl w:val="0"/>
        <w:kinsoku/>
        <w:topLinePunct w:val="0"/>
        <w:autoSpaceDE/>
        <w:autoSpaceDN/>
        <w:bidi w:val="0"/>
        <w:adjustRightInd w:val="0"/>
        <w:snapToGrid w:val="0"/>
        <w:spacing w:line="360" w:lineRule="auto"/>
        <w:ind w:firstLine="464" w:firstLineChars="200"/>
        <w:rPr>
          <w:rFonts w:hint="eastAsia" w:ascii="宋体" w:hAnsi="宋体" w:cs="宋体"/>
          <w:spacing w:val="6"/>
          <w:sz w:val="22"/>
          <w:szCs w:val="22"/>
          <w:highlight w:val="none"/>
        </w:rPr>
      </w:pPr>
    </w:p>
    <w:p w14:paraId="32CF2585">
      <w:pPr>
        <w:pStyle w:val="37"/>
        <w:rPr>
          <w:rFonts w:hint="eastAsia" w:ascii="宋体" w:hAnsi="宋体" w:eastAsia="宋体" w:cs="宋体"/>
          <w:sz w:val="24"/>
          <w:szCs w:val="24"/>
          <w:highlight w:val="none"/>
        </w:rPr>
      </w:pPr>
    </w:p>
    <w:p w14:paraId="698281AD">
      <w:pPr>
        <w:pStyle w:val="37"/>
        <w:rPr>
          <w:rFonts w:hint="eastAsia" w:ascii="宋体" w:hAnsi="宋体" w:eastAsia="宋体" w:cs="宋体"/>
          <w:sz w:val="24"/>
          <w:szCs w:val="24"/>
          <w:highlight w:val="none"/>
        </w:rPr>
      </w:pPr>
    </w:p>
    <w:p w14:paraId="3653B576">
      <w:pPr>
        <w:pStyle w:val="37"/>
        <w:rPr>
          <w:rFonts w:hint="eastAsia" w:ascii="宋体" w:hAnsi="宋体" w:eastAsia="宋体" w:cs="宋体"/>
          <w:sz w:val="24"/>
          <w:szCs w:val="24"/>
          <w:highlight w:val="none"/>
        </w:rPr>
      </w:pPr>
    </w:p>
    <w:p w14:paraId="49E06F8B">
      <w:pPr>
        <w:pStyle w:val="37"/>
        <w:rPr>
          <w:rFonts w:hint="eastAsia" w:ascii="宋体" w:hAnsi="宋体" w:eastAsia="宋体" w:cs="宋体"/>
          <w:sz w:val="24"/>
          <w:szCs w:val="24"/>
          <w:highlight w:val="none"/>
        </w:rPr>
      </w:pPr>
    </w:p>
    <w:p w14:paraId="5D8853C5">
      <w:pPr>
        <w:pStyle w:val="37"/>
        <w:rPr>
          <w:rFonts w:hint="eastAsia" w:ascii="宋体" w:hAnsi="宋体" w:eastAsia="宋体" w:cs="宋体"/>
          <w:sz w:val="24"/>
          <w:szCs w:val="24"/>
          <w:highlight w:val="none"/>
        </w:rPr>
      </w:pPr>
    </w:p>
    <w:p w14:paraId="114CC44A">
      <w:pPr>
        <w:pStyle w:val="37"/>
        <w:rPr>
          <w:rFonts w:hint="eastAsia" w:ascii="宋体" w:hAnsi="宋体" w:eastAsia="宋体" w:cs="宋体"/>
          <w:sz w:val="24"/>
          <w:szCs w:val="24"/>
          <w:highlight w:val="none"/>
        </w:rPr>
      </w:pPr>
    </w:p>
    <w:p w14:paraId="15E4EDFE">
      <w:pPr>
        <w:pStyle w:val="37"/>
        <w:rPr>
          <w:rFonts w:hint="eastAsia" w:ascii="宋体" w:hAnsi="宋体" w:eastAsia="宋体" w:cs="宋体"/>
          <w:sz w:val="24"/>
          <w:szCs w:val="24"/>
          <w:highlight w:val="none"/>
        </w:rPr>
      </w:pPr>
    </w:p>
    <w:p w14:paraId="3997BC10">
      <w:pPr>
        <w:pStyle w:val="37"/>
        <w:rPr>
          <w:rFonts w:hint="eastAsia" w:ascii="宋体" w:hAnsi="宋体" w:eastAsia="宋体" w:cs="宋体"/>
          <w:sz w:val="24"/>
          <w:szCs w:val="24"/>
          <w:highlight w:val="none"/>
        </w:rPr>
      </w:pPr>
    </w:p>
    <w:p w14:paraId="080B82DB">
      <w:pPr>
        <w:pStyle w:val="37"/>
        <w:rPr>
          <w:rFonts w:hint="eastAsia" w:ascii="宋体" w:hAnsi="宋体" w:eastAsia="宋体" w:cs="宋体"/>
          <w:sz w:val="24"/>
          <w:szCs w:val="24"/>
          <w:highlight w:val="none"/>
        </w:rPr>
      </w:pPr>
    </w:p>
    <w:p w14:paraId="640A1E80">
      <w:pPr>
        <w:pStyle w:val="37"/>
        <w:rPr>
          <w:rFonts w:hint="eastAsia" w:ascii="宋体" w:hAnsi="宋体" w:eastAsia="宋体" w:cs="宋体"/>
          <w:sz w:val="24"/>
          <w:szCs w:val="24"/>
          <w:highlight w:val="none"/>
        </w:rPr>
      </w:pPr>
    </w:p>
    <w:p w14:paraId="2A8F3710">
      <w:pPr>
        <w:pStyle w:val="37"/>
        <w:rPr>
          <w:rFonts w:hint="eastAsia" w:ascii="宋体" w:hAnsi="宋体" w:eastAsia="宋体" w:cs="宋体"/>
          <w:sz w:val="24"/>
          <w:szCs w:val="24"/>
          <w:highlight w:val="none"/>
        </w:rPr>
      </w:pPr>
    </w:p>
    <w:p w14:paraId="0A3D25A1">
      <w:pPr>
        <w:pStyle w:val="37"/>
        <w:rPr>
          <w:rFonts w:hint="eastAsia" w:ascii="宋体" w:hAnsi="宋体" w:eastAsia="宋体" w:cs="宋体"/>
          <w:sz w:val="24"/>
          <w:szCs w:val="24"/>
          <w:highlight w:val="none"/>
        </w:rPr>
      </w:pPr>
    </w:p>
    <w:p w14:paraId="0ECE49CA">
      <w:pPr>
        <w:pStyle w:val="37"/>
        <w:rPr>
          <w:rFonts w:hint="eastAsia" w:ascii="宋体" w:hAnsi="宋体" w:eastAsia="宋体" w:cs="宋体"/>
          <w:sz w:val="24"/>
          <w:szCs w:val="24"/>
          <w:highlight w:val="none"/>
        </w:rPr>
      </w:pPr>
    </w:p>
    <w:p w14:paraId="395EF4EA">
      <w:pPr>
        <w:pStyle w:val="37"/>
        <w:rPr>
          <w:rFonts w:hint="eastAsia" w:ascii="宋体" w:hAnsi="宋体" w:eastAsia="宋体" w:cs="宋体"/>
          <w:sz w:val="24"/>
          <w:szCs w:val="24"/>
          <w:highlight w:val="none"/>
        </w:rPr>
      </w:pPr>
    </w:p>
    <w:p w14:paraId="0A6CEF83">
      <w:pPr>
        <w:pStyle w:val="37"/>
        <w:rPr>
          <w:rFonts w:hint="eastAsia" w:ascii="宋体" w:hAnsi="宋体" w:eastAsia="宋体" w:cs="宋体"/>
          <w:sz w:val="22"/>
          <w:szCs w:val="22"/>
          <w:highlight w:val="none"/>
        </w:rPr>
      </w:pPr>
    </w:p>
    <w:p w14:paraId="39402533">
      <w:pPr>
        <w:pStyle w:val="37"/>
        <w:rPr>
          <w:rFonts w:hint="eastAsia" w:ascii="宋体" w:hAnsi="宋体" w:eastAsia="宋体" w:cs="宋体"/>
          <w:sz w:val="22"/>
          <w:szCs w:val="22"/>
          <w:highlight w:val="none"/>
        </w:rPr>
      </w:pPr>
    </w:p>
    <w:p w14:paraId="1BF90389">
      <w:pPr>
        <w:pStyle w:val="37"/>
        <w:rPr>
          <w:rFonts w:hint="eastAsia" w:ascii="宋体" w:hAnsi="宋体" w:eastAsia="宋体" w:cs="宋体"/>
          <w:sz w:val="22"/>
          <w:szCs w:val="22"/>
          <w:highlight w:val="none"/>
        </w:rPr>
      </w:pPr>
    </w:p>
    <w:p w14:paraId="6DBDCA9D">
      <w:pPr>
        <w:pStyle w:val="37"/>
        <w:rPr>
          <w:rFonts w:hint="eastAsia" w:ascii="宋体" w:hAnsi="宋体" w:eastAsia="宋体" w:cs="宋体"/>
          <w:sz w:val="22"/>
          <w:szCs w:val="22"/>
          <w:highlight w:val="none"/>
        </w:rPr>
      </w:pPr>
    </w:p>
    <w:p w14:paraId="2538C7D7">
      <w:pPr>
        <w:pStyle w:val="37"/>
        <w:rPr>
          <w:rFonts w:hint="eastAsia" w:ascii="宋体" w:hAnsi="宋体" w:eastAsia="宋体" w:cs="宋体"/>
          <w:sz w:val="22"/>
          <w:szCs w:val="22"/>
          <w:highlight w:val="none"/>
        </w:rPr>
      </w:pPr>
    </w:p>
    <w:p w14:paraId="5EA56865">
      <w:pPr>
        <w:pStyle w:val="37"/>
        <w:rPr>
          <w:rFonts w:hint="eastAsia" w:ascii="宋体" w:hAnsi="宋体" w:eastAsia="宋体" w:cs="宋体"/>
          <w:sz w:val="22"/>
          <w:szCs w:val="22"/>
          <w:highlight w:val="none"/>
        </w:rPr>
      </w:pPr>
    </w:p>
    <w:p w14:paraId="5CB3621C">
      <w:pPr>
        <w:pStyle w:val="37"/>
        <w:rPr>
          <w:rFonts w:hint="eastAsia" w:ascii="宋体" w:hAnsi="宋体" w:eastAsia="宋体" w:cs="宋体"/>
          <w:sz w:val="22"/>
          <w:szCs w:val="22"/>
          <w:highlight w:val="none"/>
        </w:rPr>
      </w:pPr>
    </w:p>
    <w:p w14:paraId="44B33F08">
      <w:pPr>
        <w:pStyle w:val="37"/>
        <w:ind w:left="0" w:leftChars="0" w:firstLine="0" w:firstLineChars="0"/>
        <w:rPr>
          <w:rFonts w:hint="eastAsia" w:ascii="宋体" w:hAnsi="宋体" w:eastAsia="宋体" w:cs="宋体"/>
          <w:sz w:val="22"/>
          <w:szCs w:val="22"/>
          <w:highlight w:val="none"/>
        </w:rPr>
      </w:pPr>
    </w:p>
    <w:p w14:paraId="36B86A5B">
      <w:pPr>
        <w:outlineLvl w:val="1"/>
        <w:rPr>
          <w:rFonts w:hint="eastAsia" w:ascii="宋体" w:hAnsi="宋体" w:eastAsia="宋体" w:cs="宋体"/>
          <w:b/>
          <w:szCs w:val="21"/>
          <w:highlight w:val="none"/>
          <w:lang w:eastAsia="zh-CN"/>
        </w:rPr>
      </w:pPr>
      <w:r>
        <w:rPr>
          <w:rFonts w:hint="eastAsia" w:ascii="宋体" w:hAnsi="宋体" w:eastAsia="宋体" w:cs="宋体"/>
          <w:b/>
          <w:sz w:val="22"/>
          <w:szCs w:val="22"/>
          <w:highlight w:val="none"/>
          <w:lang w:eastAsia="zh-CN"/>
        </w:rPr>
        <w:t>附件三：</w:t>
      </w:r>
    </w:p>
    <w:p w14:paraId="7BFBC396">
      <w:pPr>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jc w:val="center"/>
        <w:textAlignment w:val="baseline"/>
        <w:rPr>
          <w:rFonts w:hint="eastAsia" w:ascii="宋体" w:hAnsi="宋体"/>
          <w:b/>
          <w:i w:val="0"/>
          <w:caps w:val="0"/>
          <w:color w:val="auto"/>
          <w:spacing w:val="0"/>
          <w:w w:val="100"/>
          <w:kern w:val="2"/>
          <w:sz w:val="24"/>
          <w:szCs w:val="24"/>
          <w:highlight w:val="none"/>
          <w:lang w:val="en-US" w:eastAsia="zh-CN" w:bidi="ar-SA"/>
        </w:rPr>
      </w:pPr>
      <w:r>
        <w:rPr>
          <w:rFonts w:hint="eastAsia" w:ascii="宋体" w:hAnsi="宋体"/>
          <w:b/>
          <w:i w:val="0"/>
          <w:caps w:val="0"/>
          <w:color w:val="auto"/>
          <w:spacing w:val="0"/>
          <w:w w:val="100"/>
          <w:kern w:val="2"/>
          <w:sz w:val="24"/>
          <w:szCs w:val="24"/>
          <w:highlight w:val="none"/>
          <w:lang w:val="en-US" w:eastAsia="zh-CN" w:bidi="ar-SA"/>
        </w:rPr>
        <w:t>交易保证金信用承诺书</w:t>
      </w:r>
    </w:p>
    <w:p w14:paraId="71AD5710">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u w:val="single"/>
          <w:lang w:eastAsia="zh-CN"/>
        </w:rPr>
      </w:pPr>
      <w:r>
        <w:rPr>
          <w:rFonts w:hint="eastAsia" w:ascii="宋体" w:hAnsi="宋体" w:eastAsia="宋体" w:cs="宋体"/>
          <w:b w:val="0"/>
          <w:bCs w:val="0"/>
          <w:sz w:val="21"/>
          <w:szCs w:val="21"/>
          <w:highlight w:val="none"/>
          <w:u w:val="single"/>
          <w:lang w:eastAsia="zh-CN"/>
        </w:rPr>
        <w:t>（招标采购单位名称）：</w:t>
      </w:r>
    </w:p>
    <w:p w14:paraId="25649128">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为维护公平、公正、公开的招标采购市场秩序，树立诚实守信的投标人供应形象，我单位自愿作出以下承诺：</w:t>
      </w:r>
    </w:p>
    <w:p w14:paraId="5AA3FCD3">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u w:val="single"/>
          <w:lang w:val="en-US" w:eastAsia="zh-CN"/>
        </w:rPr>
      </w:pPr>
      <w:r>
        <w:rPr>
          <w:rFonts w:hint="eastAsia" w:ascii="宋体" w:hAnsi="宋体" w:eastAsia="宋体" w:cs="宋体"/>
          <w:b w:val="0"/>
          <w:bCs w:val="0"/>
          <w:sz w:val="21"/>
          <w:szCs w:val="21"/>
          <w:highlight w:val="none"/>
          <w:lang w:eastAsia="zh-CN"/>
        </w:rPr>
        <w:t>单位名称：</w:t>
      </w:r>
      <w:r>
        <w:rPr>
          <w:rFonts w:hint="eastAsia" w:ascii="宋体" w:hAnsi="宋体" w:eastAsia="宋体" w:cs="宋体"/>
          <w:b w:val="0"/>
          <w:bCs w:val="0"/>
          <w:sz w:val="21"/>
          <w:szCs w:val="21"/>
          <w:highlight w:val="none"/>
          <w:u w:val="single"/>
          <w:lang w:val="en-US" w:eastAsia="zh-CN"/>
        </w:rPr>
        <w:t xml:space="preserve">                                  </w:t>
      </w:r>
    </w:p>
    <w:p w14:paraId="59519146">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lang w:eastAsia="zh-CN"/>
        </w:rPr>
        <w:t>统一社会信用代码：</w:t>
      </w:r>
      <w:r>
        <w:rPr>
          <w:rFonts w:hint="eastAsia" w:ascii="宋体" w:hAnsi="宋体" w:eastAsia="宋体" w:cs="宋体"/>
          <w:b w:val="0"/>
          <w:bCs w:val="0"/>
          <w:sz w:val="21"/>
          <w:szCs w:val="21"/>
          <w:highlight w:val="none"/>
          <w:u w:val="single"/>
          <w:lang w:val="en-US" w:eastAsia="zh-CN"/>
        </w:rPr>
        <w:t xml:space="preserve">                          </w:t>
      </w:r>
    </w:p>
    <w:p w14:paraId="08A571AC">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u w:val="single"/>
          <w:lang w:val="en-US" w:eastAsia="zh-CN"/>
        </w:rPr>
      </w:pPr>
      <w:r>
        <w:rPr>
          <w:rFonts w:hint="eastAsia" w:ascii="宋体" w:hAnsi="宋体" w:eastAsia="宋体" w:cs="宋体"/>
          <w:b w:val="0"/>
          <w:bCs w:val="0"/>
          <w:sz w:val="21"/>
          <w:szCs w:val="21"/>
          <w:highlight w:val="none"/>
          <w:lang w:eastAsia="zh-CN"/>
        </w:rPr>
        <w:t>法定代表人：</w:t>
      </w:r>
      <w:r>
        <w:rPr>
          <w:rFonts w:hint="eastAsia" w:ascii="宋体" w:hAnsi="宋体" w:eastAsia="宋体" w:cs="宋体"/>
          <w:b w:val="0"/>
          <w:bCs w:val="0"/>
          <w:sz w:val="21"/>
          <w:szCs w:val="21"/>
          <w:highlight w:val="none"/>
          <w:u w:val="single"/>
          <w:lang w:val="en-US" w:eastAsia="zh-CN"/>
        </w:rPr>
        <w:t xml:space="preserve">                                </w:t>
      </w:r>
    </w:p>
    <w:p w14:paraId="4F5EE1BD">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u w:val="single"/>
          <w:lang w:val="en-US" w:eastAsia="zh-CN"/>
        </w:rPr>
      </w:pPr>
      <w:r>
        <w:rPr>
          <w:rFonts w:hint="eastAsia" w:ascii="宋体" w:hAnsi="宋体" w:eastAsia="宋体" w:cs="宋体"/>
          <w:b w:val="0"/>
          <w:bCs w:val="0"/>
          <w:sz w:val="21"/>
          <w:szCs w:val="21"/>
          <w:highlight w:val="none"/>
          <w:lang w:eastAsia="zh-CN"/>
        </w:rPr>
        <w:t>地址和联系电话：</w:t>
      </w:r>
      <w:r>
        <w:rPr>
          <w:rFonts w:hint="eastAsia" w:ascii="宋体" w:hAnsi="宋体" w:eastAsia="宋体" w:cs="宋体"/>
          <w:b w:val="0"/>
          <w:bCs w:val="0"/>
          <w:sz w:val="21"/>
          <w:szCs w:val="21"/>
          <w:highlight w:val="none"/>
          <w:u w:val="single"/>
          <w:lang w:val="en-US" w:eastAsia="zh-CN"/>
        </w:rPr>
        <w:t xml:space="preserve">                            </w:t>
      </w:r>
    </w:p>
    <w:p w14:paraId="0BB6D80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一、我单位具备承担招标采购项目的能力，自愿参加</w:t>
      </w:r>
      <w:r>
        <w:rPr>
          <w:rFonts w:hint="eastAsia" w:ascii="宋体" w:hAnsi="宋体" w:eastAsia="宋体" w:cs="宋体"/>
          <w:b w:val="0"/>
          <w:bCs w:val="0"/>
          <w:sz w:val="21"/>
          <w:szCs w:val="21"/>
          <w:highlight w:val="none"/>
          <w:u w:val="single"/>
          <w:lang w:eastAsia="zh-CN"/>
        </w:rPr>
        <w:t>（</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u w:val="single"/>
          <w:lang w:eastAsia="zh-CN"/>
        </w:rPr>
        <w:t>项目名称</w:t>
      </w:r>
      <w:r>
        <w:rPr>
          <w:rFonts w:hint="eastAsia" w:ascii="宋体" w:hAnsi="宋体" w:eastAsia="宋体" w:cs="宋体"/>
          <w:b w:val="0"/>
          <w:bCs w:val="0"/>
          <w:sz w:val="21"/>
          <w:szCs w:val="21"/>
          <w:highlight w:val="none"/>
          <w:lang w:eastAsia="zh-CN"/>
        </w:rPr>
        <w:t>）招标采购活动，严格遵守《中华人民共和国招标投标法》《中华人民共和国政府采购法》及相关法律法规，依法守信，诚信履约，自觉执行招标采购活动的各项规定。</w:t>
      </w:r>
    </w:p>
    <w:p w14:paraId="4A1FFC7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二、按照国家公共信用查询结果，我单位属于国家公共信用评价的无违规违法不良信用记录企业。</w:t>
      </w:r>
    </w:p>
    <w:p w14:paraId="49BBD37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三、我单位如有发生下述任何一种违约行为，自愿承担相关法律责任，5年内自动放弃在宝鸡市项目招标采购中使用“保证金信用承诺书”资格。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14:paraId="6EDEAC1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（一）在招标采购文件中规定的有效期内撤销投标采购文件；</w:t>
      </w:r>
    </w:p>
    <w:p w14:paraId="2CDAAA5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（二）中标后在规定期限内无正当理由不与招标人采购人签订合同，或者未按招标采购文件规定提交履约保证金；</w:t>
      </w:r>
    </w:p>
    <w:p w14:paraId="1D941A0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（三）未按照宝鸡市公共资源交易规定，及时足额缴纳进场交易服务费，或仍有拖欠交易服务费；</w:t>
      </w:r>
    </w:p>
    <w:p w14:paraId="29C2319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（四）行政监管机构认定投标采购人有串通投标或弄虚作假等违法违纪行为；</w:t>
      </w:r>
    </w:p>
    <w:p w14:paraId="1E03AE6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（五）法律法规规定的其他情形。</w:t>
      </w:r>
    </w:p>
    <w:p w14:paraId="4A91334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四、同意将承诺和失诺信息纳入宝鸡市公共资源交易领域信用记录并归集至信用中国（陕西宝鸡）等信用平台合规应用。</w:t>
      </w:r>
    </w:p>
    <w:p w14:paraId="7A8628F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特此承诺。</w:t>
      </w:r>
    </w:p>
    <w:p w14:paraId="55F3CBB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附件：“信用中国”网站下载的信用报告显示无不良信用记录（带水印）并加盖公章，信用报告查询出具日期为项目公告发布之日起至投标人投标文件或响应文件递交截止之日。</w:t>
      </w:r>
    </w:p>
    <w:p w14:paraId="64A4FD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p>
    <w:p w14:paraId="5D35878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b w:val="0"/>
          <w:bCs w:val="0"/>
          <w:sz w:val="24"/>
          <w:szCs w:val="24"/>
          <w:highlight w:val="none"/>
          <w:lang w:val="en-US" w:eastAsia="zh-CN"/>
        </w:rPr>
      </w:pPr>
    </w:p>
    <w:p w14:paraId="6C6E7A49">
      <w:pPr>
        <w:numPr>
          <w:ilvl w:val="0"/>
          <w:numId w:val="0"/>
        </w:numPr>
        <w:spacing w:line="360" w:lineRule="auto"/>
        <w:ind w:leftChars="0"/>
        <w:rPr>
          <w:rFonts w:hint="eastAsia" w:ascii="宋体" w:hAnsi="宋体" w:eastAsia="宋体" w:cs="宋体"/>
          <w:b w:val="0"/>
          <w:bCs w:val="0"/>
          <w:sz w:val="24"/>
          <w:szCs w:val="24"/>
          <w:highlight w:val="none"/>
          <w:lang w:val="en-US" w:eastAsia="zh-CN"/>
        </w:rPr>
      </w:pPr>
    </w:p>
    <w:p w14:paraId="5556D072">
      <w:pPr>
        <w:numPr>
          <w:ilvl w:val="0"/>
          <w:numId w:val="0"/>
        </w:numPr>
        <w:spacing w:line="36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投标人供应商                                法定代表人或</w:t>
      </w:r>
    </w:p>
    <w:p w14:paraId="17314560">
      <w:pPr>
        <w:numPr>
          <w:ilvl w:val="0"/>
          <w:numId w:val="0"/>
        </w:numPr>
        <w:spacing w:line="360" w:lineRule="auto"/>
        <w:jc w:val="both"/>
        <w:rPr>
          <w:rFonts w:hint="default" w:ascii="宋体" w:hAnsi="宋体" w:eastAsia="宋体" w:cs="宋体"/>
          <w:b w:val="0"/>
          <w:bCs w:val="0"/>
          <w:sz w:val="21"/>
          <w:szCs w:val="21"/>
          <w:highlight w:val="none"/>
          <w:lang w:val="en-US" w:eastAsia="zh-CN"/>
        </w:rPr>
      </w:pPr>
    </w:p>
    <w:p w14:paraId="76C5861E">
      <w:pPr>
        <w:numPr>
          <w:ilvl w:val="0"/>
          <w:numId w:val="0"/>
        </w:numPr>
        <w:spacing w:line="36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单位名称：（盖章）                          授权代表：（签字或签章）</w:t>
      </w:r>
    </w:p>
    <w:p w14:paraId="01BA8907">
      <w:pPr>
        <w:widowControl/>
        <w:spacing w:line="360" w:lineRule="auto"/>
        <w:ind w:firstLine="420" w:firstLineChars="200"/>
        <w:jc w:val="both"/>
        <w:outlineLvl w:val="9"/>
        <w:rPr>
          <w:rFonts w:hint="eastAsia" w:ascii="宋体" w:hAnsi="宋体" w:eastAsia="宋体" w:cs="宋体"/>
          <w:b w:val="0"/>
          <w:bCs w:val="0"/>
          <w:sz w:val="21"/>
          <w:szCs w:val="21"/>
          <w:highlight w:val="none"/>
          <w:lang w:val="en-US" w:eastAsia="zh-CN"/>
        </w:rPr>
      </w:pPr>
    </w:p>
    <w:p w14:paraId="5BDE5653">
      <w:pPr>
        <w:ind w:firstLine="420" w:firstLineChars="200"/>
        <w:rPr>
          <w:rFonts w:hint="eastAsia" w:ascii="宋体" w:hAnsi="宋体" w:cs="宋体"/>
          <w:highlight w:val="none"/>
          <w:lang w:eastAsia="zh-CN"/>
        </w:rPr>
      </w:pPr>
      <w:r>
        <w:rPr>
          <w:rFonts w:hint="eastAsia" w:ascii="宋体" w:hAnsi="宋体" w:eastAsia="宋体" w:cs="宋体"/>
          <w:b w:val="0"/>
          <w:bCs w:val="0"/>
          <w:sz w:val="21"/>
          <w:szCs w:val="21"/>
          <w:highlight w:val="none"/>
          <w:lang w:val="en-US" w:eastAsia="zh-CN"/>
        </w:rPr>
        <w:t>年    月    日                               年    月    日</w:t>
      </w:r>
    </w:p>
    <w:p w14:paraId="2277ACD8">
      <w:pPr>
        <w:pStyle w:val="37"/>
        <w:rPr>
          <w:rFonts w:hint="eastAsia" w:ascii="宋体" w:hAnsi="宋体" w:cs="宋体"/>
          <w:szCs w:val="28"/>
          <w:highlight w:val="none"/>
        </w:rPr>
      </w:pPr>
    </w:p>
    <w:p w14:paraId="181FF347">
      <w:pPr>
        <w:pStyle w:val="37"/>
        <w:rPr>
          <w:rFonts w:hint="eastAsia" w:ascii="宋体" w:hAnsi="宋体" w:cs="宋体"/>
          <w:szCs w:val="28"/>
          <w:highlight w:val="none"/>
        </w:rPr>
      </w:pPr>
    </w:p>
    <w:p w14:paraId="0DD57B32">
      <w:pPr>
        <w:pStyle w:val="37"/>
        <w:rPr>
          <w:rFonts w:hint="eastAsia" w:ascii="宋体" w:hAnsi="宋体" w:cs="宋体"/>
          <w:szCs w:val="28"/>
          <w:highlight w:val="none"/>
        </w:rPr>
      </w:pPr>
    </w:p>
    <w:p w14:paraId="49454C37">
      <w:pPr>
        <w:pStyle w:val="37"/>
        <w:rPr>
          <w:rFonts w:hint="eastAsia" w:ascii="宋体" w:hAnsi="宋体" w:cs="宋体"/>
          <w:szCs w:val="28"/>
          <w:highlight w:val="none"/>
        </w:rPr>
      </w:pPr>
    </w:p>
    <w:p w14:paraId="60897058">
      <w:pPr>
        <w:pStyle w:val="37"/>
        <w:rPr>
          <w:rFonts w:hint="eastAsia" w:ascii="宋体" w:hAnsi="宋体" w:cs="宋体"/>
          <w:szCs w:val="28"/>
          <w:highlight w:val="none"/>
        </w:rPr>
      </w:pPr>
    </w:p>
    <w:p w14:paraId="4EF75B78">
      <w:pPr>
        <w:pStyle w:val="37"/>
        <w:rPr>
          <w:rFonts w:hint="eastAsia" w:ascii="宋体" w:hAnsi="宋体" w:cs="宋体"/>
          <w:szCs w:val="28"/>
          <w:highlight w:val="none"/>
        </w:rPr>
      </w:pPr>
    </w:p>
    <w:p w14:paraId="77AA521A">
      <w:pPr>
        <w:pStyle w:val="37"/>
        <w:rPr>
          <w:rFonts w:hint="eastAsia" w:ascii="宋体" w:hAnsi="宋体" w:cs="宋体"/>
          <w:szCs w:val="28"/>
          <w:highlight w:val="none"/>
        </w:rPr>
      </w:pPr>
    </w:p>
    <w:p w14:paraId="28E5BE59">
      <w:pPr>
        <w:pStyle w:val="37"/>
        <w:rPr>
          <w:rFonts w:hint="eastAsia" w:ascii="宋体" w:hAnsi="宋体" w:cs="宋体"/>
          <w:szCs w:val="28"/>
          <w:highlight w:val="none"/>
        </w:rPr>
      </w:pPr>
    </w:p>
    <w:p w14:paraId="2BAC3648">
      <w:pPr>
        <w:pStyle w:val="37"/>
        <w:rPr>
          <w:rFonts w:hint="eastAsia" w:ascii="宋体" w:hAnsi="宋体" w:cs="宋体"/>
          <w:szCs w:val="28"/>
          <w:highlight w:val="none"/>
        </w:rPr>
      </w:pPr>
    </w:p>
    <w:p w14:paraId="6B504C6C">
      <w:pPr>
        <w:pStyle w:val="37"/>
        <w:rPr>
          <w:rFonts w:hint="eastAsia" w:ascii="宋体" w:hAnsi="宋体" w:cs="宋体"/>
          <w:szCs w:val="28"/>
          <w:highlight w:val="none"/>
        </w:rPr>
      </w:pPr>
    </w:p>
    <w:p w14:paraId="79E308D4">
      <w:pPr>
        <w:pStyle w:val="37"/>
        <w:rPr>
          <w:rFonts w:hint="eastAsia" w:ascii="宋体" w:hAnsi="宋体" w:cs="宋体"/>
          <w:szCs w:val="28"/>
          <w:highlight w:val="none"/>
        </w:rPr>
      </w:pPr>
    </w:p>
    <w:p w14:paraId="4BEF4C28">
      <w:pPr>
        <w:pStyle w:val="37"/>
        <w:rPr>
          <w:rFonts w:hint="eastAsia" w:ascii="宋体" w:hAnsi="宋体" w:cs="宋体"/>
          <w:szCs w:val="28"/>
          <w:highlight w:val="none"/>
        </w:rPr>
      </w:pPr>
    </w:p>
    <w:p w14:paraId="37BCFA95">
      <w:pPr>
        <w:pStyle w:val="37"/>
        <w:rPr>
          <w:rFonts w:hint="eastAsia" w:ascii="宋体" w:hAnsi="宋体" w:cs="宋体"/>
          <w:szCs w:val="28"/>
          <w:highlight w:val="none"/>
        </w:rPr>
      </w:pPr>
    </w:p>
    <w:p w14:paraId="415E8425">
      <w:pPr>
        <w:pStyle w:val="37"/>
        <w:rPr>
          <w:rFonts w:hint="eastAsia" w:ascii="宋体" w:hAnsi="宋体" w:cs="宋体"/>
          <w:szCs w:val="28"/>
          <w:highlight w:val="none"/>
        </w:rPr>
      </w:pPr>
    </w:p>
    <w:p w14:paraId="12CEC143">
      <w:pPr>
        <w:pStyle w:val="37"/>
        <w:rPr>
          <w:rFonts w:hint="eastAsia" w:ascii="宋体" w:hAnsi="宋体" w:cs="宋体"/>
          <w:szCs w:val="28"/>
          <w:highlight w:val="none"/>
        </w:rPr>
      </w:pPr>
    </w:p>
    <w:p w14:paraId="771F2303">
      <w:pPr>
        <w:pStyle w:val="37"/>
        <w:rPr>
          <w:rFonts w:hint="eastAsia" w:ascii="宋体" w:hAnsi="宋体" w:cs="宋体"/>
          <w:szCs w:val="28"/>
          <w:highlight w:val="none"/>
        </w:rPr>
      </w:pPr>
    </w:p>
    <w:p w14:paraId="3ED67D52">
      <w:pPr>
        <w:pStyle w:val="37"/>
        <w:rPr>
          <w:rFonts w:hint="eastAsia" w:ascii="宋体" w:hAnsi="宋体" w:cs="宋体"/>
          <w:szCs w:val="28"/>
          <w:highlight w:val="none"/>
        </w:rPr>
      </w:pPr>
    </w:p>
    <w:p w14:paraId="39AD6009">
      <w:pPr>
        <w:pStyle w:val="37"/>
        <w:rPr>
          <w:rFonts w:hint="eastAsia" w:ascii="宋体" w:hAnsi="宋体" w:cs="宋体"/>
          <w:szCs w:val="28"/>
          <w:highlight w:val="none"/>
        </w:rPr>
      </w:pPr>
    </w:p>
    <w:p w14:paraId="2E806C92">
      <w:pPr>
        <w:pStyle w:val="37"/>
        <w:rPr>
          <w:rFonts w:hint="eastAsia" w:ascii="宋体" w:hAnsi="宋体" w:cs="宋体"/>
          <w:szCs w:val="28"/>
          <w:highlight w:val="none"/>
        </w:rPr>
      </w:pPr>
    </w:p>
    <w:p w14:paraId="4543004C">
      <w:pPr>
        <w:pStyle w:val="37"/>
        <w:rPr>
          <w:rFonts w:hint="eastAsia" w:ascii="宋体" w:hAnsi="宋体" w:cs="宋体"/>
          <w:szCs w:val="28"/>
          <w:highlight w:val="none"/>
        </w:rPr>
      </w:pPr>
    </w:p>
    <w:p w14:paraId="65CAA108">
      <w:pPr>
        <w:pStyle w:val="37"/>
        <w:rPr>
          <w:rFonts w:hint="eastAsia" w:ascii="宋体" w:hAnsi="宋体" w:cs="宋体"/>
          <w:szCs w:val="28"/>
          <w:highlight w:val="none"/>
        </w:rPr>
      </w:pPr>
    </w:p>
    <w:p w14:paraId="2970BDEF">
      <w:pPr>
        <w:pStyle w:val="37"/>
        <w:rPr>
          <w:rFonts w:hint="eastAsia" w:ascii="宋体" w:hAnsi="宋体" w:cs="宋体"/>
          <w:szCs w:val="28"/>
          <w:highlight w:val="none"/>
        </w:rPr>
      </w:pPr>
    </w:p>
    <w:p w14:paraId="1F0A20CF">
      <w:pPr>
        <w:pStyle w:val="37"/>
        <w:rPr>
          <w:rFonts w:hint="eastAsia" w:ascii="宋体" w:hAnsi="宋体" w:cs="宋体"/>
          <w:szCs w:val="28"/>
          <w:highlight w:val="none"/>
        </w:rPr>
      </w:pPr>
    </w:p>
    <w:p w14:paraId="7FE05F96">
      <w:pPr>
        <w:pStyle w:val="37"/>
        <w:rPr>
          <w:rFonts w:hint="eastAsia" w:ascii="宋体" w:hAnsi="宋体" w:cs="宋体"/>
          <w:szCs w:val="28"/>
          <w:highlight w:val="none"/>
        </w:rPr>
      </w:pPr>
    </w:p>
    <w:p w14:paraId="42750845">
      <w:pPr>
        <w:pStyle w:val="37"/>
        <w:rPr>
          <w:rFonts w:hint="eastAsia" w:ascii="宋体" w:hAnsi="宋体" w:cs="宋体"/>
          <w:szCs w:val="28"/>
          <w:highlight w:val="none"/>
        </w:rPr>
      </w:pPr>
    </w:p>
    <w:p w14:paraId="7F8A010C">
      <w:pPr>
        <w:pStyle w:val="6"/>
        <w:keepNext/>
        <w:keepLines/>
        <w:pageBreakBefore w:val="0"/>
        <w:widowControl w:val="0"/>
        <w:kinsoku/>
        <w:wordWrap/>
        <w:overflowPunct/>
        <w:topLinePunct w:val="0"/>
        <w:autoSpaceDE/>
        <w:autoSpaceDN/>
        <w:bidi w:val="0"/>
        <w:adjustRightInd w:val="0"/>
        <w:snapToGrid w:val="0"/>
        <w:spacing w:before="0" w:beforeLines="0" w:beforeAutospacing="0" w:after="0" w:afterLines="0" w:afterAutospacing="0" w:line="360" w:lineRule="auto"/>
        <w:ind w:left="0" w:leftChars="0" w:rightChars="0" w:firstLine="0" w:firstLineChars="0"/>
        <w:jc w:val="both"/>
        <w:textAlignment w:val="auto"/>
        <w:outlineLvl w:val="1"/>
        <w:rPr>
          <w:rFonts w:hint="eastAsia" w:ascii="宋体" w:hAnsi="宋体" w:eastAsia="宋体" w:cs="宋体"/>
          <w:b/>
          <w:bCs w:val="0"/>
          <w:kern w:val="2"/>
          <w:sz w:val="22"/>
          <w:szCs w:val="22"/>
          <w:highlight w:val="none"/>
          <w:lang w:val="en-US" w:eastAsia="zh-CN" w:bidi="ar-SA"/>
        </w:rPr>
      </w:pPr>
      <w:r>
        <w:rPr>
          <w:rFonts w:hint="eastAsia" w:ascii="宋体" w:hAnsi="宋体" w:eastAsia="宋体" w:cs="宋体"/>
          <w:b/>
          <w:bCs w:val="0"/>
          <w:kern w:val="2"/>
          <w:sz w:val="22"/>
          <w:szCs w:val="22"/>
          <w:highlight w:val="none"/>
          <w:lang w:val="en-US" w:eastAsia="zh-CN" w:bidi="ar-SA"/>
        </w:rPr>
        <w:t>附件四：</w:t>
      </w:r>
    </w:p>
    <w:p w14:paraId="3299AE60">
      <w:pPr>
        <w:tabs>
          <w:tab w:val="left" w:pos="210"/>
        </w:tabs>
        <w:spacing w:line="320" w:lineRule="exact"/>
        <w:jc w:val="center"/>
        <w:outlineLvl w:val="9"/>
        <w:rPr>
          <w:rFonts w:hint="eastAsia" w:ascii="宋体" w:hAnsi="宋体" w:eastAsia="宋体" w:cs="宋体"/>
          <w:b/>
          <w:sz w:val="22"/>
          <w:szCs w:val="22"/>
          <w:highlight w:val="none"/>
          <w:lang w:val="zh-CN" w:eastAsia="zh-CN"/>
        </w:rPr>
      </w:pPr>
      <w:r>
        <w:rPr>
          <w:rFonts w:hint="eastAsia" w:ascii="宋体" w:hAnsi="宋体" w:eastAsia="宋体" w:cs="宋体"/>
          <w:b/>
          <w:sz w:val="22"/>
          <w:szCs w:val="22"/>
          <w:highlight w:val="none"/>
          <w:lang w:val="zh-CN" w:eastAsia="zh-CN"/>
        </w:rPr>
        <w:t>关于符合本国产品标准的声明函</w:t>
      </w:r>
    </w:p>
    <w:p w14:paraId="0E542AD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20" w:firstLineChars="20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i w:val="0"/>
          <w:iCs w:val="0"/>
          <w:caps w:val="0"/>
          <w:color w:val="333333"/>
          <w:spacing w:val="0"/>
          <w:sz w:val="21"/>
          <w:szCs w:val="21"/>
          <w:highlight w:val="none"/>
          <w:shd w:val="clear" w:fill="FFFFFF"/>
        </w:rPr>
        <w:t>　　</w:t>
      </w:r>
      <w:r>
        <w:rPr>
          <w:rFonts w:hint="eastAsia" w:ascii="宋体" w:hAnsi="宋体" w:eastAsia="宋体" w:cs="宋体"/>
          <w:b w:val="0"/>
          <w:bCs w:val="0"/>
          <w:color w:val="000000"/>
          <w:sz w:val="21"/>
          <w:szCs w:val="21"/>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293DB04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20" w:firstLineChars="20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1.（产品名称1）1，生产厂为（厂名）2，厂址为（生产厂址）。（产品名称1）的中国境内生产的组件成本占比≥（规定比例）3。（产品名称1）的（关键组件）4在中国境内生产。（产品名称1）的（关键工序）5在中国境内完成。</w:t>
      </w:r>
    </w:p>
    <w:p w14:paraId="0CF5E52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20" w:firstLineChars="20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2.（产品名称2），生产厂为（厂名），厂址为（生产厂址）。（产品名称2）的中国境内生产的组件成本占比≥（规定比例）。（产品名称2）的（关键组件）在中国境内生产。（产品名称2）的（关键工序）在中国境内完成。</w:t>
      </w:r>
    </w:p>
    <w:p w14:paraId="5A1E1C3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20" w:firstLineChars="20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w:t>
      </w:r>
    </w:p>
    <w:p w14:paraId="21DEE4F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20" w:firstLineChars="20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本公司（单位）对上述声明内容的真实性负责。如有虚假，愿承担相应法律责任。</w:t>
      </w:r>
    </w:p>
    <w:p w14:paraId="0C171095">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7" w:lineRule="atLeast"/>
        <w:ind w:left="0" w:right="0" w:firstLine="0"/>
        <w:jc w:val="right"/>
        <w:rPr>
          <w:rFonts w:hint="eastAsia" w:ascii="宋体" w:hAnsi="宋体" w:eastAsia="宋体" w:cs="宋体"/>
          <w:i w:val="0"/>
          <w:iCs w:val="0"/>
          <w:caps w:val="0"/>
          <w:color w:val="333333"/>
          <w:spacing w:val="0"/>
          <w:sz w:val="21"/>
          <w:szCs w:val="21"/>
          <w:highlight w:val="none"/>
          <w:shd w:val="clear" w:fill="FFFFFF"/>
        </w:rPr>
      </w:pPr>
      <w:r>
        <w:rPr>
          <w:rFonts w:hint="eastAsia" w:ascii="宋体" w:hAnsi="宋体" w:eastAsia="宋体" w:cs="宋体"/>
          <w:i w:val="0"/>
          <w:iCs w:val="0"/>
          <w:caps w:val="0"/>
          <w:color w:val="333333"/>
          <w:spacing w:val="0"/>
          <w:sz w:val="21"/>
          <w:szCs w:val="21"/>
          <w:highlight w:val="none"/>
          <w:shd w:val="clear" w:fill="FFFFFF"/>
        </w:rPr>
        <w:t>　　</w:t>
      </w:r>
    </w:p>
    <w:p w14:paraId="75DDDE09">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7" w:lineRule="atLeast"/>
        <w:ind w:left="0" w:right="0" w:firstLine="0"/>
        <w:jc w:val="center"/>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fill="FFFFFF"/>
          <w:lang w:val="en-US" w:eastAsia="zh-CN"/>
        </w:rPr>
        <w:t xml:space="preserve">                             </w:t>
      </w:r>
      <w:r>
        <w:rPr>
          <w:rFonts w:hint="eastAsia" w:cs="宋体"/>
          <w:i w:val="0"/>
          <w:iCs w:val="0"/>
          <w:caps w:val="0"/>
          <w:color w:val="333333"/>
          <w:spacing w:val="0"/>
          <w:sz w:val="21"/>
          <w:szCs w:val="21"/>
          <w:highlight w:val="none"/>
          <w:shd w:val="clear" w:fill="FFFFFF"/>
          <w:lang w:val="en-US" w:eastAsia="zh-CN"/>
        </w:rPr>
        <w:t xml:space="preserve">  </w:t>
      </w:r>
      <w:r>
        <w:rPr>
          <w:rFonts w:hint="eastAsia" w:ascii="宋体" w:hAnsi="宋体" w:eastAsia="宋体" w:cs="宋体"/>
          <w:i w:val="0"/>
          <w:iCs w:val="0"/>
          <w:caps w:val="0"/>
          <w:color w:val="333333"/>
          <w:spacing w:val="0"/>
          <w:sz w:val="21"/>
          <w:szCs w:val="21"/>
          <w:highlight w:val="none"/>
          <w:shd w:val="clear" w:fill="FFFFFF"/>
          <w:lang w:val="en-US" w:eastAsia="zh-CN"/>
        </w:rPr>
        <w:t xml:space="preserve">     </w:t>
      </w:r>
      <w:r>
        <w:rPr>
          <w:rFonts w:hint="eastAsia" w:ascii="宋体" w:hAnsi="宋体" w:eastAsia="宋体" w:cs="宋体"/>
          <w:b w:val="0"/>
          <w:bCs w:val="0"/>
          <w:color w:val="000000"/>
          <w:kern w:val="2"/>
          <w:sz w:val="21"/>
          <w:szCs w:val="21"/>
          <w:highlight w:val="none"/>
          <w:lang w:val="en-US" w:eastAsia="zh-CN" w:bidi="ar-SA"/>
        </w:rPr>
        <w:t>公司（单位）名称（盖章）：</w:t>
      </w:r>
    </w:p>
    <w:p w14:paraId="58341CB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620" w:firstLineChars="220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日期：  年　  月　  日</w:t>
      </w:r>
    </w:p>
    <w:p w14:paraId="3EB9C26B">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27" w:lineRule="atLeast"/>
        <w:ind w:left="0" w:right="0" w:firstLine="480"/>
        <w:jc w:val="right"/>
        <w:rPr>
          <w:rFonts w:hint="eastAsia" w:ascii="宋体" w:hAnsi="宋体" w:eastAsia="宋体" w:cs="宋体"/>
          <w:i w:val="0"/>
          <w:iCs w:val="0"/>
          <w:caps w:val="0"/>
          <w:color w:val="333333"/>
          <w:spacing w:val="0"/>
          <w:sz w:val="21"/>
          <w:szCs w:val="21"/>
          <w:highlight w:val="none"/>
          <w:shd w:val="clear" w:fill="FFFFFF"/>
        </w:rPr>
      </w:pPr>
    </w:p>
    <w:p w14:paraId="0F38E329">
      <w:pPr>
        <w:keepNext w:val="0"/>
        <w:keepLines w:val="0"/>
        <w:pageBreakBefore w:val="0"/>
        <w:widowControl w:val="0"/>
        <w:numPr>
          <w:ilvl w:val="0"/>
          <w:numId w:val="3"/>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产品如有型号，请在“产品名称”栏一并填写。</w:t>
      </w:r>
    </w:p>
    <w:p w14:paraId="016567AF">
      <w:pPr>
        <w:keepNext w:val="0"/>
        <w:keepLines w:val="0"/>
        <w:pageBreakBefore w:val="0"/>
        <w:widowControl w:val="0"/>
        <w:numPr>
          <w:ilvl w:val="0"/>
          <w:numId w:val="3"/>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生产厂名与厂址应与生产厂营业执照载明的相关信息保持一致。</w:t>
      </w:r>
    </w:p>
    <w:p w14:paraId="7750588A">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3.该产品的中国境内生产的组件成本占比相关要求实施前，“规定比例”栏可不填，下同。</w:t>
      </w:r>
    </w:p>
    <w:p w14:paraId="5F65A051">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4.该产品的关键组件要求实施前，“关键组件”栏可不填，下同。</w:t>
      </w:r>
    </w:p>
    <w:p w14:paraId="7F430875">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5.该产品的关键工序要求实施前，“关键工序”栏可不填，下同。</w:t>
      </w:r>
    </w:p>
    <w:p w14:paraId="347758BB">
      <w:pPr>
        <w:pStyle w:val="37"/>
        <w:rPr>
          <w:rFonts w:hint="eastAsia" w:ascii="宋体" w:hAnsi="宋体" w:cs="宋体"/>
          <w:szCs w:val="28"/>
          <w:highlight w:val="none"/>
        </w:rPr>
      </w:pPr>
    </w:p>
    <w:p w14:paraId="4150601C">
      <w:pPr>
        <w:pStyle w:val="37"/>
        <w:rPr>
          <w:rFonts w:hint="eastAsia" w:ascii="宋体" w:hAnsi="宋体" w:cs="宋体"/>
          <w:szCs w:val="28"/>
          <w:highlight w:val="none"/>
        </w:rPr>
      </w:pPr>
    </w:p>
    <w:p w14:paraId="08173312">
      <w:pPr>
        <w:pStyle w:val="37"/>
        <w:rPr>
          <w:rFonts w:hint="eastAsia" w:ascii="宋体" w:hAnsi="宋体" w:cs="宋体"/>
          <w:szCs w:val="28"/>
          <w:highlight w:val="none"/>
        </w:rPr>
      </w:pPr>
    </w:p>
    <w:p w14:paraId="4019D5EA">
      <w:pPr>
        <w:pStyle w:val="37"/>
        <w:rPr>
          <w:rFonts w:hint="eastAsia" w:ascii="宋体" w:hAnsi="宋体" w:cs="宋体"/>
          <w:szCs w:val="28"/>
          <w:highlight w:val="none"/>
        </w:rPr>
      </w:pPr>
    </w:p>
    <w:p w14:paraId="3D598E2B">
      <w:pPr>
        <w:pStyle w:val="37"/>
        <w:rPr>
          <w:rFonts w:hint="eastAsia" w:ascii="宋体" w:hAnsi="宋体" w:eastAsia="宋体" w:cs="宋体"/>
          <w:sz w:val="22"/>
          <w:szCs w:val="22"/>
          <w:highlight w:val="none"/>
        </w:rPr>
      </w:pPr>
      <w:r>
        <w:rPr>
          <w:rFonts w:hint="eastAsia" w:ascii="宋体" w:hAnsi="宋体" w:cs="宋体"/>
          <w:szCs w:val="28"/>
          <w:highlight w:val="none"/>
        </w:rPr>
        <w:br w:type="page"/>
      </w:r>
    </w:p>
    <w:p w14:paraId="769C7A81">
      <w:pPr>
        <w:pageBreakBefore w:val="0"/>
        <w:overflowPunct/>
        <w:bidi w:val="0"/>
        <w:spacing w:line="520" w:lineRule="exact"/>
        <w:jc w:val="center"/>
        <w:rPr>
          <w:rFonts w:hint="eastAsia" w:ascii="宋体" w:hAnsi="宋体" w:eastAsia="宋体" w:cs="宋体"/>
          <w:b w:val="0"/>
          <w:sz w:val="28"/>
          <w:szCs w:val="28"/>
          <w:highlight w:val="none"/>
        </w:rPr>
      </w:pPr>
      <w:bookmarkStart w:id="57" w:name="_Toc24924"/>
      <w:bookmarkStart w:id="58" w:name="_Toc27727"/>
      <w:bookmarkStart w:id="59" w:name="_Toc495674331"/>
      <w:r>
        <w:rPr>
          <w:rStyle w:val="71"/>
          <w:rFonts w:hint="eastAsia"/>
          <w:b/>
          <w:bCs/>
          <w:sz w:val="28"/>
          <w:szCs w:val="28"/>
          <w:highlight w:val="none"/>
        </w:rPr>
        <w:t>第三章  谈判方法</w:t>
      </w:r>
      <w:bookmarkEnd w:id="57"/>
      <w:bookmarkEnd w:id="58"/>
      <w:bookmarkEnd w:id="59"/>
    </w:p>
    <w:p w14:paraId="0DA35E43">
      <w:pPr>
        <w:keepNext w:val="0"/>
        <w:keepLines w:val="0"/>
        <w:pageBreakBefore w:val="0"/>
        <w:kinsoku/>
        <w:wordWrap/>
        <w:overflowPunct/>
        <w:topLinePunct w:val="0"/>
        <w:autoSpaceDE/>
        <w:autoSpaceDN/>
        <w:bidi w:val="0"/>
        <w:adjustRightInd w:val="0"/>
        <w:snapToGrid w:val="0"/>
        <w:spacing w:line="520" w:lineRule="exact"/>
        <w:textAlignment w:val="auto"/>
        <w:rPr>
          <w:rFonts w:hint="eastAsia" w:ascii="宋体" w:hAnsi="宋体" w:eastAsia="宋体" w:cs="宋体"/>
          <w:b/>
          <w:spacing w:val="4"/>
          <w:sz w:val="22"/>
          <w:szCs w:val="22"/>
          <w:highlight w:val="none"/>
        </w:rPr>
      </w:pPr>
      <w:r>
        <w:rPr>
          <w:rFonts w:hint="eastAsia" w:ascii="宋体" w:hAnsi="宋体" w:eastAsia="宋体" w:cs="宋体"/>
          <w:b/>
          <w:spacing w:val="4"/>
          <w:sz w:val="22"/>
          <w:szCs w:val="22"/>
          <w:highlight w:val="none"/>
        </w:rPr>
        <w:t>一．谈判方法</w:t>
      </w:r>
    </w:p>
    <w:p w14:paraId="2A3F2274">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按照《中华人民共和国政府采购法》、中华人民共和国2015年第658号国务院令--《中华人民共和国政府采购法实施条例》和中华人民共和国财政部第74号令--《</w:t>
      </w:r>
      <w:r>
        <w:rPr>
          <w:rFonts w:hint="eastAsia" w:ascii="宋体" w:hAnsi="宋体" w:eastAsia="宋体" w:cs="宋体"/>
          <w:color w:val="000000"/>
          <w:sz w:val="22"/>
          <w:szCs w:val="22"/>
          <w:highlight w:val="none"/>
          <w:shd w:val="clear" w:color="auto" w:fill="FFFFFF"/>
        </w:rPr>
        <w:t>政府采购非招标采购方式管理办法</w:t>
      </w:r>
      <w:r>
        <w:rPr>
          <w:rFonts w:hint="eastAsia" w:ascii="宋体" w:hAnsi="宋体" w:eastAsia="宋体" w:cs="宋体"/>
          <w:sz w:val="22"/>
          <w:szCs w:val="22"/>
          <w:highlight w:val="none"/>
        </w:rPr>
        <w:t>》的规定，本次评标采用经评审的最低价法，即在最大限度地满足竞争性谈判文件实质性要求前提下，以</w:t>
      </w:r>
      <w:r>
        <w:rPr>
          <w:rFonts w:hint="eastAsia" w:ascii="宋体" w:hAnsi="宋体" w:cs="宋体"/>
          <w:sz w:val="22"/>
          <w:szCs w:val="22"/>
          <w:highlight w:val="none"/>
          <w:lang w:val="en-US" w:eastAsia="zh-CN"/>
        </w:rPr>
        <w:t>评审价</w:t>
      </w:r>
      <w:r>
        <w:rPr>
          <w:rFonts w:hint="eastAsia" w:ascii="宋体" w:hAnsi="宋体" w:eastAsia="宋体" w:cs="宋体"/>
          <w:sz w:val="22"/>
          <w:szCs w:val="22"/>
          <w:highlight w:val="none"/>
        </w:rPr>
        <w:t>最低的供应商作为成交候选供应商并依次排序。</w:t>
      </w:r>
    </w:p>
    <w:p w14:paraId="2578616D">
      <w:pPr>
        <w:keepNext w:val="0"/>
        <w:keepLines w:val="0"/>
        <w:pageBreakBefore w:val="0"/>
        <w:kinsoku/>
        <w:wordWrap/>
        <w:overflowPunct/>
        <w:topLinePunct w:val="0"/>
        <w:autoSpaceDE/>
        <w:autoSpaceDN/>
        <w:bidi w:val="0"/>
        <w:adjustRightInd w:val="0"/>
        <w:snapToGrid w:val="0"/>
        <w:spacing w:line="520" w:lineRule="exact"/>
        <w:textAlignment w:val="auto"/>
        <w:rPr>
          <w:rFonts w:hint="eastAsia" w:ascii="宋体" w:hAnsi="宋体" w:eastAsia="宋体" w:cs="宋体"/>
          <w:b/>
          <w:spacing w:val="4"/>
          <w:sz w:val="22"/>
          <w:szCs w:val="22"/>
          <w:highlight w:val="none"/>
        </w:rPr>
      </w:pPr>
      <w:r>
        <w:rPr>
          <w:rFonts w:hint="eastAsia" w:ascii="宋体" w:hAnsi="宋体" w:eastAsia="宋体" w:cs="宋体"/>
          <w:b/>
          <w:spacing w:val="4"/>
          <w:sz w:val="22"/>
          <w:szCs w:val="22"/>
          <w:highlight w:val="none"/>
        </w:rPr>
        <w:t>二．谈判程序</w:t>
      </w:r>
    </w:p>
    <w:p w14:paraId="653F127B">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按照竞争性谈判响应文件初审、澄清有关问题并进行谈判、比较与评价、推荐成交候选供应商名单的工作程序进行评审。</w:t>
      </w:r>
    </w:p>
    <w:p w14:paraId="7A707250">
      <w:pPr>
        <w:keepNext w:val="0"/>
        <w:keepLines w:val="0"/>
        <w:pageBreakBefore w:val="0"/>
        <w:kinsoku/>
        <w:wordWrap/>
        <w:overflowPunct/>
        <w:topLinePunct w:val="0"/>
        <w:autoSpaceDE/>
        <w:autoSpaceDN/>
        <w:bidi w:val="0"/>
        <w:adjustRightInd w:val="0"/>
        <w:snapToGrid w:val="0"/>
        <w:spacing w:line="520" w:lineRule="exact"/>
        <w:ind w:firstLine="442" w:firstLineChars="200"/>
        <w:textAlignment w:val="auto"/>
        <w:rPr>
          <w:rFonts w:hint="eastAsia" w:ascii="宋体" w:hAnsi="宋体" w:eastAsia="宋体" w:cs="宋体"/>
          <w:b/>
          <w:sz w:val="22"/>
          <w:szCs w:val="22"/>
          <w:highlight w:val="none"/>
        </w:rPr>
      </w:pPr>
      <w:r>
        <w:rPr>
          <w:rFonts w:hint="eastAsia" w:ascii="宋体" w:hAnsi="宋体" w:eastAsia="宋体" w:cs="宋体"/>
          <w:b/>
          <w:sz w:val="22"/>
          <w:szCs w:val="22"/>
          <w:highlight w:val="none"/>
        </w:rPr>
        <w:t>1、竞争性谈判响应文件初审</w:t>
      </w:r>
    </w:p>
    <w:p w14:paraId="42D3C8ED">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初审分为资格性检查和符合性检查。分别按照以下内容对竞争性谈判响应文件进行检查，一项不合格即按照无效谈判处理。</w:t>
      </w:r>
    </w:p>
    <w:p w14:paraId="2D1A9E5A">
      <w:pPr>
        <w:keepNext w:val="0"/>
        <w:keepLines w:val="0"/>
        <w:pageBreakBefore w:val="0"/>
        <w:widowControl w:val="0"/>
        <w:tabs>
          <w:tab w:val="left" w:pos="709"/>
        </w:tabs>
        <w:kinsoku/>
        <w:wordWrap/>
        <w:overflowPunct/>
        <w:topLinePunct w:val="0"/>
        <w:autoSpaceDE/>
        <w:autoSpaceDN/>
        <w:bidi w:val="0"/>
        <w:adjustRightInd w:val="0"/>
        <w:snapToGrid/>
        <w:spacing w:line="540" w:lineRule="exact"/>
        <w:ind w:left="0" w:leftChars="0" w:right="0" w:rightChars="0" w:firstLine="482" w:firstLineChars="200"/>
        <w:jc w:val="both"/>
        <w:textAlignment w:val="baseline"/>
        <w:outlineLvl w:val="9"/>
        <w:rPr>
          <w:rFonts w:ascii="宋体" w:hAnsi="宋体" w:cs="宋体"/>
          <w:b/>
          <w:sz w:val="24"/>
          <w:highlight w:val="none"/>
        </w:rPr>
      </w:pPr>
      <w:r>
        <w:rPr>
          <w:rFonts w:hint="eastAsia" w:ascii="宋体" w:hAnsi="宋体" w:cs="宋体"/>
          <w:b/>
          <w:sz w:val="24"/>
          <w:highlight w:val="none"/>
          <w:lang w:val="en-US" w:eastAsia="zh-CN"/>
        </w:rPr>
        <w:t>1.</w:t>
      </w:r>
      <w:r>
        <w:rPr>
          <w:rFonts w:hint="eastAsia" w:ascii="宋体" w:hAnsi="宋体" w:cs="宋体"/>
          <w:b/>
          <w:sz w:val="24"/>
          <w:highlight w:val="none"/>
        </w:rPr>
        <w:t>2</w:t>
      </w:r>
      <w:r>
        <w:rPr>
          <w:rFonts w:hint="eastAsia" w:ascii="宋体" w:hAnsi="宋体" w:cs="宋体"/>
          <w:b/>
          <w:sz w:val="24"/>
          <w:highlight w:val="none"/>
          <w:lang w:eastAsia="zh-CN"/>
        </w:rPr>
        <w:t>、</w:t>
      </w:r>
      <w:r>
        <w:rPr>
          <w:rFonts w:hint="eastAsia" w:ascii="宋体" w:hAnsi="宋体" w:cs="宋体"/>
          <w:b/>
          <w:sz w:val="24"/>
          <w:highlight w:val="none"/>
        </w:rPr>
        <w:t>资格</w:t>
      </w:r>
      <w:r>
        <w:rPr>
          <w:rFonts w:hint="eastAsia" w:ascii="宋体" w:hAnsi="宋体" w:cs="宋体"/>
          <w:b/>
          <w:sz w:val="24"/>
          <w:highlight w:val="none"/>
          <w:lang w:eastAsia="zh-CN"/>
        </w:rPr>
        <w:t>性</w:t>
      </w:r>
      <w:r>
        <w:rPr>
          <w:rFonts w:hint="eastAsia" w:ascii="宋体" w:hAnsi="宋体" w:cs="宋体"/>
          <w:b/>
          <w:sz w:val="24"/>
          <w:highlight w:val="none"/>
        </w:rPr>
        <w:t>审查</w:t>
      </w:r>
    </w:p>
    <w:p w14:paraId="066CE0A5">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cs="宋体"/>
          <w:sz w:val="22"/>
          <w:szCs w:val="22"/>
          <w:highlight w:val="none"/>
          <w:lang w:eastAsia="zh-CN"/>
        </w:rPr>
        <w:t>谈判</w:t>
      </w:r>
      <w:r>
        <w:rPr>
          <w:rFonts w:hint="eastAsia" w:ascii="宋体" w:hAnsi="宋体" w:eastAsia="宋体" w:cs="宋体"/>
          <w:sz w:val="22"/>
          <w:szCs w:val="22"/>
          <w:highlight w:val="none"/>
          <w:lang w:eastAsia="zh-CN"/>
        </w:rPr>
        <w:t>会议结束后，由</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lang w:eastAsia="zh-CN"/>
        </w:rPr>
        <w:t>小组依法对供应商的资格进行审查，审查合格的供应商方可进入评审阶段，不合格的供应商其</w:t>
      </w:r>
      <w:r>
        <w:rPr>
          <w:rFonts w:hint="eastAsia" w:ascii="宋体" w:hAnsi="宋体" w:cs="宋体"/>
          <w:sz w:val="22"/>
          <w:szCs w:val="22"/>
          <w:highlight w:val="none"/>
          <w:lang w:eastAsia="zh-CN"/>
        </w:rPr>
        <w:t>谈判</w:t>
      </w:r>
      <w:r>
        <w:rPr>
          <w:rFonts w:hint="eastAsia" w:ascii="宋体" w:hAnsi="宋体" w:eastAsia="宋体" w:cs="宋体"/>
          <w:sz w:val="22"/>
          <w:szCs w:val="22"/>
          <w:highlight w:val="none"/>
          <w:lang w:eastAsia="zh-CN"/>
        </w:rPr>
        <w:t>响应无效。资格审查内容详见“第二章1.4条”及“供应商须知前附表”。</w:t>
      </w:r>
    </w:p>
    <w:p w14:paraId="4658762E">
      <w:pPr>
        <w:pStyle w:val="73"/>
        <w:keepNext w:val="0"/>
        <w:keepLines w:val="0"/>
        <w:pageBreakBefore w:val="0"/>
        <w:widowControl/>
        <w:kinsoku/>
        <w:wordWrap/>
        <w:overflowPunct/>
        <w:topLinePunct w:val="0"/>
        <w:autoSpaceDE/>
        <w:autoSpaceDN/>
        <w:bidi w:val="0"/>
        <w:adjustRightInd/>
        <w:snapToGrid/>
        <w:spacing w:before="140" w:line="240" w:lineRule="auto"/>
        <w:ind w:left="0" w:leftChars="0" w:right="0" w:rightChars="0" w:firstLine="422" w:firstLineChars="200"/>
        <w:jc w:val="both"/>
        <w:textAlignment w:val="auto"/>
        <w:outlineLvl w:val="9"/>
        <w:rPr>
          <w:rFonts w:ascii="宋体" w:hAnsi="宋体" w:cs="宋体"/>
          <w:b/>
          <w:color w:val="auto"/>
          <w:sz w:val="21"/>
          <w:szCs w:val="21"/>
          <w:highlight w:val="none"/>
        </w:rPr>
      </w:pPr>
      <w:r>
        <w:rPr>
          <w:rFonts w:hint="eastAsia" w:ascii="宋体" w:hAnsi="宋体" w:cs="宋体"/>
          <w:b/>
          <w:sz w:val="21"/>
          <w:szCs w:val="21"/>
          <w:highlight w:val="none"/>
        </w:rPr>
        <w:t>若有一项不具备视为资格审查不合格，不再进入下一评审环节。</w:t>
      </w:r>
    </w:p>
    <w:p w14:paraId="7D40A535">
      <w:pPr>
        <w:pStyle w:val="73"/>
        <w:spacing w:line="240" w:lineRule="auto"/>
        <w:ind w:firstLine="504"/>
        <w:jc w:val="both"/>
        <w:rPr>
          <w:rFonts w:ascii="宋体" w:hAnsi="宋体" w:cs="宋体"/>
          <w:b/>
          <w:color w:val="auto"/>
          <w:highlight w:val="none"/>
        </w:rPr>
      </w:pPr>
      <w:r>
        <w:rPr>
          <w:rFonts w:hint="eastAsia" w:ascii="宋体" w:hAnsi="宋体" w:cs="宋体"/>
          <w:b/>
          <w:color w:val="auto"/>
          <w:highlight w:val="none"/>
          <w:lang w:val="en-US" w:eastAsia="zh-CN"/>
        </w:rPr>
        <w:t>1</w:t>
      </w:r>
      <w:r>
        <w:rPr>
          <w:rFonts w:hint="eastAsia" w:ascii="宋体" w:hAnsi="宋体" w:cs="宋体"/>
          <w:b/>
          <w:color w:val="auto"/>
          <w:highlight w:val="none"/>
        </w:rPr>
        <w:t>.</w:t>
      </w:r>
      <w:r>
        <w:rPr>
          <w:rFonts w:hint="eastAsia" w:ascii="宋体" w:hAnsi="宋体" w:cs="宋体"/>
          <w:b/>
          <w:color w:val="auto"/>
          <w:highlight w:val="none"/>
          <w:lang w:val="en-US" w:eastAsia="zh-CN"/>
        </w:rPr>
        <w:t>3、</w:t>
      </w:r>
      <w:r>
        <w:rPr>
          <w:rFonts w:hint="eastAsia" w:ascii="宋体" w:hAnsi="宋体" w:cs="宋体"/>
          <w:b/>
          <w:color w:val="auto"/>
          <w:highlight w:val="none"/>
        </w:rPr>
        <w:t>符合性审查</w:t>
      </w:r>
    </w:p>
    <w:p w14:paraId="21C7806D">
      <w:pPr>
        <w:keepNext w:val="0"/>
        <w:keepLines w:val="0"/>
        <w:pageBreakBefore w:val="0"/>
        <w:widowControl w:val="0"/>
        <w:kinsoku/>
        <w:wordWrap/>
        <w:overflowPunct/>
        <w:topLinePunct w:val="0"/>
        <w:autoSpaceDE/>
        <w:autoSpaceDN/>
        <w:bidi w:val="0"/>
        <w:spacing w:line="520" w:lineRule="exact"/>
        <w:ind w:firstLine="440" w:firstLineChars="200"/>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eastAsia="zh-CN"/>
        </w:rPr>
        <w:t>谈判</w:t>
      </w:r>
      <w:r>
        <w:rPr>
          <w:rFonts w:hint="eastAsia" w:ascii="宋体" w:hAnsi="宋体" w:cs="宋体"/>
          <w:bCs/>
          <w:color w:val="auto"/>
          <w:sz w:val="22"/>
          <w:szCs w:val="22"/>
          <w:highlight w:val="none"/>
        </w:rPr>
        <w:t>小组对供应商提供的响应文件进行符合性审查，审查响应文件是否符合</w:t>
      </w:r>
      <w:r>
        <w:rPr>
          <w:rFonts w:hint="eastAsia" w:ascii="宋体" w:hAnsi="宋体" w:cs="宋体"/>
          <w:bCs/>
          <w:color w:val="auto"/>
          <w:sz w:val="22"/>
          <w:szCs w:val="22"/>
          <w:highlight w:val="none"/>
          <w:lang w:eastAsia="zh-CN"/>
        </w:rPr>
        <w:t>谈判</w:t>
      </w:r>
      <w:r>
        <w:rPr>
          <w:rFonts w:hint="eastAsia" w:ascii="宋体" w:hAnsi="宋体" w:cs="宋体"/>
          <w:bCs/>
          <w:color w:val="auto"/>
          <w:sz w:val="22"/>
          <w:szCs w:val="22"/>
          <w:highlight w:val="none"/>
        </w:rPr>
        <w:t>文件的基本要求：内容是否完整、文件签署是否齐全、</w:t>
      </w:r>
      <w:r>
        <w:rPr>
          <w:rFonts w:hint="eastAsia" w:ascii="宋体" w:hAnsi="宋体" w:cs="宋体"/>
          <w:bCs/>
          <w:color w:val="auto"/>
          <w:sz w:val="22"/>
          <w:szCs w:val="22"/>
          <w:highlight w:val="none"/>
          <w:lang w:eastAsia="zh-CN"/>
        </w:rPr>
        <w:t>谈判</w:t>
      </w:r>
      <w:r>
        <w:rPr>
          <w:rFonts w:hint="eastAsia" w:ascii="宋体" w:hAnsi="宋体" w:cs="宋体"/>
          <w:bCs/>
          <w:color w:val="auto"/>
          <w:sz w:val="22"/>
          <w:szCs w:val="22"/>
          <w:highlight w:val="none"/>
        </w:rPr>
        <w:t>报价的合格性、对</w:t>
      </w:r>
      <w:r>
        <w:rPr>
          <w:rFonts w:hint="eastAsia" w:ascii="宋体" w:hAnsi="宋体" w:cs="宋体"/>
          <w:bCs/>
          <w:color w:val="auto"/>
          <w:sz w:val="22"/>
          <w:szCs w:val="22"/>
          <w:highlight w:val="none"/>
          <w:lang w:eastAsia="zh-CN"/>
        </w:rPr>
        <w:t>谈判</w:t>
      </w:r>
      <w:r>
        <w:rPr>
          <w:rFonts w:hint="eastAsia" w:ascii="宋体" w:hAnsi="宋体" w:cs="宋体"/>
          <w:bCs/>
          <w:color w:val="auto"/>
          <w:sz w:val="22"/>
          <w:szCs w:val="22"/>
          <w:highlight w:val="none"/>
        </w:rPr>
        <w:t>文件的响应程度等。</w:t>
      </w:r>
      <w:r>
        <w:rPr>
          <w:rFonts w:hint="eastAsia" w:ascii="宋体" w:hAnsi="宋体" w:cs="宋体"/>
          <w:bCs/>
          <w:color w:val="auto"/>
          <w:sz w:val="22"/>
          <w:szCs w:val="22"/>
          <w:highlight w:val="none"/>
          <w:lang w:val="en-US" w:eastAsia="zh-CN"/>
        </w:rPr>
        <w:t xml:space="preserve"> </w:t>
      </w:r>
    </w:p>
    <w:p w14:paraId="65C30BE0">
      <w:pPr>
        <w:tabs>
          <w:tab w:val="left" w:pos="1575"/>
        </w:tabs>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符合性审查表</w:t>
      </w:r>
    </w:p>
    <w:tbl>
      <w:tblPr>
        <w:tblStyle w:val="31"/>
        <w:tblpPr w:leftFromText="180" w:rightFromText="180" w:vertAnchor="text" w:horzAnchor="page" w:tblpX="1569" w:tblpY="161"/>
        <w:tblOverlap w:val="never"/>
        <w:tblW w:w="894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2279"/>
        <w:gridCol w:w="5536"/>
      </w:tblGrid>
      <w:tr w14:paraId="387587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133" w:type="dxa"/>
            <w:tcBorders>
              <w:tl2br w:val="nil"/>
              <w:tr2bl w:val="nil"/>
            </w:tcBorders>
            <w:vAlign w:val="center"/>
          </w:tcPr>
          <w:p w14:paraId="01EEDEF9">
            <w:pPr>
              <w:pageBreakBefore w:val="0"/>
              <w:tabs>
                <w:tab w:val="left" w:pos="1575"/>
              </w:tabs>
              <w:wordWrap/>
              <w:overflowPunct/>
              <w:topLinePunct w:val="0"/>
              <w:bidi w:val="0"/>
              <w:jc w:val="center"/>
              <w:outlineLvl w:val="9"/>
              <w:rPr>
                <w:rFonts w:ascii="宋体" w:hAnsi="宋体" w:cs="宋体"/>
                <w:b/>
                <w:szCs w:val="21"/>
                <w:highlight w:val="none"/>
              </w:rPr>
            </w:pPr>
            <w:r>
              <w:rPr>
                <w:rFonts w:hint="eastAsia" w:ascii="宋体" w:hAnsi="宋体" w:cs="宋体"/>
                <w:b/>
                <w:szCs w:val="21"/>
                <w:highlight w:val="none"/>
              </w:rPr>
              <w:t>审查项目</w:t>
            </w:r>
          </w:p>
        </w:tc>
        <w:tc>
          <w:tcPr>
            <w:tcW w:w="2279" w:type="dxa"/>
            <w:tcBorders>
              <w:tl2br w:val="nil"/>
              <w:tr2bl w:val="nil"/>
            </w:tcBorders>
            <w:vAlign w:val="center"/>
          </w:tcPr>
          <w:p w14:paraId="20FB1092">
            <w:pPr>
              <w:pageBreakBefore w:val="0"/>
              <w:tabs>
                <w:tab w:val="left" w:pos="1575"/>
              </w:tabs>
              <w:wordWrap/>
              <w:overflowPunct/>
              <w:topLinePunct w:val="0"/>
              <w:bidi w:val="0"/>
              <w:jc w:val="center"/>
              <w:outlineLvl w:val="9"/>
              <w:rPr>
                <w:rFonts w:ascii="宋体" w:hAnsi="宋体" w:cs="宋体"/>
                <w:b/>
                <w:szCs w:val="21"/>
                <w:highlight w:val="none"/>
              </w:rPr>
            </w:pPr>
            <w:r>
              <w:rPr>
                <w:rFonts w:hint="eastAsia" w:ascii="宋体" w:hAnsi="宋体" w:cs="宋体"/>
                <w:b/>
                <w:szCs w:val="21"/>
                <w:highlight w:val="none"/>
              </w:rPr>
              <w:t>审查内容</w:t>
            </w:r>
          </w:p>
        </w:tc>
        <w:tc>
          <w:tcPr>
            <w:tcW w:w="5536" w:type="dxa"/>
            <w:tcBorders>
              <w:tl2br w:val="nil"/>
              <w:tr2bl w:val="nil"/>
            </w:tcBorders>
            <w:vAlign w:val="center"/>
          </w:tcPr>
          <w:p w14:paraId="41640BDF">
            <w:pPr>
              <w:pageBreakBefore w:val="0"/>
              <w:tabs>
                <w:tab w:val="left" w:pos="1575"/>
              </w:tabs>
              <w:wordWrap/>
              <w:overflowPunct/>
              <w:topLinePunct w:val="0"/>
              <w:bidi w:val="0"/>
              <w:jc w:val="center"/>
              <w:outlineLvl w:val="9"/>
              <w:rPr>
                <w:rFonts w:ascii="宋体" w:hAnsi="宋体" w:cs="宋体"/>
                <w:b/>
                <w:szCs w:val="21"/>
                <w:highlight w:val="none"/>
              </w:rPr>
            </w:pPr>
            <w:r>
              <w:rPr>
                <w:rFonts w:hint="eastAsia" w:ascii="宋体" w:hAnsi="宋体" w:cs="宋体"/>
                <w:b/>
                <w:szCs w:val="21"/>
                <w:highlight w:val="none"/>
              </w:rPr>
              <w:t>审查要求</w:t>
            </w:r>
          </w:p>
        </w:tc>
      </w:tr>
      <w:tr w14:paraId="13C665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133" w:type="dxa"/>
            <w:vMerge w:val="restart"/>
            <w:tcBorders>
              <w:tl2br w:val="nil"/>
              <w:tr2bl w:val="nil"/>
            </w:tcBorders>
            <w:vAlign w:val="center"/>
          </w:tcPr>
          <w:p w14:paraId="35908B12">
            <w:pPr>
              <w:pageBreakBefore w:val="0"/>
              <w:tabs>
                <w:tab w:val="left" w:pos="1575"/>
              </w:tabs>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有效性  审查</w:t>
            </w:r>
          </w:p>
        </w:tc>
        <w:tc>
          <w:tcPr>
            <w:tcW w:w="2279" w:type="dxa"/>
            <w:tcBorders>
              <w:tl2br w:val="nil"/>
              <w:tr2bl w:val="nil"/>
            </w:tcBorders>
            <w:vAlign w:val="center"/>
          </w:tcPr>
          <w:p w14:paraId="26E4EE4F">
            <w:pPr>
              <w:pageBreakBefore w:val="0"/>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响应文件的签署盖章</w:t>
            </w:r>
          </w:p>
        </w:tc>
        <w:tc>
          <w:tcPr>
            <w:tcW w:w="5536" w:type="dxa"/>
            <w:tcBorders>
              <w:tl2br w:val="nil"/>
              <w:tr2bl w:val="nil"/>
            </w:tcBorders>
            <w:vAlign w:val="center"/>
          </w:tcPr>
          <w:p w14:paraId="6BB1BE97">
            <w:pPr>
              <w:pageBreakBefore w:val="0"/>
              <w:wordWrap/>
              <w:overflowPunct/>
              <w:topLinePunct w:val="0"/>
              <w:bidi w:val="0"/>
              <w:jc w:val="left"/>
              <w:outlineLvl w:val="9"/>
              <w:rPr>
                <w:rFonts w:ascii="宋体" w:hAnsi="宋体" w:cs="宋体"/>
                <w:sz w:val="22"/>
                <w:szCs w:val="22"/>
                <w:highlight w:val="none"/>
              </w:rPr>
            </w:pPr>
            <w:r>
              <w:rPr>
                <w:rFonts w:hint="eastAsia" w:ascii="宋体" w:hAnsi="宋体" w:cs="宋体"/>
                <w:sz w:val="22"/>
                <w:szCs w:val="22"/>
                <w:highlight w:val="none"/>
              </w:rPr>
              <w:t>响应文件上法定代表人或其委托代理人的签字按规定要求齐全，并加盖公章</w:t>
            </w:r>
          </w:p>
        </w:tc>
      </w:tr>
      <w:tr w14:paraId="51EA1A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133" w:type="dxa"/>
            <w:vMerge w:val="continue"/>
            <w:tcBorders>
              <w:tl2br w:val="nil"/>
              <w:tr2bl w:val="nil"/>
            </w:tcBorders>
            <w:vAlign w:val="center"/>
          </w:tcPr>
          <w:p w14:paraId="4B902F8C">
            <w:pPr>
              <w:pageBreakBefore w:val="0"/>
              <w:tabs>
                <w:tab w:val="left" w:pos="1575"/>
              </w:tabs>
              <w:wordWrap/>
              <w:overflowPunct/>
              <w:topLinePunct w:val="0"/>
              <w:bidi w:val="0"/>
              <w:jc w:val="center"/>
              <w:outlineLvl w:val="9"/>
              <w:rPr>
                <w:rFonts w:ascii="宋体" w:hAnsi="宋体" w:cs="宋体"/>
                <w:sz w:val="22"/>
                <w:szCs w:val="22"/>
                <w:highlight w:val="none"/>
              </w:rPr>
            </w:pPr>
          </w:p>
        </w:tc>
        <w:tc>
          <w:tcPr>
            <w:tcW w:w="2279" w:type="dxa"/>
            <w:tcBorders>
              <w:tl2br w:val="nil"/>
              <w:tr2bl w:val="nil"/>
            </w:tcBorders>
            <w:vAlign w:val="center"/>
          </w:tcPr>
          <w:p w14:paraId="33194493">
            <w:pPr>
              <w:pageBreakBefore w:val="0"/>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响应文件格式</w:t>
            </w:r>
          </w:p>
        </w:tc>
        <w:tc>
          <w:tcPr>
            <w:tcW w:w="5536" w:type="dxa"/>
            <w:tcBorders>
              <w:tl2br w:val="nil"/>
              <w:tr2bl w:val="nil"/>
            </w:tcBorders>
            <w:vAlign w:val="center"/>
          </w:tcPr>
          <w:p w14:paraId="19DA2B11">
            <w:pPr>
              <w:pageBreakBefore w:val="0"/>
              <w:wordWrap/>
              <w:overflowPunct/>
              <w:topLinePunct w:val="0"/>
              <w:bidi w:val="0"/>
              <w:jc w:val="left"/>
              <w:outlineLvl w:val="9"/>
              <w:rPr>
                <w:rFonts w:ascii="宋体" w:hAnsi="宋体" w:cs="宋体"/>
                <w:sz w:val="22"/>
                <w:szCs w:val="22"/>
                <w:highlight w:val="none"/>
              </w:rPr>
            </w:pPr>
            <w:r>
              <w:rPr>
                <w:rFonts w:hint="eastAsia" w:ascii="宋体" w:hAnsi="宋体" w:cs="宋体"/>
                <w:sz w:val="22"/>
                <w:szCs w:val="22"/>
                <w:highlight w:val="none"/>
              </w:rPr>
              <w:t>应符合“竞争性</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响应文件格式”要求</w:t>
            </w:r>
          </w:p>
        </w:tc>
      </w:tr>
      <w:tr w14:paraId="070DCE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133" w:type="dxa"/>
            <w:vMerge w:val="continue"/>
            <w:tcBorders>
              <w:tl2br w:val="nil"/>
              <w:tr2bl w:val="nil"/>
            </w:tcBorders>
            <w:vAlign w:val="center"/>
          </w:tcPr>
          <w:p w14:paraId="3056C5A6">
            <w:pPr>
              <w:pageBreakBefore w:val="0"/>
              <w:tabs>
                <w:tab w:val="left" w:pos="1575"/>
              </w:tabs>
              <w:wordWrap/>
              <w:overflowPunct/>
              <w:topLinePunct w:val="0"/>
              <w:bidi w:val="0"/>
              <w:jc w:val="center"/>
              <w:outlineLvl w:val="9"/>
              <w:rPr>
                <w:rFonts w:ascii="宋体" w:hAnsi="宋体" w:cs="宋体"/>
                <w:sz w:val="22"/>
                <w:szCs w:val="22"/>
                <w:highlight w:val="none"/>
              </w:rPr>
            </w:pPr>
          </w:p>
        </w:tc>
        <w:tc>
          <w:tcPr>
            <w:tcW w:w="2279" w:type="dxa"/>
            <w:tcBorders>
              <w:tl2br w:val="nil"/>
              <w:tr2bl w:val="nil"/>
            </w:tcBorders>
            <w:vAlign w:val="center"/>
          </w:tcPr>
          <w:p w14:paraId="4507A9B7">
            <w:pPr>
              <w:pageBreakBefore w:val="0"/>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报价唯一</w:t>
            </w:r>
          </w:p>
        </w:tc>
        <w:tc>
          <w:tcPr>
            <w:tcW w:w="5536" w:type="dxa"/>
            <w:tcBorders>
              <w:tl2br w:val="nil"/>
              <w:tr2bl w:val="nil"/>
            </w:tcBorders>
            <w:vAlign w:val="center"/>
          </w:tcPr>
          <w:p w14:paraId="3A61F201">
            <w:pPr>
              <w:pageBreakBefore w:val="0"/>
              <w:wordWrap/>
              <w:overflowPunct/>
              <w:topLinePunct w:val="0"/>
              <w:bidi w:val="0"/>
              <w:spacing w:line="360" w:lineRule="auto"/>
              <w:jc w:val="left"/>
              <w:outlineLvl w:val="9"/>
              <w:rPr>
                <w:rFonts w:ascii="宋体" w:hAnsi="宋体" w:cs="宋体"/>
                <w:sz w:val="22"/>
                <w:szCs w:val="22"/>
                <w:highlight w:val="none"/>
              </w:rPr>
            </w:pPr>
            <w:r>
              <w:rPr>
                <w:rFonts w:hint="eastAsia" w:ascii="宋体" w:hAnsi="宋体" w:cs="宋体"/>
                <w:bCs/>
                <w:color w:val="auto"/>
                <w:sz w:val="22"/>
                <w:szCs w:val="22"/>
                <w:highlight w:val="none"/>
                <w:lang w:eastAsia="zh-CN"/>
              </w:rPr>
              <w:t>谈判</w:t>
            </w:r>
            <w:r>
              <w:rPr>
                <w:rFonts w:hint="eastAsia" w:ascii="宋体" w:hAnsi="宋体" w:eastAsia="宋体" w:cs="宋体"/>
                <w:bCs/>
                <w:color w:val="auto"/>
                <w:sz w:val="22"/>
                <w:szCs w:val="22"/>
                <w:highlight w:val="none"/>
              </w:rPr>
              <w:t>报价</w:t>
            </w:r>
            <w:r>
              <w:rPr>
                <w:rFonts w:hint="eastAsia" w:ascii="宋体" w:hAnsi="宋体" w:eastAsia="宋体" w:cs="宋体"/>
                <w:bCs/>
                <w:color w:val="auto"/>
                <w:sz w:val="22"/>
                <w:szCs w:val="22"/>
                <w:highlight w:val="none"/>
                <w:lang w:val="en-US" w:eastAsia="zh-CN"/>
              </w:rPr>
              <w:t>符合唯一性要求、首次报价表填写符合要求</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报价未超</w:t>
            </w:r>
            <w:r>
              <w:rPr>
                <w:rFonts w:hint="eastAsia" w:ascii="宋体" w:hAnsi="宋体" w:eastAsia="宋体" w:cs="宋体"/>
                <w:bCs/>
                <w:color w:val="auto"/>
                <w:sz w:val="22"/>
                <w:szCs w:val="22"/>
                <w:highlight w:val="none"/>
                <w:lang w:eastAsia="zh-CN"/>
              </w:rPr>
              <w:t>过</w:t>
            </w:r>
            <w:r>
              <w:rPr>
                <w:rFonts w:hint="eastAsia" w:ascii="宋体" w:hAnsi="宋体" w:eastAsia="宋体" w:cs="宋体"/>
                <w:bCs/>
                <w:color w:val="auto"/>
                <w:sz w:val="22"/>
                <w:szCs w:val="22"/>
                <w:highlight w:val="none"/>
                <w:lang w:val="en-US" w:eastAsia="zh-CN"/>
              </w:rPr>
              <w:t>最高限价</w:t>
            </w:r>
            <w:r>
              <w:rPr>
                <w:rFonts w:hint="eastAsia" w:ascii="宋体" w:hAnsi="宋体" w:eastAsia="宋体" w:cs="宋体"/>
                <w:bCs/>
                <w:color w:val="auto"/>
                <w:sz w:val="22"/>
                <w:szCs w:val="22"/>
                <w:highlight w:val="none"/>
                <w:lang w:eastAsia="zh-CN"/>
              </w:rPr>
              <w:t>（</w:t>
            </w:r>
            <w:r>
              <w:rPr>
                <w:rFonts w:hint="eastAsia" w:ascii="宋体" w:hAnsi="宋体" w:eastAsia="宋体" w:cs="宋体"/>
                <w:bCs/>
                <w:sz w:val="22"/>
                <w:szCs w:val="22"/>
                <w:highlight w:val="none"/>
                <w:lang w:val="en-US" w:eastAsia="zh-CN"/>
              </w:rPr>
              <w:t>未设定最高限价的采购项目，以采购项目预算金额作为最高限价</w:t>
            </w:r>
            <w:r>
              <w:rPr>
                <w:rFonts w:hint="eastAsia" w:ascii="宋体" w:hAnsi="宋体" w:eastAsia="宋体" w:cs="宋体"/>
                <w:bCs/>
                <w:color w:val="auto"/>
                <w:sz w:val="22"/>
                <w:szCs w:val="22"/>
                <w:highlight w:val="none"/>
                <w:lang w:eastAsia="zh-CN"/>
              </w:rPr>
              <w:t>）</w:t>
            </w:r>
          </w:p>
        </w:tc>
      </w:tr>
      <w:tr w14:paraId="602CA5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133" w:type="dxa"/>
            <w:tcBorders>
              <w:tl2br w:val="nil"/>
              <w:tr2bl w:val="nil"/>
            </w:tcBorders>
            <w:vAlign w:val="center"/>
          </w:tcPr>
          <w:p w14:paraId="355EF797">
            <w:pPr>
              <w:pageBreakBefore w:val="0"/>
              <w:tabs>
                <w:tab w:val="left" w:pos="1575"/>
              </w:tabs>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完整性</w:t>
            </w:r>
          </w:p>
          <w:p w14:paraId="695DA924">
            <w:pPr>
              <w:pageBreakBefore w:val="0"/>
              <w:tabs>
                <w:tab w:val="left" w:pos="1575"/>
              </w:tabs>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审查</w:t>
            </w:r>
          </w:p>
        </w:tc>
        <w:tc>
          <w:tcPr>
            <w:tcW w:w="2279" w:type="dxa"/>
            <w:tcBorders>
              <w:tl2br w:val="nil"/>
              <w:tr2bl w:val="nil"/>
            </w:tcBorders>
            <w:vAlign w:val="center"/>
          </w:tcPr>
          <w:p w14:paraId="75D15D66">
            <w:pPr>
              <w:pageBreakBefore w:val="0"/>
              <w:wordWrap/>
              <w:overflowPunct/>
              <w:topLinePunct w:val="0"/>
              <w:bidi w:val="0"/>
              <w:spacing w:line="288" w:lineRule="auto"/>
              <w:jc w:val="center"/>
              <w:outlineLvl w:val="9"/>
              <w:rPr>
                <w:rFonts w:ascii="宋体" w:hAnsi="宋体" w:cs="宋体"/>
                <w:sz w:val="22"/>
                <w:szCs w:val="22"/>
                <w:highlight w:val="none"/>
              </w:rPr>
            </w:pP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响应文件内容</w:t>
            </w:r>
          </w:p>
        </w:tc>
        <w:tc>
          <w:tcPr>
            <w:tcW w:w="5536" w:type="dxa"/>
            <w:tcBorders>
              <w:tl2br w:val="nil"/>
              <w:tr2bl w:val="nil"/>
            </w:tcBorders>
            <w:vAlign w:val="center"/>
          </w:tcPr>
          <w:p w14:paraId="060DABCA">
            <w:pPr>
              <w:pageBreakBefore w:val="0"/>
              <w:wordWrap/>
              <w:overflowPunct/>
              <w:topLinePunct w:val="0"/>
              <w:bidi w:val="0"/>
              <w:spacing w:line="288" w:lineRule="auto"/>
              <w:outlineLvl w:val="9"/>
              <w:rPr>
                <w:rFonts w:ascii="宋体" w:hAnsi="宋体" w:cs="宋体"/>
                <w:sz w:val="22"/>
                <w:szCs w:val="22"/>
                <w:highlight w:val="none"/>
              </w:rPr>
            </w:pPr>
            <w:r>
              <w:rPr>
                <w:rFonts w:hint="eastAsia" w:ascii="宋体" w:hAnsi="宋体" w:cs="宋体"/>
                <w:sz w:val="22"/>
                <w:szCs w:val="22"/>
                <w:highlight w:val="none"/>
              </w:rPr>
              <w:t>竞争性</w:t>
            </w:r>
            <w:r>
              <w:rPr>
                <w:rFonts w:hint="eastAsia" w:ascii="宋体" w:hAnsi="宋体" w:cs="宋体"/>
                <w:sz w:val="22"/>
                <w:szCs w:val="22"/>
                <w:highlight w:val="none"/>
                <w:lang w:eastAsia="zh-CN"/>
              </w:rPr>
              <w:t>谈判</w:t>
            </w:r>
            <w:r>
              <w:rPr>
                <w:rFonts w:hint="eastAsia" w:ascii="宋体" w:hAnsi="宋体" w:cs="宋体"/>
                <w:sz w:val="22"/>
                <w:szCs w:val="22"/>
                <w:highlight w:val="none"/>
              </w:rPr>
              <w:t>响应文件内容齐全、完整、无遗漏</w:t>
            </w:r>
          </w:p>
        </w:tc>
      </w:tr>
      <w:tr w14:paraId="51B31B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1133" w:type="dxa"/>
            <w:vMerge w:val="restart"/>
            <w:tcBorders>
              <w:tl2br w:val="nil"/>
              <w:tr2bl w:val="nil"/>
            </w:tcBorders>
            <w:vAlign w:val="center"/>
          </w:tcPr>
          <w:p w14:paraId="04F7EA33">
            <w:pPr>
              <w:pageBreakBefore w:val="0"/>
              <w:tabs>
                <w:tab w:val="left" w:pos="1575"/>
              </w:tabs>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响应程度审查</w:t>
            </w:r>
          </w:p>
        </w:tc>
        <w:tc>
          <w:tcPr>
            <w:tcW w:w="2279" w:type="dxa"/>
            <w:tcBorders>
              <w:tl2br w:val="nil"/>
              <w:tr2bl w:val="nil"/>
            </w:tcBorders>
            <w:vAlign w:val="center"/>
          </w:tcPr>
          <w:p w14:paraId="40E07169">
            <w:pPr>
              <w:pageBreakBefore w:val="0"/>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对</w:t>
            </w:r>
            <w:r>
              <w:rPr>
                <w:rFonts w:hint="eastAsia" w:ascii="宋体" w:hAnsi="宋体" w:cs="宋体"/>
                <w:sz w:val="22"/>
                <w:szCs w:val="22"/>
                <w:highlight w:val="none"/>
                <w:lang w:eastAsia="zh-CN"/>
              </w:rPr>
              <w:t>谈判</w:t>
            </w:r>
            <w:r>
              <w:rPr>
                <w:rFonts w:hint="eastAsia" w:ascii="宋体" w:hAnsi="宋体" w:cs="宋体"/>
                <w:sz w:val="22"/>
                <w:szCs w:val="22"/>
                <w:highlight w:val="none"/>
              </w:rPr>
              <w:t>文件响应程度</w:t>
            </w:r>
          </w:p>
        </w:tc>
        <w:tc>
          <w:tcPr>
            <w:tcW w:w="5536" w:type="dxa"/>
            <w:tcBorders>
              <w:tl2br w:val="nil"/>
              <w:tr2bl w:val="nil"/>
            </w:tcBorders>
            <w:vAlign w:val="center"/>
          </w:tcPr>
          <w:p w14:paraId="650E8CE3">
            <w:pPr>
              <w:pageBreakBefore w:val="0"/>
              <w:wordWrap/>
              <w:overflowPunct/>
              <w:topLinePunct w:val="0"/>
              <w:bidi w:val="0"/>
              <w:outlineLvl w:val="9"/>
              <w:rPr>
                <w:rFonts w:ascii="宋体" w:hAnsi="宋体" w:cs="宋体"/>
                <w:sz w:val="22"/>
                <w:szCs w:val="22"/>
                <w:highlight w:val="none"/>
              </w:rPr>
            </w:pPr>
            <w:r>
              <w:rPr>
                <w:rFonts w:hint="eastAsia" w:ascii="宋体" w:hAnsi="宋体" w:cs="宋体"/>
                <w:sz w:val="22"/>
                <w:szCs w:val="22"/>
                <w:highlight w:val="none"/>
              </w:rPr>
              <w:t>按</w:t>
            </w:r>
            <w:r>
              <w:rPr>
                <w:rFonts w:hint="eastAsia" w:ascii="宋体" w:hAnsi="宋体" w:cs="宋体"/>
                <w:sz w:val="22"/>
                <w:szCs w:val="22"/>
                <w:highlight w:val="none"/>
                <w:lang w:eastAsia="zh-CN"/>
              </w:rPr>
              <w:t>谈判</w:t>
            </w:r>
            <w:r>
              <w:rPr>
                <w:rFonts w:hint="eastAsia" w:ascii="宋体" w:hAnsi="宋体" w:cs="宋体"/>
                <w:sz w:val="22"/>
                <w:szCs w:val="22"/>
                <w:highlight w:val="none"/>
              </w:rPr>
              <w:t>文件要求作出完全响应，不能有任何采购人不能接受的附加条件，有相应承诺</w:t>
            </w:r>
          </w:p>
        </w:tc>
      </w:tr>
      <w:tr w14:paraId="1234B4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3" w:type="dxa"/>
            <w:vMerge w:val="continue"/>
            <w:tcBorders>
              <w:tl2br w:val="nil"/>
              <w:tr2bl w:val="nil"/>
            </w:tcBorders>
            <w:vAlign w:val="center"/>
          </w:tcPr>
          <w:p w14:paraId="69FF5D5B">
            <w:pPr>
              <w:pageBreakBefore w:val="0"/>
              <w:tabs>
                <w:tab w:val="left" w:pos="1575"/>
              </w:tabs>
              <w:wordWrap/>
              <w:overflowPunct/>
              <w:topLinePunct w:val="0"/>
              <w:bidi w:val="0"/>
              <w:outlineLvl w:val="9"/>
              <w:rPr>
                <w:rFonts w:ascii="宋体" w:hAnsi="宋体" w:cs="宋体"/>
                <w:sz w:val="22"/>
                <w:szCs w:val="22"/>
                <w:highlight w:val="none"/>
              </w:rPr>
            </w:pPr>
          </w:p>
        </w:tc>
        <w:tc>
          <w:tcPr>
            <w:tcW w:w="2279" w:type="dxa"/>
            <w:tcBorders>
              <w:tl2br w:val="nil"/>
              <w:tr2bl w:val="nil"/>
            </w:tcBorders>
            <w:vAlign w:val="center"/>
          </w:tcPr>
          <w:p w14:paraId="792B2DEF">
            <w:pPr>
              <w:pageBreakBefore w:val="0"/>
              <w:wordWrap/>
              <w:overflowPunct/>
              <w:topLinePunct w:val="0"/>
              <w:bidi w:val="0"/>
              <w:jc w:val="center"/>
              <w:outlineLvl w:val="9"/>
              <w:rPr>
                <w:rFonts w:hint="eastAsia" w:ascii="宋体" w:hAnsi="宋体" w:cs="宋体"/>
                <w:sz w:val="22"/>
                <w:szCs w:val="22"/>
                <w:highlight w:val="none"/>
              </w:rPr>
            </w:pPr>
            <w:r>
              <w:rPr>
                <w:rFonts w:hint="eastAsia" w:ascii="宋体" w:hAnsi="宋体" w:cs="宋体"/>
                <w:sz w:val="22"/>
                <w:szCs w:val="22"/>
                <w:highlight w:val="none"/>
              </w:rPr>
              <w:t>拟提供的技术、</w:t>
            </w:r>
          </w:p>
          <w:p w14:paraId="2AE10455">
            <w:pPr>
              <w:pageBreakBefore w:val="0"/>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商务要求</w:t>
            </w:r>
          </w:p>
        </w:tc>
        <w:tc>
          <w:tcPr>
            <w:tcW w:w="5536" w:type="dxa"/>
            <w:tcBorders>
              <w:tl2br w:val="nil"/>
              <w:tr2bl w:val="nil"/>
            </w:tcBorders>
            <w:vAlign w:val="center"/>
          </w:tcPr>
          <w:p w14:paraId="7EABB734">
            <w:pPr>
              <w:pageBreakBefore w:val="0"/>
              <w:wordWrap/>
              <w:overflowPunct/>
              <w:topLinePunct w:val="0"/>
              <w:bidi w:val="0"/>
              <w:outlineLvl w:val="9"/>
              <w:rPr>
                <w:rFonts w:ascii="宋体" w:hAnsi="宋体" w:cs="宋体"/>
                <w:sz w:val="22"/>
                <w:szCs w:val="22"/>
                <w:highlight w:val="none"/>
              </w:rPr>
            </w:pPr>
            <w:r>
              <w:rPr>
                <w:rFonts w:hint="eastAsia" w:ascii="宋体" w:hAnsi="宋体" w:cs="宋体"/>
                <w:sz w:val="22"/>
                <w:szCs w:val="22"/>
                <w:highlight w:val="none"/>
              </w:rPr>
              <w:t>应满足</w:t>
            </w:r>
            <w:r>
              <w:rPr>
                <w:rFonts w:hint="eastAsia" w:ascii="宋体" w:hAnsi="宋体" w:cs="宋体"/>
                <w:sz w:val="22"/>
                <w:szCs w:val="22"/>
                <w:highlight w:val="none"/>
                <w:lang w:eastAsia="zh-CN"/>
              </w:rPr>
              <w:t>谈判</w:t>
            </w:r>
            <w:r>
              <w:rPr>
                <w:rFonts w:hint="eastAsia" w:ascii="宋体" w:hAnsi="宋体" w:cs="宋体"/>
                <w:sz w:val="22"/>
                <w:szCs w:val="22"/>
                <w:highlight w:val="none"/>
              </w:rPr>
              <w:t>文件提出的技术及商务要求</w:t>
            </w:r>
          </w:p>
        </w:tc>
      </w:tr>
      <w:tr w14:paraId="17F353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133" w:type="dxa"/>
            <w:vMerge w:val="continue"/>
            <w:tcBorders>
              <w:tl2br w:val="nil"/>
              <w:tr2bl w:val="nil"/>
            </w:tcBorders>
            <w:vAlign w:val="center"/>
          </w:tcPr>
          <w:p w14:paraId="275B2AEE">
            <w:pPr>
              <w:pageBreakBefore w:val="0"/>
              <w:tabs>
                <w:tab w:val="left" w:pos="1575"/>
              </w:tabs>
              <w:wordWrap/>
              <w:overflowPunct/>
              <w:topLinePunct w:val="0"/>
              <w:bidi w:val="0"/>
              <w:outlineLvl w:val="9"/>
              <w:rPr>
                <w:rFonts w:ascii="宋体" w:hAnsi="宋体" w:cs="宋体"/>
                <w:sz w:val="22"/>
                <w:szCs w:val="22"/>
                <w:highlight w:val="none"/>
              </w:rPr>
            </w:pPr>
          </w:p>
        </w:tc>
        <w:tc>
          <w:tcPr>
            <w:tcW w:w="2279" w:type="dxa"/>
            <w:tcBorders>
              <w:tl2br w:val="nil"/>
              <w:tr2bl w:val="nil"/>
            </w:tcBorders>
            <w:vAlign w:val="center"/>
          </w:tcPr>
          <w:p w14:paraId="7ADABCCD">
            <w:pPr>
              <w:pageBreakBefore w:val="0"/>
              <w:wordWrap/>
              <w:overflowPunct/>
              <w:topLinePunct w:val="0"/>
              <w:bidi w:val="0"/>
              <w:jc w:val="center"/>
              <w:outlineLvl w:val="9"/>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谈判保证金</w:t>
            </w:r>
          </w:p>
        </w:tc>
        <w:tc>
          <w:tcPr>
            <w:tcW w:w="5536" w:type="dxa"/>
            <w:tcBorders>
              <w:tl2br w:val="nil"/>
              <w:tr2bl w:val="nil"/>
            </w:tcBorders>
            <w:vAlign w:val="center"/>
          </w:tcPr>
          <w:p w14:paraId="72839307">
            <w:pPr>
              <w:pageBreakBefore w:val="0"/>
              <w:wordWrap/>
              <w:overflowPunct/>
              <w:topLinePunct w:val="0"/>
              <w:bidi w:val="0"/>
              <w:jc w:val="left"/>
              <w:outlineLvl w:val="9"/>
              <w:rPr>
                <w:rFonts w:hint="eastAsia" w:ascii="宋体" w:hAnsi="宋体" w:cs="宋体"/>
                <w:sz w:val="22"/>
                <w:szCs w:val="22"/>
                <w:highlight w:val="none"/>
                <w:lang w:eastAsia="zh-CN"/>
              </w:rPr>
            </w:pPr>
            <w:r>
              <w:rPr>
                <w:rFonts w:hint="eastAsia" w:ascii="宋体" w:hAnsi="宋体" w:cs="宋体"/>
                <w:sz w:val="22"/>
                <w:szCs w:val="22"/>
                <w:highlight w:val="none"/>
                <w:lang w:eastAsia="zh-CN"/>
              </w:rPr>
              <w:t>应满足谈判文件中的规定</w:t>
            </w:r>
          </w:p>
        </w:tc>
      </w:tr>
      <w:tr w14:paraId="43C9E5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133" w:type="dxa"/>
            <w:vMerge w:val="continue"/>
            <w:tcBorders>
              <w:tl2br w:val="nil"/>
              <w:tr2bl w:val="nil"/>
            </w:tcBorders>
            <w:vAlign w:val="center"/>
          </w:tcPr>
          <w:p w14:paraId="0E7D9AF2">
            <w:pPr>
              <w:pageBreakBefore w:val="0"/>
              <w:tabs>
                <w:tab w:val="left" w:pos="1575"/>
              </w:tabs>
              <w:wordWrap/>
              <w:overflowPunct/>
              <w:topLinePunct w:val="0"/>
              <w:bidi w:val="0"/>
              <w:outlineLvl w:val="9"/>
              <w:rPr>
                <w:rFonts w:ascii="宋体" w:hAnsi="宋体" w:cs="宋体"/>
                <w:sz w:val="22"/>
                <w:szCs w:val="22"/>
                <w:highlight w:val="none"/>
              </w:rPr>
            </w:pPr>
          </w:p>
        </w:tc>
        <w:tc>
          <w:tcPr>
            <w:tcW w:w="2279" w:type="dxa"/>
            <w:tcBorders>
              <w:tl2br w:val="nil"/>
              <w:tr2bl w:val="nil"/>
            </w:tcBorders>
            <w:vAlign w:val="center"/>
          </w:tcPr>
          <w:p w14:paraId="11E4354F">
            <w:pPr>
              <w:pageBreakBefore w:val="0"/>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rPr>
              <w:t>质量要求</w:t>
            </w:r>
          </w:p>
        </w:tc>
        <w:tc>
          <w:tcPr>
            <w:tcW w:w="5536" w:type="dxa"/>
            <w:tcBorders>
              <w:tl2br w:val="nil"/>
              <w:tr2bl w:val="nil"/>
            </w:tcBorders>
            <w:vAlign w:val="center"/>
          </w:tcPr>
          <w:p w14:paraId="5A69E93D">
            <w:pPr>
              <w:pageBreakBefore w:val="0"/>
              <w:wordWrap/>
              <w:overflowPunct/>
              <w:topLinePunct w:val="0"/>
              <w:bidi w:val="0"/>
              <w:outlineLvl w:val="9"/>
              <w:rPr>
                <w:rFonts w:ascii="宋体" w:hAnsi="宋体" w:cs="宋体"/>
                <w:sz w:val="22"/>
                <w:szCs w:val="22"/>
                <w:highlight w:val="none"/>
              </w:rPr>
            </w:pPr>
            <w:r>
              <w:rPr>
                <w:rFonts w:hint="eastAsia" w:ascii="宋体" w:hAnsi="宋体" w:cs="宋体"/>
                <w:sz w:val="22"/>
                <w:szCs w:val="22"/>
                <w:highlight w:val="none"/>
                <w:lang w:val="zh-CN"/>
              </w:rPr>
              <w:t>满足</w:t>
            </w:r>
            <w:r>
              <w:rPr>
                <w:rFonts w:hint="eastAsia" w:ascii="宋体" w:hAnsi="宋体" w:cs="宋体"/>
                <w:sz w:val="22"/>
                <w:szCs w:val="22"/>
                <w:highlight w:val="none"/>
                <w:lang w:val="zh-CN" w:eastAsia="zh-CN"/>
              </w:rPr>
              <w:t>谈判</w:t>
            </w:r>
            <w:r>
              <w:rPr>
                <w:rFonts w:hint="eastAsia" w:ascii="宋体" w:hAnsi="宋体" w:cs="宋体"/>
                <w:sz w:val="22"/>
                <w:szCs w:val="22"/>
                <w:highlight w:val="none"/>
                <w:lang w:val="zh-CN"/>
              </w:rPr>
              <w:t>文件要求</w:t>
            </w:r>
          </w:p>
        </w:tc>
      </w:tr>
      <w:tr w14:paraId="33D677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133" w:type="dxa"/>
            <w:vMerge w:val="continue"/>
            <w:tcBorders>
              <w:tl2br w:val="nil"/>
              <w:tr2bl w:val="nil"/>
            </w:tcBorders>
            <w:vAlign w:val="center"/>
          </w:tcPr>
          <w:p w14:paraId="1B1DBFF1">
            <w:pPr>
              <w:pageBreakBefore w:val="0"/>
              <w:tabs>
                <w:tab w:val="left" w:pos="1575"/>
              </w:tabs>
              <w:wordWrap/>
              <w:overflowPunct/>
              <w:topLinePunct w:val="0"/>
              <w:bidi w:val="0"/>
              <w:outlineLvl w:val="9"/>
              <w:rPr>
                <w:rFonts w:ascii="宋体" w:hAnsi="宋体" w:cs="宋体"/>
                <w:sz w:val="22"/>
                <w:szCs w:val="22"/>
                <w:highlight w:val="none"/>
              </w:rPr>
            </w:pPr>
          </w:p>
        </w:tc>
        <w:tc>
          <w:tcPr>
            <w:tcW w:w="2279" w:type="dxa"/>
            <w:tcBorders>
              <w:tl2br w:val="nil"/>
              <w:tr2bl w:val="nil"/>
            </w:tcBorders>
            <w:vAlign w:val="center"/>
          </w:tcPr>
          <w:p w14:paraId="0A5BBB31">
            <w:pPr>
              <w:pageBreakBefore w:val="0"/>
              <w:wordWrap/>
              <w:overflowPunct/>
              <w:topLinePunct w:val="0"/>
              <w:bidi w:val="0"/>
              <w:jc w:val="center"/>
              <w:outlineLvl w:val="9"/>
              <w:rPr>
                <w:rFonts w:ascii="宋体" w:hAnsi="宋体" w:cs="宋体"/>
                <w:sz w:val="22"/>
                <w:szCs w:val="22"/>
                <w:highlight w:val="none"/>
              </w:rPr>
            </w:pPr>
            <w:r>
              <w:rPr>
                <w:rFonts w:hint="eastAsia" w:ascii="宋体" w:hAnsi="宋体" w:cs="宋体"/>
                <w:sz w:val="22"/>
                <w:szCs w:val="22"/>
                <w:highlight w:val="none"/>
                <w:lang w:eastAsia="zh-CN"/>
              </w:rPr>
              <w:t>谈判</w:t>
            </w:r>
            <w:r>
              <w:rPr>
                <w:rFonts w:hint="eastAsia" w:ascii="宋体" w:hAnsi="宋体" w:cs="宋体"/>
                <w:sz w:val="22"/>
                <w:szCs w:val="22"/>
                <w:highlight w:val="none"/>
              </w:rPr>
              <w:t>有效期</w:t>
            </w:r>
          </w:p>
        </w:tc>
        <w:tc>
          <w:tcPr>
            <w:tcW w:w="5536" w:type="dxa"/>
            <w:tcBorders>
              <w:tl2br w:val="nil"/>
              <w:tr2bl w:val="nil"/>
            </w:tcBorders>
            <w:vAlign w:val="center"/>
          </w:tcPr>
          <w:p w14:paraId="75B07CF9">
            <w:pPr>
              <w:pageBreakBefore w:val="0"/>
              <w:wordWrap/>
              <w:overflowPunct/>
              <w:topLinePunct w:val="0"/>
              <w:bidi w:val="0"/>
              <w:outlineLvl w:val="9"/>
              <w:rPr>
                <w:rFonts w:ascii="宋体" w:hAnsi="宋体" w:cs="宋体"/>
                <w:sz w:val="22"/>
                <w:szCs w:val="22"/>
                <w:highlight w:val="none"/>
              </w:rPr>
            </w:pPr>
            <w:r>
              <w:rPr>
                <w:rFonts w:hint="eastAsia" w:ascii="宋体" w:hAnsi="宋体" w:cs="宋体"/>
                <w:sz w:val="22"/>
                <w:szCs w:val="22"/>
                <w:highlight w:val="none"/>
              </w:rPr>
              <w:t>满足</w:t>
            </w:r>
            <w:r>
              <w:rPr>
                <w:rFonts w:hint="eastAsia" w:ascii="宋体" w:hAnsi="宋体" w:cs="宋体"/>
                <w:sz w:val="22"/>
                <w:szCs w:val="22"/>
                <w:highlight w:val="none"/>
                <w:lang w:eastAsia="zh-CN"/>
              </w:rPr>
              <w:t>谈判</w:t>
            </w:r>
            <w:r>
              <w:rPr>
                <w:rFonts w:hint="eastAsia" w:ascii="宋体" w:hAnsi="宋体" w:cs="宋体"/>
                <w:sz w:val="22"/>
                <w:szCs w:val="22"/>
                <w:highlight w:val="none"/>
              </w:rPr>
              <w:t>文件中的规定</w:t>
            </w:r>
          </w:p>
        </w:tc>
      </w:tr>
      <w:tr w14:paraId="08CD3D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133" w:type="dxa"/>
            <w:vMerge w:val="continue"/>
            <w:tcBorders>
              <w:tl2br w:val="nil"/>
              <w:tr2bl w:val="nil"/>
            </w:tcBorders>
            <w:vAlign w:val="center"/>
          </w:tcPr>
          <w:p w14:paraId="739141D2">
            <w:pPr>
              <w:pageBreakBefore w:val="0"/>
              <w:tabs>
                <w:tab w:val="left" w:pos="1575"/>
              </w:tabs>
              <w:wordWrap/>
              <w:overflowPunct/>
              <w:topLinePunct w:val="0"/>
              <w:bidi w:val="0"/>
              <w:outlineLvl w:val="9"/>
              <w:rPr>
                <w:rFonts w:ascii="宋体" w:hAnsi="宋体" w:cs="宋体"/>
                <w:sz w:val="22"/>
                <w:szCs w:val="22"/>
                <w:highlight w:val="none"/>
              </w:rPr>
            </w:pPr>
          </w:p>
        </w:tc>
        <w:tc>
          <w:tcPr>
            <w:tcW w:w="2279" w:type="dxa"/>
            <w:tcBorders>
              <w:tl2br w:val="nil"/>
              <w:tr2bl w:val="nil"/>
            </w:tcBorders>
            <w:vAlign w:val="center"/>
          </w:tcPr>
          <w:p w14:paraId="175F3B52">
            <w:pPr>
              <w:pageBreakBefore w:val="0"/>
              <w:wordWrap/>
              <w:overflowPunct/>
              <w:topLinePunct w:val="0"/>
              <w:bidi w:val="0"/>
              <w:jc w:val="center"/>
              <w:outlineLvl w:val="9"/>
              <w:rPr>
                <w:rFonts w:hint="eastAsia" w:ascii="宋体" w:hAnsi="宋体" w:cs="宋体"/>
                <w:sz w:val="22"/>
                <w:szCs w:val="22"/>
                <w:highlight w:val="none"/>
                <w:lang w:eastAsia="zh-CN"/>
              </w:rPr>
            </w:pPr>
            <w:r>
              <w:rPr>
                <w:rFonts w:hint="eastAsia" w:ascii="宋体" w:hAnsi="宋体" w:cs="宋体"/>
                <w:sz w:val="22"/>
                <w:szCs w:val="22"/>
                <w:highlight w:val="none"/>
                <w:lang w:eastAsia="zh-CN"/>
              </w:rPr>
              <w:t>其他</w:t>
            </w:r>
          </w:p>
        </w:tc>
        <w:tc>
          <w:tcPr>
            <w:tcW w:w="5536" w:type="dxa"/>
            <w:tcBorders>
              <w:tl2br w:val="nil"/>
              <w:tr2bl w:val="nil"/>
            </w:tcBorders>
            <w:vAlign w:val="center"/>
          </w:tcPr>
          <w:p w14:paraId="25EAE36D">
            <w:pPr>
              <w:pageBreakBefore w:val="0"/>
              <w:wordWrap/>
              <w:overflowPunct/>
              <w:topLinePunct w:val="0"/>
              <w:bidi w:val="0"/>
              <w:outlineLvl w:val="9"/>
              <w:rPr>
                <w:rFonts w:hint="eastAsia" w:ascii="宋体" w:hAnsi="宋体" w:eastAsia="宋体" w:cs="宋体"/>
                <w:sz w:val="22"/>
                <w:szCs w:val="22"/>
                <w:highlight w:val="none"/>
                <w:lang w:eastAsia="zh-CN"/>
              </w:rPr>
            </w:pPr>
            <w:r>
              <w:rPr>
                <w:rFonts w:hint="eastAsia" w:ascii="宋体" w:hAnsi="宋体" w:eastAsia="宋体" w:cs="宋体"/>
                <w:color w:val="auto"/>
                <w:sz w:val="22"/>
                <w:szCs w:val="22"/>
                <w:highlight w:val="none"/>
              </w:rPr>
              <w:t>不存在</w:t>
            </w:r>
            <w:r>
              <w:rPr>
                <w:rFonts w:hint="eastAsia" w:ascii="宋体" w:hAnsi="宋体" w:eastAsia="宋体" w:cs="宋体"/>
                <w:color w:val="auto"/>
                <w:sz w:val="22"/>
                <w:szCs w:val="22"/>
                <w:highlight w:val="none"/>
                <w:lang w:eastAsia="zh-CN"/>
              </w:rPr>
              <w:t>法律法规或采购</w:t>
            </w:r>
            <w:r>
              <w:rPr>
                <w:rFonts w:hint="eastAsia" w:ascii="宋体" w:hAnsi="宋体" w:eastAsia="宋体" w:cs="宋体"/>
                <w:color w:val="auto"/>
                <w:sz w:val="22"/>
                <w:szCs w:val="22"/>
                <w:highlight w:val="none"/>
              </w:rPr>
              <w:t>文件规定的其他无效</w:t>
            </w:r>
            <w:r>
              <w:rPr>
                <w:rFonts w:hint="eastAsia" w:ascii="宋体" w:hAnsi="宋体" w:eastAsia="宋体" w:cs="宋体"/>
                <w:color w:val="auto"/>
                <w:sz w:val="22"/>
                <w:szCs w:val="22"/>
                <w:highlight w:val="none"/>
                <w:lang w:eastAsia="zh-CN"/>
              </w:rPr>
              <w:t>响应</w:t>
            </w:r>
            <w:r>
              <w:rPr>
                <w:rFonts w:hint="eastAsia" w:ascii="宋体" w:hAnsi="宋体" w:eastAsia="宋体" w:cs="宋体"/>
                <w:color w:val="auto"/>
                <w:sz w:val="22"/>
                <w:szCs w:val="22"/>
                <w:highlight w:val="none"/>
              </w:rPr>
              <w:t>情形</w:t>
            </w:r>
          </w:p>
        </w:tc>
      </w:tr>
    </w:tbl>
    <w:p w14:paraId="1E378CA2">
      <w:pPr>
        <w:keepNext w:val="0"/>
        <w:keepLines w:val="0"/>
        <w:pageBreakBefore w:val="0"/>
        <w:widowControl w:val="0"/>
        <w:tabs>
          <w:tab w:val="left" w:pos="1575"/>
        </w:tabs>
        <w:kinsoku/>
        <w:wordWrap/>
        <w:overflowPunct/>
        <w:topLinePunct w:val="0"/>
        <w:autoSpaceDE/>
        <w:autoSpaceDN/>
        <w:bidi w:val="0"/>
        <w:adjustRightInd/>
        <w:snapToGrid/>
        <w:spacing w:line="540" w:lineRule="exact"/>
        <w:ind w:firstLine="422" w:firstLineChars="200"/>
        <w:textAlignment w:val="auto"/>
        <w:rPr>
          <w:rFonts w:ascii="宋体" w:hAnsi="宋体" w:cs="宋体"/>
          <w:b/>
          <w:color w:val="auto"/>
          <w:szCs w:val="21"/>
          <w:highlight w:val="none"/>
        </w:rPr>
      </w:pPr>
      <w:r>
        <w:rPr>
          <w:rFonts w:hint="eastAsia" w:ascii="宋体" w:hAnsi="宋体" w:cs="宋体"/>
          <w:b/>
          <w:color w:val="auto"/>
          <w:szCs w:val="21"/>
          <w:highlight w:val="none"/>
        </w:rPr>
        <w:t>以上各项若有一项不符合视为符合性审查不合格，不再进入下一评审环节。</w:t>
      </w:r>
    </w:p>
    <w:p w14:paraId="42B1FFCC">
      <w:pPr>
        <w:keepNext w:val="0"/>
        <w:keepLines w:val="0"/>
        <w:pageBreakBefore w:val="0"/>
        <w:kinsoku/>
        <w:wordWrap/>
        <w:overflowPunct/>
        <w:topLinePunct w:val="0"/>
        <w:autoSpaceDE/>
        <w:autoSpaceDN/>
        <w:bidi w:val="0"/>
        <w:adjustRightInd w:val="0"/>
        <w:snapToGrid w:val="0"/>
        <w:spacing w:line="520" w:lineRule="exact"/>
        <w:ind w:firstLine="442" w:firstLineChars="200"/>
        <w:textAlignment w:val="auto"/>
        <w:rPr>
          <w:rFonts w:hint="eastAsia" w:ascii="宋体" w:hAnsi="宋体" w:eastAsia="宋体" w:cs="宋体"/>
          <w:b/>
          <w:sz w:val="22"/>
          <w:szCs w:val="22"/>
          <w:highlight w:val="none"/>
        </w:rPr>
      </w:pPr>
      <w:r>
        <w:rPr>
          <w:rFonts w:hint="eastAsia" w:ascii="宋体" w:hAnsi="宋体" w:eastAsia="宋体" w:cs="宋体"/>
          <w:b/>
          <w:sz w:val="22"/>
          <w:szCs w:val="22"/>
          <w:highlight w:val="none"/>
        </w:rPr>
        <w:t>2、澄清有关问题并进行谈判：</w:t>
      </w:r>
    </w:p>
    <w:p w14:paraId="2245A7A7">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2.1 对于可能出现的谈判报价不一致和文字文本差异按以下方法确认更正。</w:t>
      </w:r>
    </w:p>
    <w:p w14:paraId="2B259A34">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2.1.1 大写金额和小写金额不一致的，以大写金额为准；总价金额与按单价汇总金额不一致的，以单价金额计算结果为准；单价金额小数点有明显错位的，应以总价为准，并修改单价；对不同文字文本竞争性谈判响应文件的解释发生异议的，以中文文本为准。</w:t>
      </w:r>
    </w:p>
    <w:p w14:paraId="19FED01B">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2.1.2 谈判小组将按照上述原则修正竞争性谈判响应文件中的报价，修正后的价格对供应商具有约束力。如果供应商不接受修正后的价格，其谈判按照无效谈判处理。</w:t>
      </w:r>
    </w:p>
    <w:p w14:paraId="2D0893F3">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2.2 对于竞争性谈判响应文件中的非重大偏离，如果出现含义不明确、同类问题表述不一致或者有明显文字和计算错误的内容，谈判小组可以书面形式（由谈判小组专家签字）要求供应商作出必要的澄清、说明或者纠正。供应商的澄清、说明或者补正应当采用书面形式，由其授权的谈判代表签字，并不得超出竞争性谈判响应文件的范围或者改变竞争性谈判响应文件的实质性内容。</w:t>
      </w:r>
    </w:p>
    <w:p w14:paraId="425EB7FD">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2.3 谈判小组对通过资格性、符合性评审的响应供应商进行单独谈判；谈判后，响应供应商进行</w:t>
      </w:r>
      <w:r>
        <w:rPr>
          <w:rFonts w:hint="eastAsia" w:ascii="宋体" w:hAnsi="宋体" w:cs="宋体"/>
          <w:sz w:val="22"/>
          <w:szCs w:val="22"/>
          <w:highlight w:val="none"/>
          <w:lang w:val="en-US" w:eastAsia="zh-CN"/>
        </w:rPr>
        <w:t>多轮</w:t>
      </w:r>
      <w:r>
        <w:rPr>
          <w:rFonts w:hint="eastAsia" w:ascii="宋体" w:hAnsi="宋体" w:eastAsia="宋体" w:cs="宋体"/>
          <w:sz w:val="22"/>
          <w:szCs w:val="22"/>
          <w:highlight w:val="none"/>
        </w:rPr>
        <w:t>谈判报价。</w:t>
      </w:r>
    </w:p>
    <w:p w14:paraId="0C97B144">
      <w:pPr>
        <w:keepNext w:val="0"/>
        <w:keepLines w:val="0"/>
        <w:pageBreakBefore w:val="0"/>
        <w:kinsoku/>
        <w:wordWrap/>
        <w:overflowPunct/>
        <w:topLinePunct w:val="0"/>
        <w:autoSpaceDE/>
        <w:autoSpaceDN/>
        <w:bidi w:val="0"/>
        <w:adjustRightInd w:val="0"/>
        <w:snapToGrid w:val="0"/>
        <w:spacing w:line="520" w:lineRule="exact"/>
        <w:ind w:firstLine="442" w:firstLineChars="200"/>
        <w:textAlignment w:val="auto"/>
        <w:rPr>
          <w:rFonts w:hint="eastAsia" w:ascii="宋体" w:hAnsi="宋体" w:eastAsia="宋体" w:cs="宋体"/>
          <w:sz w:val="22"/>
          <w:szCs w:val="22"/>
          <w:highlight w:val="none"/>
        </w:rPr>
      </w:pPr>
      <w:r>
        <w:rPr>
          <w:rFonts w:hint="eastAsia" w:ascii="宋体" w:hAnsi="宋体" w:eastAsia="宋体" w:cs="宋体"/>
          <w:b/>
          <w:sz w:val="22"/>
          <w:szCs w:val="22"/>
          <w:highlight w:val="none"/>
        </w:rPr>
        <w:t>3、评审价格的确定：</w:t>
      </w:r>
    </w:p>
    <w:p w14:paraId="056E9E2D">
      <w:pPr>
        <w:keepNext w:val="0"/>
        <w:keepLines w:val="0"/>
        <w:pageBreakBefore w:val="0"/>
        <w:widowControl/>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经初审合格的</w:t>
      </w:r>
      <w:r>
        <w:rPr>
          <w:rFonts w:hint="eastAsia" w:ascii="宋体" w:hAnsi="宋体" w:cs="宋体"/>
          <w:color w:val="000000"/>
          <w:sz w:val="22"/>
          <w:szCs w:val="22"/>
          <w:highlight w:val="none"/>
          <w:lang w:val="en-US" w:eastAsia="zh-CN"/>
        </w:rPr>
        <w:t>供应商</w:t>
      </w:r>
      <w:r>
        <w:rPr>
          <w:rFonts w:hint="eastAsia" w:ascii="宋体" w:hAnsi="宋体" w:eastAsia="宋体" w:cs="宋体"/>
          <w:color w:val="000000"/>
          <w:sz w:val="22"/>
          <w:szCs w:val="22"/>
          <w:highlight w:val="none"/>
        </w:rPr>
        <w:t>，为有效</w:t>
      </w:r>
      <w:r>
        <w:rPr>
          <w:rFonts w:hint="eastAsia" w:ascii="宋体" w:hAnsi="宋体" w:cs="宋体"/>
          <w:color w:val="000000"/>
          <w:sz w:val="22"/>
          <w:szCs w:val="22"/>
          <w:highlight w:val="none"/>
          <w:lang w:val="en-US" w:eastAsia="zh-CN"/>
        </w:rPr>
        <w:t>响应供应商</w:t>
      </w:r>
      <w:r>
        <w:rPr>
          <w:rFonts w:hint="eastAsia" w:ascii="宋体" w:hAnsi="宋体" w:eastAsia="宋体" w:cs="宋体"/>
          <w:color w:val="000000"/>
          <w:sz w:val="22"/>
          <w:szCs w:val="22"/>
          <w:highlight w:val="none"/>
        </w:rPr>
        <w:t>。对于所有有效</w:t>
      </w:r>
      <w:r>
        <w:rPr>
          <w:rFonts w:hint="eastAsia" w:ascii="宋体" w:hAnsi="宋体" w:cs="宋体"/>
          <w:color w:val="000000"/>
          <w:sz w:val="22"/>
          <w:szCs w:val="22"/>
          <w:highlight w:val="none"/>
          <w:lang w:val="en-US" w:eastAsia="zh-CN"/>
        </w:rPr>
        <w:t>响应供应商的最后报价</w:t>
      </w:r>
      <w:r>
        <w:rPr>
          <w:rFonts w:hint="eastAsia" w:ascii="宋体" w:hAnsi="宋体" w:eastAsia="宋体" w:cs="宋体"/>
          <w:color w:val="000000"/>
          <w:sz w:val="22"/>
          <w:szCs w:val="22"/>
          <w:highlight w:val="none"/>
        </w:rPr>
        <w:t>按照以下规则进行</w:t>
      </w:r>
      <w:r>
        <w:rPr>
          <w:rFonts w:hint="eastAsia" w:ascii="宋体" w:hAnsi="宋体" w:cs="宋体"/>
          <w:color w:val="000000"/>
          <w:sz w:val="22"/>
          <w:szCs w:val="22"/>
          <w:highlight w:val="none"/>
          <w:lang w:eastAsia="zh-CN"/>
        </w:rPr>
        <w:t>评审价</w:t>
      </w:r>
      <w:r>
        <w:rPr>
          <w:rFonts w:hint="eastAsia" w:ascii="宋体" w:hAnsi="宋体" w:eastAsia="宋体" w:cs="宋体"/>
          <w:color w:val="000000"/>
          <w:sz w:val="22"/>
          <w:szCs w:val="22"/>
          <w:highlight w:val="none"/>
        </w:rPr>
        <w:t>格的确定。</w:t>
      </w:r>
    </w:p>
    <w:p w14:paraId="38A3ECC9">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3.1政策性价格优惠折扣</w:t>
      </w:r>
    </w:p>
    <w:p w14:paraId="5BCD11F7">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3.1.1小微企业的价格评分标准</w:t>
      </w:r>
    </w:p>
    <w:p w14:paraId="736B3ACC">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（1）货物服务类：对小型、微型企业的价格给予10%的扣除，用扣除后的价格参与评审，其</w:t>
      </w:r>
      <w:r>
        <w:rPr>
          <w:rFonts w:hint="eastAsia" w:ascii="宋体" w:hAnsi="宋体" w:cs="宋体"/>
          <w:b w:val="0"/>
          <w:bCs/>
          <w:color w:val="000000"/>
          <w:sz w:val="22"/>
          <w:szCs w:val="22"/>
          <w:highlight w:val="none"/>
          <w:lang w:eastAsia="zh-CN"/>
        </w:rPr>
        <w:t>评审价</w:t>
      </w:r>
      <w:r>
        <w:rPr>
          <w:rFonts w:hint="eastAsia" w:ascii="宋体" w:hAnsi="宋体" w:eastAsia="宋体" w:cs="宋体"/>
          <w:b w:val="0"/>
          <w:bCs/>
          <w:color w:val="000000"/>
          <w:sz w:val="22"/>
          <w:szCs w:val="22"/>
          <w:highlight w:val="none"/>
        </w:rPr>
        <w:t>=</w:t>
      </w:r>
      <w:r>
        <w:rPr>
          <w:rFonts w:hint="eastAsia" w:ascii="宋体" w:hAnsi="宋体" w:cs="宋体"/>
          <w:b w:val="0"/>
          <w:bCs/>
          <w:color w:val="000000"/>
          <w:sz w:val="22"/>
          <w:szCs w:val="22"/>
          <w:highlight w:val="none"/>
          <w:lang w:eastAsia="zh-CN"/>
        </w:rPr>
        <w:t>谈判报价</w:t>
      </w:r>
      <w:r>
        <w:rPr>
          <w:rFonts w:hint="eastAsia" w:ascii="宋体" w:hAnsi="宋体" w:eastAsia="宋体" w:cs="宋体"/>
          <w:b w:val="0"/>
          <w:bCs/>
          <w:color w:val="000000"/>
          <w:sz w:val="22"/>
          <w:szCs w:val="22"/>
          <w:highlight w:val="none"/>
        </w:rPr>
        <w:t>*（1-10%）。</w:t>
      </w:r>
    </w:p>
    <w:p w14:paraId="2309A9A5">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2）接受大中型企业与小微企业组成联合体或者允许大中型企业向一家或者多家小微企业分包的采购项目，对于联合协议或者分包意向协议约定小微企业的合同份额占到合同总金额30%以上的，可给予联合体价格扣除，用扣除后的价格参与评审；</w:t>
      </w:r>
    </w:p>
    <w:p w14:paraId="632DB806">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（注：组成联合体或者接受分包的小微企业与联合体内其他企业、分包企业之间存在直接控股、管理关系的，不享受价格扣除优惠政策。）</w:t>
      </w:r>
    </w:p>
    <w:p w14:paraId="7C155C84">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货物服务类：对联合体的价格给予4%的扣除，用扣除后的价格参与评审，联合体</w:t>
      </w:r>
      <w:r>
        <w:rPr>
          <w:rFonts w:hint="eastAsia" w:ascii="宋体" w:hAnsi="宋体" w:cs="宋体"/>
          <w:b w:val="0"/>
          <w:bCs/>
          <w:color w:val="000000"/>
          <w:sz w:val="22"/>
          <w:szCs w:val="22"/>
          <w:highlight w:val="none"/>
          <w:lang w:eastAsia="zh-CN"/>
        </w:rPr>
        <w:t>评审价</w:t>
      </w:r>
      <w:r>
        <w:rPr>
          <w:rFonts w:hint="eastAsia" w:ascii="宋体" w:hAnsi="宋体" w:eastAsia="宋体" w:cs="宋体"/>
          <w:b w:val="0"/>
          <w:bCs/>
          <w:color w:val="000000"/>
          <w:sz w:val="22"/>
          <w:szCs w:val="22"/>
          <w:highlight w:val="none"/>
        </w:rPr>
        <w:t>=</w:t>
      </w:r>
      <w:r>
        <w:rPr>
          <w:rFonts w:hint="eastAsia" w:ascii="宋体" w:hAnsi="宋体" w:cs="宋体"/>
          <w:b w:val="0"/>
          <w:bCs/>
          <w:color w:val="000000"/>
          <w:sz w:val="22"/>
          <w:szCs w:val="22"/>
          <w:highlight w:val="none"/>
          <w:lang w:eastAsia="zh-CN"/>
        </w:rPr>
        <w:t>谈判报价</w:t>
      </w:r>
      <w:r>
        <w:rPr>
          <w:rFonts w:hint="eastAsia" w:ascii="宋体" w:hAnsi="宋体" w:eastAsia="宋体" w:cs="宋体"/>
          <w:b w:val="0"/>
          <w:bCs/>
          <w:color w:val="000000"/>
          <w:sz w:val="22"/>
          <w:szCs w:val="22"/>
          <w:highlight w:val="none"/>
        </w:rPr>
        <w:t>*（1-4%）。</w:t>
      </w:r>
    </w:p>
    <w:p w14:paraId="74A5D0F4">
      <w:pPr>
        <w:keepNext w:val="0"/>
        <w:keepLines w:val="0"/>
        <w:pageBreakBefore w:val="0"/>
        <w:widowControl w:val="0"/>
        <w:kinsoku/>
        <w:wordWrap/>
        <w:overflowPunct/>
        <w:topLinePunct w:val="0"/>
        <w:autoSpaceDE/>
        <w:autoSpaceDN/>
        <w:bidi w:val="0"/>
        <w:adjustRightInd w:val="0"/>
        <w:snapToGrid w:val="0"/>
        <w:spacing w:line="520" w:lineRule="exact"/>
        <w:ind w:firstLine="442"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bCs w:val="0"/>
          <w:color w:val="000000"/>
          <w:sz w:val="22"/>
          <w:szCs w:val="22"/>
          <w:highlight w:val="none"/>
        </w:rPr>
        <w:t>（3）参加本项目的</w:t>
      </w:r>
      <w:r>
        <w:rPr>
          <w:rFonts w:hint="eastAsia" w:ascii="宋体" w:hAnsi="宋体" w:cs="宋体"/>
          <w:b/>
          <w:bCs w:val="0"/>
          <w:color w:val="000000"/>
          <w:sz w:val="22"/>
          <w:szCs w:val="22"/>
          <w:highlight w:val="none"/>
          <w:lang w:eastAsia="zh-CN"/>
        </w:rPr>
        <w:t>供应商符合扶持政策的</w:t>
      </w:r>
      <w:r>
        <w:rPr>
          <w:rFonts w:hint="eastAsia" w:ascii="宋体" w:hAnsi="宋体" w:eastAsia="宋体" w:cs="宋体"/>
          <w:b/>
          <w:bCs w:val="0"/>
          <w:color w:val="000000"/>
          <w:sz w:val="22"/>
          <w:szCs w:val="22"/>
          <w:highlight w:val="none"/>
        </w:rPr>
        <w:t>须提供《中小企业声明函》（</w:t>
      </w:r>
      <w:r>
        <w:rPr>
          <w:rFonts w:hint="eastAsia" w:ascii="宋体" w:hAnsi="宋体" w:cs="宋体"/>
          <w:b/>
          <w:bCs w:val="0"/>
          <w:color w:val="000000"/>
          <w:sz w:val="22"/>
          <w:szCs w:val="22"/>
          <w:highlight w:val="none"/>
          <w:lang w:val="en-US" w:eastAsia="zh-CN"/>
        </w:rPr>
        <w:t>格式</w:t>
      </w:r>
      <w:r>
        <w:rPr>
          <w:rFonts w:hint="eastAsia" w:ascii="宋体" w:hAnsi="宋体" w:eastAsia="宋体" w:cs="宋体"/>
          <w:b/>
          <w:bCs w:val="0"/>
          <w:color w:val="000000"/>
          <w:sz w:val="22"/>
          <w:szCs w:val="22"/>
          <w:highlight w:val="none"/>
          <w:lang w:eastAsia="zh-CN"/>
        </w:rPr>
        <w:t>详见附件</w:t>
      </w:r>
      <w:r>
        <w:rPr>
          <w:rFonts w:hint="eastAsia" w:ascii="宋体" w:hAnsi="宋体" w:eastAsia="宋体" w:cs="宋体"/>
          <w:b/>
          <w:bCs w:val="0"/>
          <w:color w:val="000000"/>
          <w:sz w:val="22"/>
          <w:szCs w:val="22"/>
          <w:highlight w:val="none"/>
        </w:rPr>
        <w:t>），未提供的不视为小微企业。货物类项目提供的货物不包括使用大型企业注册商标的货物，小型、微型企业提供中型企业制造的货物的，视同为中型企业。对于未预留份额专门面向中小企业采购的货物采购项目，以及预留份额项目中的非预留部分货物采购包，大型企业提供的所有采购标的均为小微企业制造的，可享受价格评审优惠政策。</w:t>
      </w:r>
      <w:r>
        <w:rPr>
          <w:rFonts w:hint="eastAsia" w:ascii="宋体" w:hAnsi="宋体" w:eastAsia="宋体" w:cs="宋体"/>
          <w:b/>
          <w:bCs w:val="0"/>
          <w:color w:val="000000"/>
          <w:sz w:val="22"/>
          <w:szCs w:val="22"/>
          <w:highlight w:val="none"/>
          <w:lang w:eastAsia="zh-CN"/>
        </w:rPr>
        <w:t>供应商</w:t>
      </w:r>
      <w:r>
        <w:rPr>
          <w:rFonts w:hint="eastAsia" w:ascii="宋体" w:hAnsi="宋体" w:eastAsia="宋体" w:cs="宋体"/>
          <w:b/>
          <w:bCs w:val="0"/>
          <w:color w:val="000000"/>
          <w:sz w:val="22"/>
          <w:szCs w:val="22"/>
          <w:highlight w:val="none"/>
        </w:rPr>
        <w:t>须做出承诺，保证真实性，如有虚假，将依法承担相应责任。提供使用大型企业注册商标的货物或视同为中型企业的</w:t>
      </w:r>
      <w:r>
        <w:rPr>
          <w:rFonts w:hint="eastAsia" w:ascii="宋体" w:hAnsi="宋体" w:eastAsia="宋体" w:cs="宋体"/>
          <w:b/>
          <w:bCs w:val="0"/>
          <w:color w:val="000000"/>
          <w:sz w:val="22"/>
          <w:szCs w:val="22"/>
          <w:highlight w:val="none"/>
          <w:lang w:eastAsia="zh-CN"/>
        </w:rPr>
        <w:t>供应商</w:t>
      </w:r>
      <w:r>
        <w:rPr>
          <w:rFonts w:hint="eastAsia" w:ascii="宋体" w:hAnsi="宋体" w:eastAsia="宋体" w:cs="宋体"/>
          <w:b/>
          <w:bCs w:val="0"/>
          <w:color w:val="000000"/>
          <w:sz w:val="22"/>
          <w:szCs w:val="22"/>
          <w:highlight w:val="none"/>
        </w:rPr>
        <w:t>不享受价格折扣。</w:t>
      </w:r>
    </w:p>
    <w:p w14:paraId="0140BD29">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（4）小微企业按《政府采购促进中小企业发展管理办法》的通知（财库【2020】46号）和《中小企业划型标准规定》（工信部联企业〔2011〕300号）</w:t>
      </w:r>
      <w:r>
        <w:rPr>
          <w:rFonts w:hint="eastAsia" w:ascii="宋体" w:hAnsi="宋体" w:eastAsia="宋体" w:cs="宋体"/>
          <w:b w:val="0"/>
          <w:bCs/>
          <w:color w:val="000000"/>
          <w:sz w:val="22"/>
          <w:szCs w:val="22"/>
          <w:highlight w:val="none"/>
          <w:lang w:eastAsia="zh-CN"/>
        </w:rPr>
        <w:t>、</w:t>
      </w:r>
      <w:r>
        <w:rPr>
          <w:rFonts w:hint="eastAsia" w:ascii="宋体" w:hAnsi="宋体" w:eastAsia="宋体" w:cs="宋体"/>
          <w:b w:val="0"/>
          <w:bCs/>
          <w:color w:val="000000"/>
          <w:sz w:val="22"/>
          <w:szCs w:val="22"/>
          <w:highlight w:val="none"/>
        </w:rPr>
        <w:t>国家统计局关于印发《统计上大中小微型企业划分办法（2017）》的通知（国统字〔2017〕213号）文件规定标准确认。</w:t>
      </w:r>
    </w:p>
    <w:p w14:paraId="36F0DB63">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3.1.2监狱企业的价格评分标准</w:t>
      </w:r>
    </w:p>
    <w:p w14:paraId="530398C8">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lang w:val="en-US" w:eastAsia="zh-CN"/>
        </w:rPr>
        <w:t>（1）</w:t>
      </w:r>
      <w:r>
        <w:rPr>
          <w:rFonts w:hint="eastAsia" w:ascii="宋体" w:hAnsi="宋体" w:eastAsia="宋体" w:cs="宋体"/>
          <w:b w:val="0"/>
          <w:bCs/>
          <w:color w:val="000000"/>
          <w:sz w:val="22"/>
          <w:szCs w:val="22"/>
          <w:highlight w:val="none"/>
        </w:rPr>
        <w:t>在政府采购活动中，监狱企业视同小型、微型企业，享受预留份额、评审中价格扣除等政府采购促进中小企业发展的政府采购政策。</w:t>
      </w:r>
    </w:p>
    <w:p w14:paraId="74630557">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lang w:val="en-US" w:eastAsia="zh-CN"/>
        </w:rPr>
        <w:t>（2）</w:t>
      </w:r>
      <w:r>
        <w:rPr>
          <w:rFonts w:hint="eastAsia" w:ascii="宋体" w:hAnsi="宋体" w:eastAsia="宋体" w:cs="宋体"/>
          <w:b w:val="0"/>
          <w:bCs/>
          <w:color w:val="000000"/>
          <w:sz w:val="22"/>
          <w:szCs w:val="22"/>
          <w:highlight w:val="none"/>
        </w:rPr>
        <w:t xml:space="preserve">监狱企业属于小型、微型企业的，不重复享受政策。 </w:t>
      </w:r>
    </w:p>
    <w:p w14:paraId="3DCCD790">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lang w:val="en-US" w:eastAsia="zh-CN"/>
        </w:rPr>
        <w:t>（3）</w:t>
      </w:r>
      <w:r>
        <w:rPr>
          <w:rFonts w:hint="eastAsia" w:ascii="宋体" w:hAnsi="宋体" w:eastAsia="宋体" w:cs="宋体"/>
          <w:b w:val="0"/>
          <w:bCs/>
          <w:color w:val="000000"/>
          <w:sz w:val="22"/>
          <w:szCs w:val="22"/>
          <w:highlight w:val="none"/>
        </w:rPr>
        <w:t>监狱企业参加政府采购活动时，应当提供由省级以上监狱管理局、戒毒管理局（含新疆生产建设兵团）出具的属于监狱企业的证明文件。</w:t>
      </w:r>
    </w:p>
    <w:p w14:paraId="6D76C4FD">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lang w:val="en-US" w:eastAsia="zh-CN"/>
        </w:rPr>
        <w:t>（4）</w:t>
      </w:r>
      <w:r>
        <w:rPr>
          <w:rFonts w:hint="eastAsia" w:ascii="宋体" w:hAnsi="宋体" w:eastAsia="宋体" w:cs="宋体"/>
          <w:b w:val="0"/>
          <w:bCs/>
          <w:color w:val="000000"/>
          <w:sz w:val="22"/>
          <w:szCs w:val="22"/>
          <w:highlight w:val="none"/>
        </w:rPr>
        <w:t>监狱企业按《财政部、司法部关于政府采购支持监狱企业发展有关问题的通知》（财库〔2014〕68号）文件规定标准执行。</w:t>
      </w:r>
    </w:p>
    <w:p w14:paraId="248A6D01">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bookmarkStart w:id="60" w:name="OLE_LINK2"/>
      <w:r>
        <w:rPr>
          <w:rFonts w:hint="eastAsia" w:ascii="宋体" w:hAnsi="宋体" w:eastAsia="宋体" w:cs="宋体"/>
          <w:b w:val="0"/>
          <w:bCs/>
          <w:color w:val="000000"/>
          <w:sz w:val="22"/>
          <w:szCs w:val="22"/>
          <w:highlight w:val="none"/>
        </w:rPr>
        <w:t>3.1.3残疾人福利性单位的价格评分标准</w:t>
      </w:r>
    </w:p>
    <w:bookmarkEnd w:id="60"/>
    <w:p w14:paraId="602D4169">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lang w:val="en-US" w:eastAsia="zh-CN"/>
        </w:rPr>
        <w:t>（1）</w:t>
      </w:r>
      <w:r>
        <w:rPr>
          <w:rFonts w:hint="eastAsia" w:ascii="宋体" w:hAnsi="宋体" w:eastAsia="宋体" w:cs="宋体"/>
          <w:b w:val="0"/>
          <w:bCs/>
          <w:color w:val="000000"/>
          <w:sz w:val="22"/>
          <w:szCs w:val="22"/>
          <w:highlight w:val="none"/>
        </w:rPr>
        <w:t>在政府采购活动中，残疾人福利性单位视同小型、微型企业，享受预留份额、评审中价格扣除等政府采购促进中小企业发展的政府采购政策。</w:t>
      </w:r>
    </w:p>
    <w:p w14:paraId="3B249F4D">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lang w:val="en-US" w:eastAsia="zh-CN"/>
        </w:rPr>
        <w:t>（2）</w:t>
      </w:r>
      <w:r>
        <w:rPr>
          <w:rFonts w:hint="eastAsia" w:ascii="宋体" w:hAnsi="宋体" w:eastAsia="宋体" w:cs="宋体"/>
          <w:b w:val="0"/>
          <w:bCs/>
          <w:color w:val="000000"/>
          <w:sz w:val="22"/>
          <w:szCs w:val="22"/>
          <w:highlight w:val="none"/>
        </w:rPr>
        <w:t>残疾人福利性单位属于小型、微型企业的，不重复享受政策。</w:t>
      </w:r>
    </w:p>
    <w:p w14:paraId="45BDAFC5">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lang w:val="en-US" w:eastAsia="zh-CN"/>
        </w:rPr>
        <w:t>（3）</w:t>
      </w:r>
      <w:r>
        <w:rPr>
          <w:rFonts w:hint="eastAsia" w:ascii="宋体" w:hAnsi="宋体" w:eastAsia="宋体" w:cs="宋体"/>
          <w:b w:val="0"/>
          <w:bCs/>
          <w:color w:val="000000"/>
          <w:sz w:val="22"/>
          <w:szCs w:val="22"/>
          <w:highlight w:val="none"/>
        </w:rPr>
        <w:t>符合条件的残疾人福利性单位在参加政府采购活动时，应当提供本通知规定的《残疾人福利性单位声明函》（</w:t>
      </w:r>
      <w:r>
        <w:rPr>
          <w:rFonts w:hint="eastAsia" w:ascii="宋体" w:hAnsi="宋体" w:cs="宋体"/>
          <w:b w:val="0"/>
          <w:bCs/>
          <w:color w:val="000000"/>
          <w:sz w:val="22"/>
          <w:szCs w:val="22"/>
          <w:highlight w:val="none"/>
          <w:lang w:eastAsia="zh-CN"/>
        </w:rPr>
        <w:t>具体详见</w:t>
      </w:r>
      <w:r>
        <w:rPr>
          <w:rFonts w:hint="eastAsia" w:ascii="宋体" w:hAnsi="宋体" w:eastAsia="宋体" w:cs="宋体"/>
          <w:b w:val="0"/>
          <w:bCs/>
          <w:color w:val="000000"/>
          <w:sz w:val="22"/>
          <w:szCs w:val="22"/>
          <w:highlight w:val="none"/>
        </w:rPr>
        <w:t xml:space="preserve">附件），并对声明的真实性负责，未提供的不视为残疾人福利性单位。 </w:t>
      </w:r>
    </w:p>
    <w:p w14:paraId="55BAEEF1">
      <w:pPr>
        <w:keepNext w:val="0"/>
        <w:keepLines w:val="0"/>
        <w:pageBreakBefore w:val="0"/>
        <w:widowControl w:val="0"/>
        <w:kinsoku/>
        <w:wordWrap/>
        <w:overflowPunct/>
        <w:topLinePunct w:val="0"/>
        <w:autoSpaceDE/>
        <w:autoSpaceDN/>
        <w:bidi w:val="0"/>
        <w:adjustRightInd w:val="0"/>
        <w:snapToGrid w:val="0"/>
        <w:spacing w:line="520" w:lineRule="exact"/>
        <w:ind w:firstLine="442" w:firstLineChars="200"/>
        <w:textAlignment w:val="auto"/>
        <w:rPr>
          <w:rFonts w:hint="eastAsia" w:eastAsia="宋体"/>
          <w:b/>
          <w:bCs w:val="0"/>
          <w:highlight w:val="none"/>
          <w:lang w:eastAsia="zh-CN"/>
        </w:rPr>
      </w:pPr>
      <w:r>
        <w:rPr>
          <w:rFonts w:hint="eastAsia" w:ascii="宋体" w:hAnsi="宋体" w:eastAsia="宋体" w:cs="宋体"/>
          <w:b/>
          <w:bCs w:val="0"/>
          <w:color w:val="000000"/>
          <w:sz w:val="22"/>
          <w:szCs w:val="22"/>
          <w:highlight w:val="none"/>
        </w:rPr>
        <w:t>3.1.</w:t>
      </w:r>
      <w:r>
        <w:rPr>
          <w:rFonts w:hint="eastAsia" w:ascii="宋体" w:hAnsi="宋体" w:cs="宋体"/>
          <w:b/>
          <w:bCs w:val="0"/>
          <w:color w:val="000000"/>
          <w:sz w:val="22"/>
          <w:szCs w:val="22"/>
          <w:highlight w:val="none"/>
          <w:lang w:val="en-US" w:eastAsia="zh-CN"/>
        </w:rPr>
        <w:t xml:space="preserve">4 </w:t>
      </w:r>
      <w:r>
        <w:rPr>
          <w:rFonts w:hint="eastAsia" w:ascii="宋体" w:hAnsi="宋体" w:cs="宋体"/>
          <w:b/>
          <w:bCs w:val="0"/>
          <w:color w:val="000000"/>
          <w:sz w:val="22"/>
          <w:szCs w:val="22"/>
          <w:highlight w:val="none"/>
          <w:lang w:eastAsia="zh-CN"/>
        </w:rPr>
        <w:t>专门面向中小企业采购的项目，不再享受小微企业价格折扣。</w:t>
      </w:r>
    </w:p>
    <w:p w14:paraId="2A12152F">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3.2 节能产品、环境标志产品政策</w:t>
      </w:r>
    </w:p>
    <w:p w14:paraId="77A8A1B0">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3.2.1节能产品、环境标志产品根据以下有关政策规定执行</w:t>
      </w:r>
    </w:p>
    <w:p w14:paraId="795EBC17">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（1）《财政部、国家发展和改革委员会关于印发&lt;节能产品政府采购实施意见&gt;的通知》（财库【2004】185号）；</w:t>
      </w:r>
    </w:p>
    <w:p w14:paraId="4A9D5932">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（2）《国务院办公厅关于建立政府强制采购节能产品制度的通知》（国办发〔2007〕51号）；</w:t>
      </w:r>
    </w:p>
    <w:p w14:paraId="0B5690F5">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（3）《财政部、国家环保总局联合印发&lt;关于环境标志产品政府采购实施的意见&gt;》（财库【2006】90号）；</w:t>
      </w:r>
    </w:p>
    <w:p w14:paraId="4B80A41D">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（4）《财政部、发展改革委、生态环境部、市场监管总局关于调整优化节能产品、环境标志产品政府采购执行机制的通知》（财库〔2019〕9号）；</w:t>
      </w:r>
    </w:p>
    <w:p w14:paraId="6958D897">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（5）《关于印发节能产品政府采购品目清单的通知》（财库〔2019〕19号）；</w:t>
      </w:r>
    </w:p>
    <w:p w14:paraId="3698E114">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（6）《关于印发环境标志产品政府采购品目清单的通知》（财库〔2019〕18号）。</w:t>
      </w:r>
    </w:p>
    <w:p w14:paraId="6FB7EA3C">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3.2.2产品属于优先采购节能、环境标志产品范围的，应当优先采购节能、环境标志产品；产品符合政府采购强制采购政策的，实行强制采购。</w:t>
      </w:r>
    </w:p>
    <w:p w14:paraId="33502205">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3.2.3文件中对所投产品为节能、环境标志产品品目清单中的产品，在报价时必须对此类产品单独分项报价</w:t>
      </w:r>
      <w:r>
        <w:rPr>
          <w:rFonts w:hint="eastAsia" w:ascii="宋体" w:hAnsi="宋体" w:cs="宋体"/>
          <w:b w:val="0"/>
          <w:bCs/>
          <w:color w:val="auto"/>
          <w:sz w:val="22"/>
          <w:szCs w:val="22"/>
          <w:highlight w:val="none"/>
          <w:lang w:eastAsia="zh-CN"/>
        </w:rPr>
        <w:t>，</w:t>
      </w:r>
      <w:r>
        <w:rPr>
          <w:rFonts w:hint="eastAsia" w:ascii="宋体" w:hAnsi="宋体" w:cs="宋体"/>
          <w:b w:val="0"/>
          <w:bCs/>
          <w:color w:val="auto"/>
          <w:sz w:val="22"/>
          <w:szCs w:val="22"/>
          <w:highlight w:val="none"/>
          <w:lang w:val="en-US" w:eastAsia="zh-CN"/>
        </w:rPr>
        <w:t>评审时谈判小组根据采购需求、品目清单、证明材料判定对于满足要求的产品价格给予1%的价格折扣</w:t>
      </w:r>
      <w:r>
        <w:rPr>
          <w:rFonts w:hint="eastAsia" w:ascii="宋体" w:hAnsi="宋体" w:eastAsia="宋体" w:cs="宋体"/>
          <w:b w:val="0"/>
          <w:bCs/>
          <w:color w:val="auto"/>
          <w:sz w:val="22"/>
          <w:szCs w:val="22"/>
          <w:highlight w:val="none"/>
        </w:rPr>
        <w:t>。</w:t>
      </w:r>
    </w:p>
    <w:p w14:paraId="51448471">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3.2.4若节能、环境标志品目清单内的产品仅是构成所投产品的部件、组件或零件的，则该所投产品不享受鼓励优惠政策。</w:t>
      </w:r>
    </w:p>
    <w:p w14:paraId="08167767">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3.2.5节能、环境标志产品部分</w:t>
      </w:r>
      <w:r>
        <w:rPr>
          <w:rFonts w:hint="eastAsia" w:ascii="宋体" w:hAnsi="宋体" w:cs="宋体"/>
          <w:b w:val="0"/>
          <w:bCs/>
          <w:color w:val="auto"/>
          <w:sz w:val="22"/>
          <w:szCs w:val="22"/>
          <w:highlight w:val="none"/>
          <w:lang w:val="en-US" w:eastAsia="zh-CN"/>
        </w:rPr>
        <w:t>价格折扣</w:t>
      </w:r>
      <w:r>
        <w:rPr>
          <w:rFonts w:hint="eastAsia" w:ascii="宋体" w:hAnsi="宋体" w:eastAsia="宋体" w:cs="宋体"/>
          <w:b w:val="0"/>
          <w:bCs/>
          <w:color w:val="auto"/>
          <w:sz w:val="22"/>
          <w:szCs w:val="22"/>
          <w:highlight w:val="none"/>
        </w:rPr>
        <w:t>只对属于品目清单内的非强制类产品进行计分</w:t>
      </w:r>
      <w:r>
        <w:rPr>
          <w:rFonts w:hint="eastAsia" w:ascii="宋体" w:hAnsi="宋体" w:cs="宋体"/>
          <w:b w:val="0"/>
          <w:bCs/>
          <w:color w:val="auto"/>
          <w:sz w:val="22"/>
          <w:szCs w:val="22"/>
          <w:highlight w:val="none"/>
          <w:lang w:val="en-US" w:eastAsia="zh-CN"/>
        </w:rPr>
        <w:t>价格折扣</w:t>
      </w:r>
      <w:r>
        <w:rPr>
          <w:rFonts w:hint="eastAsia" w:ascii="宋体" w:hAnsi="宋体" w:eastAsia="宋体" w:cs="宋体"/>
          <w:b w:val="0"/>
          <w:bCs/>
          <w:color w:val="auto"/>
          <w:sz w:val="22"/>
          <w:szCs w:val="22"/>
          <w:highlight w:val="none"/>
        </w:rPr>
        <w:t>，强制类产品不给予</w:t>
      </w:r>
      <w:r>
        <w:rPr>
          <w:rFonts w:hint="eastAsia" w:ascii="宋体" w:hAnsi="宋体" w:cs="宋体"/>
          <w:b w:val="0"/>
          <w:bCs/>
          <w:color w:val="auto"/>
          <w:sz w:val="22"/>
          <w:szCs w:val="22"/>
          <w:highlight w:val="none"/>
          <w:lang w:val="en-US" w:eastAsia="zh-CN"/>
        </w:rPr>
        <w:t>价格折扣</w:t>
      </w:r>
      <w:r>
        <w:rPr>
          <w:rFonts w:hint="eastAsia" w:ascii="宋体" w:hAnsi="宋体" w:eastAsia="宋体" w:cs="宋体"/>
          <w:b w:val="0"/>
          <w:bCs/>
          <w:color w:val="auto"/>
          <w:sz w:val="22"/>
          <w:szCs w:val="22"/>
          <w:highlight w:val="none"/>
        </w:rPr>
        <w:t xml:space="preserve">。 </w:t>
      </w:r>
    </w:p>
    <w:p w14:paraId="3607787B">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3.2.6对于同时列入环保品目清单和节能品目清单的产品，应当优先于只列入其中一个清单的产品。 </w:t>
      </w:r>
    </w:p>
    <w:p w14:paraId="34C94EA0">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3.2.7文件中所投节能、环境标志产品须提供认证证书等相关资料，未提供节能、环境标志产品认证证书等相关资料的不给予</w:t>
      </w:r>
      <w:r>
        <w:rPr>
          <w:rFonts w:hint="eastAsia" w:ascii="宋体" w:hAnsi="宋体" w:cs="宋体"/>
          <w:b w:val="0"/>
          <w:bCs/>
          <w:color w:val="auto"/>
          <w:sz w:val="22"/>
          <w:szCs w:val="22"/>
          <w:highlight w:val="none"/>
          <w:lang w:val="en-US" w:eastAsia="zh-CN"/>
        </w:rPr>
        <w:t>价格折扣</w:t>
      </w:r>
      <w:r>
        <w:rPr>
          <w:rFonts w:hint="eastAsia" w:ascii="宋体" w:hAnsi="宋体" w:eastAsia="宋体" w:cs="宋体"/>
          <w:b w:val="0"/>
          <w:bCs/>
          <w:color w:val="auto"/>
          <w:sz w:val="22"/>
          <w:szCs w:val="22"/>
          <w:highlight w:val="none"/>
        </w:rPr>
        <w:t>。</w:t>
      </w:r>
    </w:p>
    <w:p w14:paraId="1DBB3E3E">
      <w:pPr>
        <w:keepNext w:val="0"/>
        <w:keepLines w:val="0"/>
        <w:pageBreakBefore w:val="0"/>
        <w:widowControl w:val="0"/>
        <w:kinsoku/>
        <w:wordWrap/>
        <w:overflowPunct/>
        <w:topLinePunct w:val="0"/>
        <w:autoSpaceDE/>
        <w:autoSpaceDN/>
        <w:bidi w:val="0"/>
        <w:adjustRightInd w:val="0"/>
        <w:snapToGrid w:val="0"/>
        <w:spacing w:line="520" w:lineRule="exact"/>
        <w:ind w:firstLine="442" w:firstLineChars="200"/>
        <w:textAlignment w:val="auto"/>
        <w:rPr>
          <w:rFonts w:hint="eastAsia" w:ascii="宋体" w:hAnsi="宋体" w:eastAsia="宋体" w:cs="宋体"/>
          <w:color w:val="000000"/>
          <w:sz w:val="22"/>
          <w:szCs w:val="22"/>
          <w:highlight w:val="none"/>
          <w:lang w:eastAsia="zh-CN"/>
        </w:rPr>
      </w:pPr>
      <w:r>
        <w:rPr>
          <w:rFonts w:hint="eastAsia" w:ascii="宋体" w:hAnsi="宋体" w:eastAsia="宋体" w:cs="宋体"/>
          <w:b/>
          <w:color w:val="000000"/>
          <w:sz w:val="22"/>
          <w:szCs w:val="22"/>
          <w:highlight w:val="none"/>
        </w:rPr>
        <w:t>4、</w:t>
      </w:r>
      <w:r>
        <w:rPr>
          <w:rFonts w:hint="eastAsia" w:ascii="宋体" w:hAnsi="宋体" w:eastAsia="宋体" w:cs="宋体"/>
          <w:b/>
          <w:color w:val="000000"/>
          <w:sz w:val="22"/>
          <w:szCs w:val="22"/>
          <w:highlight w:val="none"/>
          <w:lang w:eastAsia="zh-CN"/>
        </w:rPr>
        <w:t>谈判</w:t>
      </w:r>
    </w:p>
    <w:p w14:paraId="380DA42B">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4.1第一次报价：将各参加竞争性</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的供应商</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响应文件中的报价、</w:t>
      </w:r>
      <w:r>
        <w:rPr>
          <w:rFonts w:hint="eastAsia" w:ascii="宋体" w:hAnsi="宋体" w:cs="宋体"/>
          <w:color w:val="000000"/>
          <w:sz w:val="22"/>
          <w:szCs w:val="22"/>
          <w:highlight w:val="none"/>
          <w:lang w:val="en-US" w:eastAsia="zh-CN"/>
        </w:rPr>
        <w:t>供货期</w:t>
      </w:r>
      <w:r>
        <w:rPr>
          <w:rFonts w:hint="eastAsia" w:ascii="宋体" w:hAnsi="宋体" w:eastAsia="宋体" w:cs="宋体"/>
          <w:color w:val="000000"/>
          <w:sz w:val="22"/>
          <w:szCs w:val="22"/>
          <w:highlight w:val="none"/>
        </w:rPr>
        <w:t>等内容以不公开形式记录。</w:t>
      </w:r>
    </w:p>
    <w:p w14:paraId="759A05A8">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4.2</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小组所有成员集中与单一供应商分别进行</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，并给予所有参加</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的供应商平等的</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机会。</w:t>
      </w:r>
    </w:p>
    <w:p w14:paraId="26A46266">
      <w:pPr>
        <w:keepNext w:val="0"/>
        <w:keepLines w:val="0"/>
        <w:pageBreakBefore w:val="0"/>
        <w:widowControl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4.3供应商进行</w:t>
      </w:r>
      <w:r>
        <w:rPr>
          <w:rFonts w:hint="eastAsia" w:ascii="宋体" w:hAnsi="宋体" w:cs="宋体"/>
          <w:color w:val="000000"/>
          <w:sz w:val="22"/>
          <w:szCs w:val="22"/>
          <w:highlight w:val="none"/>
          <w:lang w:val="en-US" w:eastAsia="zh-CN"/>
        </w:rPr>
        <w:t>最后</w:t>
      </w:r>
      <w:r>
        <w:rPr>
          <w:rFonts w:hint="eastAsia" w:ascii="宋体" w:hAnsi="宋体" w:eastAsia="宋体" w:cs="宋体"/>
          <w:color w:val="000000"/>
          <w:sz w:val="22"/>
          <w:szCs w:val="22"/>
          <w:highlight w:val="none"/>
        </w:rPr>
        <w:t>报价，</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小组根据</w:t>
      </w:r>
      <w:r>
        <w:rPr>
          <w:rFonts w:hint="eastAsia" w:ascii="宋体" w:hAnsi="宋体" w:cs="宋体"/>
          <w:color w:val="000000"/>
          <w:sz w:val="22"/>
          <w:szCs w:val="22"/>
          <w:highlight w:val="none"/>
          <w:lang w:val="en-US" w:eastAsia="zh-CN"/>
        </w:rPr>
        <w:t>最后</w:t>
      </w:r>
      <w:r>
        <w:rPr>
          <w:rFonts w:hint="eastAsia" w:ascii="宋体" w:hAnsi="宋体" w:eastAsia="宋体" w:cs="宋体"/>
          <w:color w:val="000000"/>
          <w:sz w:val="22"/>
          <w:szCs w:val="22"/>
          <w:highlight w:val="none"/>
        </w:rPr>
        <w:t>报价、</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澄清、承诺及响应文件进行最后的评审工作。</w:t>
      </w:r>
    </w:p>
    <w:p w14:paraId="043CB536">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b/>
          <w:spacing w:val="4"/>
          <w:sz w:val="22"/>
          <w:szCs w:val="22"/>
          <w:highlight w:val="none"/>
        </w:rPr>
      </w:pPr>
      <w:r>
        <w:rPr>
          <w:rFonts w:hint="eastAsia" w:ascii="宋体" w:hAnsi="宋体" w:eastAsia="宋体" w:cs="宋体"/>
          <w:color w:val="000000"/>
          <w:sz w:val="22"/>
          <w:szCs w:val="22"/>
          <w:highlight w:val="none"/>
        </w:rPr>
        <w:t>4.4</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小组有权与</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响应单位进行多轮</w:t>
      </w:r>
      <w:r>
        <w:rPr>
          <w:rFonts w:hint="eastAsia" w:ascii="宋体" w:hAnsi="宋体" w:eastAsia="宋体" w:cs="宋体"/>
          <w:color w:val="000000"/>
          <w:sz w:val="22"/>
          <w:szCs w:val="22"/>
          <w:highlight w:val="none"/>
          <w:lang w:eastAsia="zh-CN"/>
        </w:rPr>
        <w:t>谈判</w:t>
      </w:r>
      <w:r>
        <w:rPr>
          <w:rFonts w:hint="eastAsia" w:ascii="宋体" w:hAnsi="宋体" w:eastAsia="宋体" w:cs="宋体"/>
          <w:color w:val="000000"/>
          <w:sz w:val="22"/>
          <w:szCs w:val="22"/>
          <w:highlight w:val="none"/>
        </w:rPr>
        <w:t>。</w:t>
      </w:r>
    </w:p>
    <w:p w14:paraId="4C7E70F0">
      <w:pPr>
        <w:keepNext w:val="0"/>
        <w:keepLines w:val="0"/>
        <w:pageBreakBefore w:val="0"/>
        <w:kinsoku/>
        <w:wordWrap/>
        <w:overflowPunct/>
        <w:topLinePunct w:val="0"/>
        <w:autoSpaceDE/>
        <w:autoSpaceDN/>
        <w:bidi w:val="0"/>
        <w:adjustRightInd w:val="0"/>
        <w:snapToGrid w:val="0"/>
        <w:spacing w:line="520" w:lineRule="exact"/>
        <w:ind w:firstLine="458" w:firstLineChars="200"/>
        <w:textAlignment w:val="auto"/>
        <w:rPr>
          <w:rFonts w:hint="eastAsia" w:ascii="宋体" w:hAnsi="宋体" w:eastAsia="宋体" w:cs="宋体"/>
          <w:b/>
          <w:spacing w:val="4"/>
          <w:sz w:val="22"/>
          <w:szCs w:val="22"/>
          <w:highlight w:val="none"/>
        </w:rPr>
      </w:pPr>
      <w:r>
        <w:rPr>
          <w:rFonts w:hint="eastAsia" w:ascii="宋体" w:hAnsi="宋体" w:eastAsia="宋体" w:cs="宋体"/>
          <w:b/>
          <w:spacing w:val="4"/>
          <w:sz w:val="22"/>
          <w:szCs w:val="22"/>
          <w:highlight w:val="none"/>
          <w:lang w:val="en-US" w:eastAsia="zh-CN"/>
        </w:rPr>
        <w:t>5</w:t>
      </w:r>
      <w:r>
        <w:rPr>
          <w:rFonts w:hint="eastAsia" w:ascii="宋体" w:hAnsi="宋体" w:eastAsia="宋体" w:cs="宋体"/>
          <w:b/>
          <w:spacing w:val="4"/>
          <w:sz w:val="22"/>
          <w:szCs w:val="22"/>
          <w:highlight w:val="none"/>
        </w:rPr>
        <w:t>、比较与评价：</w:t>
      </w:r>
    </w:p>
    <w:p w14:paraId="03DF3AA0">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5.1</w:t>
      </w:r>
      <w:r>
        <w:rPr>
          <w:rFonts w:hint="eastAsia" w:ascii="宋体" w:hAnsi="宋体" w:cs="宋体"/>
          <w:sz w:val="22"/>
          <w:szCs w:val="22"/>
          <w:highlight w:val="none"/>
          <w:lang w:val="en-US" w:eastAsia="zh-CN"/>
        </w:rPr>
        <w:t xml:space="preserve"> 同品牌产品</w:t>
      </w:r>
    </w:p>
    <w:p w14:paraId="7AD0A7DD">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5.1.1单一产品，提供相同品牌产品且通过资格审查、符合性审查的的不同供应商参加同一合同项下谈判的，以报价最低的参加谈判；最后报价相同的，由采购人或者采购人委托谈判小组确定一个参加谈判的供应商，其他谈判无效。</w:t>
      </w:r>
    </w:p>
    <w:p w14:paraId="55C5531A">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5.1.2非单一产品，多家供应商提供的核心产品</w:t>
      </w:r>
      <w:r>
        <w:rPr>
          <w:rFonts w:hint="eastAsia" w:ascii="宋体" w:hAnsi="宋体" w:eastAsia="宋体" w:cs="宋体"/>
          <w:bCs/>
          <w:color w:val="auto"/>
          <w:sz w:val="22"/>
          <w:szCs w:val="22"/>
          <w:highlight w:val="none"/>
          <w:lang w:val="en-US" w:eastAsia="zh-CN"/>
        </w:rPr>
        <w:t>（核心产品详见供应商须知前附表10.12条）</w:t>
      </w:r>
      <w:r>
        <w:rPr>
          <w:rFonts w:hint="eastAsia" w:ascii="宋体" w:hAnsi="宋体" w:eastAsia="宋体" w:cs="宋体"/>
          <w:sz w:val="22"/>
          <w:szCs w:val="22"/>
          <w:highlight w:val="none"/>
          <w:lang w:val="en-US" w:eastAsia="zh-CN"/>
        </w:rPr>
        <w:t>品牌全部相同的，按上述规定处理。</w:t>
      </w:r>
    </w:p>
    <w:p w14:paraId="22C952EF">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5.2</w:t>
      </w:r>
      <w:r>
        <w:rPr>
          <w:rFonts w:hint="eastAsia" w:ascii="宋体" w:hAnsi="宋体" w:eastAsia="宋体" w:cs="宋体"/>
          <w:sz w:val="22"/>
          <w:szCs w:val="22"/>
          <w:highlight w:val="none"/>
        </w:rPr>
        <w:t>对所有有效</w:t>
      </w:r>
      <w:r>
        <w:rPr>
          <w:rFonts w:hint="eastAsia" w:ascii="宋体" w:hAnsi="宋体" w:cs="宋体"/>
          <w:sz w:val="22"/>
          <w:szCs w:val="22"/>
          <w:highlight w:val="none"/>
          <w:lang w:val="en-US" w:eastAsia="zh-CN"/>
        </w:rPr>
        <w:t>响应供应商的最后报价</w:t>
      </w:r>
      <w:r>
        <w:rPr>
          <w:rFonts w:hint="eastAsia" w:ascii="宋体" w:hAnsi="宋体" w:eastAsia="宋体" w:cs="宋体"/>
          <w:sz w:val="22"/>
          <w:szCs w:val="22"/>
          <w:highlight w:val="none"/>
        </w:rPr>
        <w:t>进行了评审价确认之后，由谈判小组各成员按照最终一轮谈判报价</w:t>
      </w:r>
      <w:r>
        <w:rPr>
          <w:rFonts w:hint="eastAsia" w:ascii="宋体" w:hAnsi="宋体" w:cs="宋体"/>
          <w:sz w:val="22"/>
          <w:szCs w:val="22"/>
          <w:highlight w:val="none"/>
          <w:lang w:val="en-US" w:eastAsia="zh-CN"/>
        </w:rPr>
        <w:t>的评审价</w:t>
      </w:r>
      <w:r>
        <w:rPr>
          <w:rFonts w:hint="eastAsia" w:ascii="宋体" w:hAnsi="宋体" w:eastAsia="宋体" w:cs="宋体"/>
          <w:sz w:val="22"/>
          <w:szCs w:val="22"/>
          <w:highlight w:val="none"/>
        </w:rPr>
        <w:t>从低至高进行依次排序。</w:t>
      </w:r>
    </w:p>
    <w:p w14:paraId="5A34D855">
      <w:pPr>
        <w:spacing w:line="460" w:lineRule="exact"/>
        <w:ind w:firstLine="433" w:firstLineChars="196"/>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6、</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异常低价</w:t>
      </w:r>
    </w:p>
    <w:p w14:paraId="3FA6AB12">
      <w:pPr>
        <w:spacing w:line="460" w:lineRule="exact"/>
        <w:ind w:firstLine="431" w:firstLineChars="196"/>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依据《关于推动解决政府采购异常低价问题的通知》财库〔2026〕2号文件的有关规定，强化政府采购异常低价审查的有关要求。</w:t>
      </w:r>
    </w:p>
    <w:p w14:paraId="6FDD9BD9">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6.1 出现下列情形之一的，评审委员会应当启动异常低价投标（响应）审查程序：</w:t>
      </w:r>
    </w:p>
    <w:p w14:paraId="5FC688E6">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（1）投标（响应）报价低于全部通过符合性审查供应商投标（响应）报价平均值50%的，即投标（响应）报价&lt;全部通过符合性审查供应商投标（响应）报价平均值×50%；</w:t>
      </w:r>
    </w:p>
    <w:p w14:paraId="0588D4E9">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（2）投标（响应）报价低于通过符合性审查的次低报价供应商投标（响应）报价50%的，即投标（响应）报价&lt;通过符合性审查的次低报价供应商投标（响应）报价×50%；</w:t>
      </w:r>
    </w:p>
    <w:p w14:paraId="379CC5E4">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（3）投标（响应）报价低于采购项目最高限价45%的，即投标（响应）报价&lt;采购项目最高限价×45%；（未设定最高限价的采购项目，以采购项目预算金额作为最高限价）</w:t>
      </w:r>
    </w:p>
    <w:p w14:paraId="4020C303">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（4）评审委员会基于专业判断，认为供应商报价过低，有可能影响产品质量或者不能诚信履约的其他情形。</w:t>
      </w:r>
    </w:p>
    <w:p w14:paraId="2430616C">
      <w:pPr>
        <w:spacing w:line="460" w:lineRule="exact"/>
        <w:ind w:firstLine="431" w:firstLineChars="196"/>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相关法律法规对供应商报价有规定的，从其规定。</w:t>
      </w:r>
    </w:p>
    <w:p w14:paraId="5A487B4D">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3ED7A5F">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0613CA5">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439F3D5">
      <w:pPr>
        <w:spacing w:line="460" w:lineRule="exact"/>
        <w:ind w:firstLine="431" w:firstLineChars="196"/>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70523FA">
      <w:pPr>
        <w:pStyle w:val="2"/>
        <w:rPr>
          <w:rFonts w:hint="eastAsia" w:ascii="宋体" w:hAnsi="宋体" w:eastAsia="宋体" w:cs="宋体"/>
          <w:bCs/>
          <w:color w:val="auto"/>
          <w:sz w:val="22"/>
          <w:szCs w:val="22"/>
          <w:highlight w:val="none"/>
          <w:lang w:val="en-US" w:eastAsia="zh-CN"/>
        </w:rPr>
      </w:pPr>
    </w:p>
    <w:p w14:paraId="05DFE886">
      <w:pPr>
        <w:pStyle w:val="27"/>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27" w:lineRule="atLeast"/>
        <w:ind w:left="0" w:right="0" w:firstLine="0" w:firstLineChars="0"/>
        <w:jc w:val="left"/>
        <w:textAlignment w:val="auto"/>
        <w:rPr>
          <w:rFonts w:hint="eastAsia" w:ascii="宋体" w:hAnsi="宋体" w:eastAsia="宋体" w:cs="宋体"/>
          <w:b/>
          <w:bCs/>
          <w:i w:val="0"/>
          <w:iCs w:val="0"/>
          <w:caps w:val="0"/>
          <w:color w:val="auto"/>
          <w:spacing w:val="0"/>
          <w:sz w:val="24"/>
          <w:szCs w:val="24"/>
          <w:highlight w:val="none"/>
          <w:shd w:val="clear" w:fill="FFFFFF"/>
        </w:rPr>
      </w:pPr>
      <w:r>
        <w:rPr>
          <w:rFonts w:hint="eastAsia" w:ascii="宋体" w:hAnsi="宋体" w:eastAsia="宋体" w:cs="宋体"/>
          <w:b/>
          <w:bCs/>
          <w:i w:val="0"/>
          <w:iCs w:val="0"/>
          <w:caps w:val="0"/>
          <w:color w:val="auto"/>
          <w:spacing w:val="0"/>
          <w:sz w:val="24"/>
          <w:szCs w:val="24"/>
          <w:highlight w:val="none"/>
          <w:shd w:val="clear" w:fill="FFFFFF"/>
        </w:rPr>
        <w:t>本国产品</w:t>
      </w:r>
    </w:p>
    <w:p w14:paraId="7AB77971">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7.1标准</w:t>
      </w:r>
    </w:p>
    <w:p w14:paraId="2E639F94">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本国产品应当符合以下条件：</w:t>
      </w:r>
    </w:p>
    <w:p w14:paraId="3570DF14">
      <w:pPr>
        <w:keepNext w:val="0"/>
        <w:keepLines w:val="0"/>
        <w:pageBreakBefore w:val="0"/>
        <w:kinsoku/>
        <w:wordWrap/>
        <w:overflowPunct/>
        <w:topLinePunct w:val="0"/>
        <w:autoSpaceDE/>
        <w:autoSpaceDN/>
        <w:bidi w:val="0"/>
        <w:adjustRightInd/>
        <w:snapToGrid/>
        <w:spacing w:line="460" w:lineRule="exact"/>
        <w:ind w:firstLine="440" w:firstLineChars="2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（一）在中国境内生产</w:t>
      </w:r>
    </w:p>
    <w:p w14:paraId="7AC5B52E">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产品应当在中国境内生产，即在中华人民共和国关境内实现从原材料、组件到产品的属性改变。</w:t>
      </w:r>
    </w:p>
    <w:p w14:paraId="4815E31E">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属性改变是指经过制造、加工或者组装等工序，产生完全不同于原材料、组件的新产品，并具有新的名称和特征（用途）。属性改变不包括以下细微操作：</w:t>
      </w:r>
    </w:p>
    <w:p w14:paraId="3187779C">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1.为确保产品在运输或者储存期间保持某种状态而进行的操作；</w:t>
      </w:r>
    </w:p>
    <w:p w14:paraId="3186999C">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2.为产品运输或者销售进行的包装或者展示；</w:t>
      </w:r>
    </w:p>
    <w:p w14:paraId="64135F7E">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3.在产品或者其包装上粘贴或者印刷品牌、标志、标识以及其他用于区别的标记；</w:t>
      </w:r>
    </w:p>
    <w:p w14:paraId="151C15A8">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4.简单的上漆、磨光和分装；</w:t>
      </w:r>
    </w:p>
    <w:p w14:paraId="29241733">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5.其他不属于属性改变的情形。</w:t>
      </w:r>
    </w:p>
    <w:p w14:paraId="5F0CE5B5">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7.2、本国产品标准的适用范围</w:t>
      </w:r>
    </w:p>
    <w:p w14:paraId="66049D82">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2521925">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7.3对本国产品的支持政策</w:t>
      </w:r>
    </w:p>
    <w:p w14:paraId="07247358">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政府采购活动中既有本国产品又有非本国产品参与竞争的，依法对本国产品给予价格评审优惠，对本国产品的报价给予20%的价格扣除，用扣除后的价格参与评审。</w:t>
      </w:r>
    </w:p>
    <w:p w14:paraId="26A96E5C">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3B3F3A7">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7.4、政策执行要求</w:t>
      </w:r>
    </w:p>
    <w:p w14:paraId="1E3C5208">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（一）产品在中国境内生产的组件成本核算规则。产品在中国境内生产的组件成本，按照《中国境内生产的组件成本核算基本规则》（见附件1）计算。</w:t>
      </w:r>
    </w:p>
    <w:p w14:paraId="016AF05A">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（二）有关证明文件。采购人、采购代理机构应当在采购文件中明确要求供应商对其提供的产品出具《关于符合本国产品标准的声明函》（样式见</w:t>
      </w:r>
      <w:r>
        <w:rPr>
          <w:rFonts w:hint="eastAsia" w:ascii="宋体" w:hAnsi="宋体" w:cs="宋体"/>
          <w:bCs/>
          <w:color w:val="auto"/>
          <w:sz w:val="22"/>
          <w:szCs w:val="22"/>
          <w:highlight w:val="none"/>
          <w:lang w:val="en-US" w:eastAsia="zh-CN"/>
        </w:rPr>
        <w:t>第二章</w:t>
      </w:r>
      <w:r>
        <w:rPr>
          <w:rFonts w:hint="eastAsia" w:ascii="宋体" w:hAnsi="宋体" w:eastAsia="宋体" w:cs="宋体"/>
          <w:bCs/>
          <w:color w:val="auto"/>
          <w:sz w:val="22"/>
          <w:szCs w:val="22"/>
          <w:highlight w:val="none"/>
          <w:lang w:val="en-US" w:eastAsia="zh-CN"/>
        </w:rPr>
        <w:t>附件</w:t>
      </w:r>
      <w:r>
        <w:rPr>
          <w:rFonts w:hint="eastAsia" w:ascii="宋体" w:hAnsi="宋体" w:cs="宋体"/>
          <w:bCs/>
          <w:color w:val="auto"/>
          <w:sz w:val="22"/>
          <w:szCs w:val="22"/>
          <w:highlight w:val="none"/>
          <w:lang w:val="en-US" w:eastAsia="zh-CN"/>
        </w:rPr>
        <w:t>四</w:t>
      </w:r>
      <w:r>
        <w:rPr>
          <w:rFonts w:hint="eastAsia" w:ascii="宋体" w:hAnsi="宋体" w:eastAsia="宋体" w:cs="宋体"/>
          <w:bCs/>
          <w:color w:val="auto"/>
          <w:sz w:val="22"/>
          <w:szCs w:val="22"/>
          <w:highlight w:val="none"/>
          <w:lang w:val="en-US" w:eastAsia="zh-CN"/>
        </w:rPr>
        <w:t>，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35A71E28">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采购人、采购代理机构应当随中标、成交结果同时公告中标、成交供应商提供的《声明函》或有关证明文件。</w:t>
      </w:r>
    </w:p>
    <w:p w14:paraId="41D55682">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11A87575">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（四）中华人民共和国缔结或者共同参加的国际条约、协定对政府采购中本国产品政策另有规定的，按照有关条约、协定执行。</w:t>
      </w:r>
    </w:p>
    <w:p w14:paraId="5B6CD706">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7.5、争议处理</w:t>
      </w:r>
    </w:p>
    <w:p w14:paraId="6B2085BE">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05DAB3E4">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（一）政府采购投诉处理、监督检查中，对产品或组件是否在中国境内生产存在争议的，按照以下原则处理：</w:t>
      </w:r>
    </w:p>
    <w:p w14:paraId="586D3CF3">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73FFAB54">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320015C0">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10666B1A">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37076676">
      <w:pPr>
        <w:keepNext w:val="0"/>
        <w:keepLines w:val="0"/>
        <w:pageBreakBefore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74B48E8F">
      <w:pPr>
        <w:keepNext w:val="0"/>
        <w:keepLines w:val="0"/>
        <w:pageBreakBefore w:val="0"/>
        <w:kinsoku/>
        <w:wordWrap/>
        <w:overflowPunct/>
        <w:topLinePunct w:val="0"/>
        <w:autoSpaceDE/>
        <w:autoSpaceDN/>
        <w:bidi w:val="0"/>
        <w:adjustRightInd w:val="0"/>
        <w:snapToGrid w:val="0"/>
        <w:spacing w:line="520" w:lineRule="exact"/>
        <w:ind w:firstLine="458" w:firstLineChars="200"/>
        <w:textAlignment w:val="auto"/>
        <w:rPr>
          <w:rFonts w:hint="eastAsia" w:ascii="宋体" w:hAnsi="宋体" w:eastAsia="宋体" w:cs="宋体"/>
          <w:b/>
          <w:spacing w:val="4"/>
          <w:sz w:val="22"/>
          <w:szCs w:val="22"/>
          <w:highlight w:val="none"/>
        </w:rPr>
      </w:pPr>
      <w:r>
        <w:rPr>
          <w:rFonts w:hint="eastAsia" w:ascii="宋体" w:hAnsi="宋体" w:cs="宋体"/>
          <w:b/>
          <w:spacing w:val="4"/>
          <w:sz w:val="22"/>
          <w:szCs w:val="22"/>
          <w:highlight w:val="none"/>
          <w:lang w:val="en-US" w:eastAsia="zh-CN"/>
        </w:rPr>
        <w:t>8</w:t>
      </w:r>
      <w:r>
        <w:rPr>
          <w:rFonts w:hint="eastAsia" w:ascii="宋体" w:hAnsi="宋体" w:eastAsia="宋体" w:cs="宋体"/>
          <w:b/>
          <w:spacing w:val="4"/>
          <w:sz w:val="22"/>
          <w:szCs w:val="22"/>
          <w:highlight w:val="none"/>
        </w:rPr>
        <w:t>、推荐</w:t>
      </w:r>
      <w:r>
        <w:rPr>
          <w:rFonts w:hint="eastAsia" w:ascii="宋体" w:hAnsi="宋体" w:eastAsia="宋体" w:cs="宋体"/>
          <w:b/>
          <w:spacing w:val="4"/>
          <w:sz w:val="22"/>
          <w:szCs w:val="22"/>
          <w:highlight w:val="none"/>
          <w:lang w:val="en-US" w:eastAsia="zh-CN"/>
        </w:rPr>
        <w:t>成交</w:t>
      </w:r>
      <w:r>
        <w:rPr>
          <w:rFonts w:hint="eastAsia" w:ascii="宋体" w:hAnsi="宋体" w:eastAsia="宋体" w:cs="宋体"/>
          <w:b/>
          <w:spacing w:val="4"/>
          <w:sz w:val="22"/>
          <w:szCs w:val="22"/>
          <w:highlight w:val="none"/>
        </w:rPr>
        <w:t>候选供应商名单：</w:t>
      </w:r>
    </w:p>
    <w:p w14:paraId="7789F1D2">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kern w:val="0"/>
          <w:sz w:val="22"/>
          <w:szCs w:val="22"/>
          <w:highlight w:val="none"/>
        </w:rPr>
      </w:pPr>
      <w:r>
        <w:rPr>
          <w:rFonts w:hint="eastAsia" w:ascii="宋体" w:hAnsi="宋体" w:eastAsia="宋体" w:cs="宋体"/>
          <w:sz w:val="22"/>
          <w:szCs w:val="22"/>
          <w:highlight w:val="none"/>
        </w:rPr>
        <w:t>根据谈判小组提供的供应商排序顺序，推荐前3名为</w:t>
      </w:r>
      <w:r>
        <w:rPr>
          <w:rFonts w:hint="eastAsia" w:ascii="宋体" w:hAnsi="宋体" w:eastAsia="宋体" w:cs="宋体"/>
          <w:sz w:val="22"/>
          <w:szCs w:val="22"/>
          <w:highlight w:val="none"/>
          <w:lang w:val="en-US" w:eastAsia="zh-CN"/>
        </w:rPr>
        <w:t>成交</w:t>
      </w:r>
      <w:r>
        <w:rPr>
          <w:rFonts w:hint="eastAsia" w:ascii="宋体" w:hAnsi="宋体" w:eastAsia="宋体" w:cs="宋体"/>
          <w:sz w:val="22"/>
          <w:szCs w:val="22"/>
          <w:highlight w:val="none"/>
        </w:rPr>
        <w:t xml:space="preserve">候选人。 </w:t>
      </w:r>
    </w:p>
    <w:p w14:paraId="3FFF7F32">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rPr>
        <w:t>备注：</w:t>
      </w:r>
      <w:r>
        <w:rPr>
          <w:rFonts w:hint="eastAsia" w:ascii="宋体" w:hAnsi="宋体" w:cs="宋体"/>
          <w:kern w:val="0"/>
          <w:sz w:val="22"/>
          <w:szCs w:val="22"/>
          <w:highlight w:val="none"/>
          <w:lang w:val="en-US" w:eastAsia="zh-CN"/>
        </w:rPr>
        <w:t>1）</w:t>
      </w:r>
      <w:r>
        <w:rPr>
          <w:rFonts w:hint="eastAsia" w:ascii="宋体" w:hAnsi="宋体" w:eastAsia="宋体" w:cs="宋体"/>
          <w:kern w:val="0"/>
          <w:sz w:val="22"/>
          <w:szCs w:val="22"/>
          <w:highlight w:val="none"/>
        </w:rPr>
        <w:t>供应商提供虚假资质文件或证明材料的，导致招标项目无法顺利进行或者失败，由此造成的后果及经济损失，由供应商承担全部法律责任，且可将其上报有关主管部门。</w:t>
      </w:r>
    </w:p>
    <w:p w14:paraId="3DC91237">
      <w:pPr>
        <w:keepNext w:val="0"/>
        <w:keepLines w:val="0"/>
        <w:pageBreakBefore w:val="0"/>
        <w:kinsoku/>
        <w:wordWrap/>
        <w:overflowPunct/>
        <w:topLinePunct w:val="0"/>
        <w:autoSpaceDE/>
        <w:autoSpaceDN/>
        <w:bidi w:val="0"/>
        <w:adjustRightInd w:val="0"/>
        <w:snapToGrid w:val="0"/>
        <w:spacing w:line="520" w:lineRule="exact"/>
        <w:ind w:firstLine="440" w:firstLineChars="200"/>
        <w:textAlignment w:val="auto"/>
        <w:rPr>
          <w:rFonts w:hint="eastAsia" w:ascii="宋体" w:hAnsi="宋体" w:eastAsia="宋体" w:cs="宋体"/>
          <w:kern w:val="0"/>
          <w:sz w:val="22"/>
          <w:szCs w:val="22"/>
          <w:highlight w:val="none"/>
        </w:rPr>
      </w:pPr>
      <w:r>
        <w:rPr>
          <w:rFonts w:hint="eastAsia" w:ascii="宋体" w:hAnsi="宋体" w:cs="宋体"/>
          <w:kern w:val="0"/>
          <w:sz w:val="22"/>
          <w:szCs w:val="22"/>
          <w:highlight w:val="none"/>
          <w:lang w:val="en-US" w:eastAsia="zh-CN"/>
        </w:rPr>
        <w:t>2</w:t>
      </w:r>
      <w:r>
        <w:rPr>
          <w:rFonts w:hint="eastAsia" w:ascii="宋体" w:hAnsi="宋体" w:eastAsia="宋体" w:cs="宋体"/>
          <w:kern w:val="0"/>
          <w:sz w:val="22"/>
          <w:szCs w:val="22"/>
          <w:highlight w:val="none"/>
        </w:rPr>
        <w:t>) 若出现最终谈判报价并列时，比较评审并对技术、售后服务承诺进行得分，此分项得分高者排序在前；若技术、售后服务承诺得分仍相同，则由谈判小组无记名投票，得票高者排序在前。</w:t>
      </w:r>
    </w:p>
    <w:p w14:paraId="0E77FFC2">
      <w:pPr>
        <w:pageBreakBefore w:val="0"/>
        <w:overflowPunct/>
        <w:bidi w:val="0"/>
        <w:spacing w:line="52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14:paraId="62C96EA6">
      <w:pPr>
        <w:pStyle w:val="4"/>
        <w:pageBreakBefore w:val="0"/>
        <w:widowControl/>
        <w:overflowPunct/>
        <w:bidi w:val="0"/>
        <w:spacing w:line="520" w:lineRule="exact"/>
        <w:jc w:val="center"/>
        <w:rPr>
          <w:rFonts w:hint="eastAsia" w:ascii="宋体" w:hAnsi="宋体" w:eastAsia="宋体" w:cs="宋体"/>
          <w:color w:val="auto"/>
          <w:kern w:val="0"/>
          <w:sz w:val="28"/>
          <w:szCs w:val="28"/>
          <w:highlight w:val="none"/>
        </w:rPr>
      </w:pPr>
      <w:bookmarkStart w:id="61" w:name="_Toc495674332"/>
      <w:bookmarkStart w:id="62" w:name="_Toc16422"/>
      <w:bookmarkStart w:id="63" w:name="_Toc529"/>
    </w:p>
    <w:p w14:paraId="14528297">
      <w:pPr>
        <w:pStyle w:val="4"/>
        <w:pageBreakBefore w:val="0"/>
        <w:widowControl/>
        <w:overflowPunct/>
        <w:bidi w:val="0"/>
        <w:spacing w:line="520" w:lineRule="exact"/>
        <w:jc w:val="center"/>
        <w:rPr>
          <w:rFonts w:hint="eastAsia" w:ascii="宋体" w:hAnsi="宋体" w:eastAsia="宋体" w:cs="宋体"/>
          <w:color w:val="auto"/>
          <w:kern w:val="0"/>
          <w:sz w:val="28"/>
          <w:szCs w:val="28"/>
          <w:highlight w:val="none"/>
        </w:rPr>
      </w:pPr>
    </w:p>
    <w:p w14:paraId="46080BD7">
      <w:pPr>
        <w:rPr>
          <w:rFonts w:hint="eastAsia" w:ascii="宋体" w:hAnsi="宋体" w:eastAsia="宋体" w:cs="宋体"/>
          <w:color w:val="auto"/>
          <w:kern w:val="0"/>
          <w:sz w:val="28"/>
          <w:szCs w:val="28"/>
          <w:highlight w:val="none"/>
        </w:rPr>
      </w:pPr>
    </w:p>
    <w:p w14:paraId="2734E477">
      <w:pPr>
        <w:pStyle w:val="2"/>
        <w:rPr>
          <w:rFonts w:hint="eastAsia" w:ascii="宋体" w:hAnsi="宋体" w:eastAsia="宋体" w:cs="宋体"/>
          <w:color w:val="auto"/>
          <w:kern w:val="0"/>
          <w:sz w:val="28"/>
          <w:szCs w:val="28"/>
          <w:highlight w:val="none"/>
        </w:rPr>
      </w:pPr>
    </w:p>
    <w:p w14:paraId="0C1817FB">
      <w:pPr>
        <w:pStyle w:val="3"/>
        <w:ind w:left="0" w:leftChars="0" w:firstLine="0" w:firstLineChars="0"/>
        <w:rPr>
          <w:rFonts w:hint="eastAsia"/>
          <w:highlight w:val="none"/>
        </w:rPr>
      </w:pPr>
    </w:p>
    <w:p w14:paraId="23604871">
      <w:pPr>
        <w:pStyle w:val="4"/>
        <w:pageBreakBefore w:val="0"/>
        <w:widowControl/>
        <w:overflowPunct/>
        <w:bidi w:val="0"/>
        <w:spacing w:line="520" w:lineRule="exact"/>
        <w:jc w:val="center"/>
        <w:rPr>
          <w:rFonts w:hint="eastAsia" w:ascii="宋体" w:hAnsi="宋体" w:eastAsia="宋体" w:cs="宋体"/>
          <w:b/>
          <w:color w:val="auto"/>
          <w:sz w:val="28"/>
          <w:szCs w:val="21"/>
          <w:highlight w:val="none"/>
        </w:rPr>
      </w:pPr>
      <w:r>
        <w:rPr>
          <w:rFonts w:hint="eastAsia" w:ascii="宋体" w:hAnsi="宋体" w:eastAsia="宋体" w:cs="宋体"/>
          <w:color w:val="auto"/>
          <w:kern w:val="0"/>
          <w:sz w:val="28"/>
          <w:szCs w:val="28"/>
          <w:highlight w:val="none"/>
        </w:rPr>
        <w:t>第四章  合同条款及格式</w:t>
      </w:r>
      <w:bookmarkEnd w:id="61"/>
      <w:bookmarkEnd w:id="62"/>
      <w:bookmarkEnd w:id="63"/>
    </w:p>
    <w:p w14:paraId="1F0B2F9A">
      <w:pPr>
        <w:pageBreakBefore w:val="0"/>
        <w:tabs>
          <w:tab w:val="left" w:pos="735"/>
        </w:tabs>
        <w:overflowPunct/>
        <w:autoSpaceDE w:val="0"/>
        <w:autoSpaceDN w:val="0"/>
        <w:bidi w:val="0"/>
        <w:adjustRightInd w:val="0"/>
        <w:snapToGrid w:val="0"/>
        <w:spacing w:line="520" w:lineRule="exact"/>
        <w:ind w:firstLine="433" w:firstLineChars="196"/>
        <w:jc w:val="left"/>
        <w:rPr>
          <w:rFonts w:hint="eastAsia" w:ascii="宋体" w:hAnsi="宋体" w:eastAsia="宋体" w:cs="宋体"/>
          <w:b/>
          <w:sz w:val="22"/>
          <w:szCs w:val="22"/>
          <w:highlight w:val="none"/>
          <w:lang w:val="zh-CN"/>
        </w:rPr>
      </w:pPr>
      <w:r>
        <w:rPr>
          <w:rFonts w:hint="eastAsia" w:ascii="宋体" w:hAnsi="宋体" w:eastAsia="宋体" w:cs="宋体"/>
          <w:b/>
          <w:sz w:val="22"/>
          <w:szCs w:val="22"/>
          <w:highlight w:val="none"/>
          <w:lang w:val="zh-CN"/>
        </w:rPr>
        <w:t>（此合同草案条款为样式，最终签订的合同以采购人和成交人协商确定的合同内容为准，采购人和</w:t>
      </w:r>
      <w:r>
        <w:rPr>
          <w:rFonts w:hint="eastAsia" w:ascii="宋体" w:hAnsi="宋体" w:eastAsia="宋体" w:cs="宋体"/>
          <w:b/>
          <w:sz w:val="22"/>
          <w:szCs w:val="22"/>
          <w:highlight w:val="none"/>
          <w:lang w:val="zh-CN" w:eastAsia="zh-CN"/>
        </w:rPr>
        <w:t>成交</w:t>
      </w:r>
      <w:r>
        <w:rPr>
          <w:rFonts w:hint="eastAsia" w:ascii="宋体" w:hAnsi="宋体" w:eastAsia="宋体" w:cs="宋体"/>
          <w:b/>
          <w:sz w:val="22"/>
          <w:szCs w:val="22"/>
          <w:highlight w:val="none"/>
          <w:lang w:val="zh-CN"/>
        </w:rPr>
        <w:t>单位所签订的合同不得对</w:t>
      </w:r>
      <w:r>
        <w:rPr>
          <w:rFonts w:hint="eastAsia" w:ascii="宋体" w:hAnsi="宋体" w:eastAsia="宋体" w:cs="宋体"/>
          <w:b/>
          <w:sz w:val="22"/>
          <w:szCs w:val="22"/>
          <w:highlight w:val="none"/>
          <w:lang w:val="zh-CN" w:eastAsia="zh-CN"/>
        </w:rPr>
        <w:t>谈判</w:t>
      </w:r>
      <w:r>
        <w:rPr>
          <w:rFonts w:hint="eastAsia" w:ascii="宋体" w:hAnsi="宋体" w:eastAsia="宋体" w:cs="宋体"/>
          <w:b/>
          <w:sz w:val="22"/>
          <w:szCs w:val="22"/>
          <w:highlight w:val="none"/>
          <w:lang w:val="zh-CN"/>
        </w:rPr>
        <w:t>文件确定的事项和</w:t>
      </w:r>
      <w:r>
        <w:rPr>
          <w:rFonts w:hint="eastAsia" w:ascii="宋体" w:hAnsi="宋体" w:eastAsia="宋体" w:cs="宋体"/>
          <w:b/>
          <w:sz w:val="22"/>
          <w:szCs w:val="22"/>
          <w:highlight w:val="none"/>
          <w:lang w:val="zh-CN" w:eastAsia="zh-CN"/>
        </w:rPr>
        <w:t>成交</w:t>
      </w:r>
      <w:r>
        <w:rPr>
          <w:rFonts w:hint="eastAsia" w:ascii="宋体" w:hAnsi="宋体" w:eastAsia="宋体" w:cs="宋体"/>
          <w:b/>
          <w:sz w:val="22"/>
          <w:szCs w:val="22"/>
          <w:highlight w:val="none"/>
          <w:lang w:val="zh-CN"/>
        </w:rPr>
        <w:t>供应商的</w:t>
      </w:r>
      <w:r>
        <w:rPr>
          <w:rFonts w:hint="eastAsia" w:ascii="宋体" w:hAnsi="宋体" w:eastAsia="宋体" w:cs="宋体"/>
          <w:b/>
          <w:sz w:val="22"/>
          <w:szCs w:val="22"/>
          <w:highlight w:val="none"/>
          <w:lang w:val="zh-CN" w:eastAsia="zh-CN"/>
        </w:rPr>
        <w:t>响应</w:t>
      </w:r>
      <w:r>
        <w:rPr>
          <w:rFonts w:hint="eastAsia" w:ascii="宋体" w:hAnsi="宋体" w:eastAsia="宋体" w:cs="宋体"/>
          <w:b/>
          <w:sz w:val="22"/>
          <w:szCs w:val="22"/>
          <w:highlight w:val="none"/>
          <w:lang w:val="zh-CN"/>
        </w:rPr>
        <w:t>文件做实质性修改。）</w:t>
      </w:r>
    </w:p>
    <w:p w14:paraId="48AE2F8A">
      <w:pPr>
        <w:pageBreakBefore w:val="0"/>
        <w:overflowPunct/>
        <w:autoSpaceDE w:val="0"/>
        <w:autoSpaceDN w:val="0"/>
        <w:bidi w:val="0"/>
        <w:adjustRightInd w:val="0"/>
        <w:spacing w:line="520" w:lineRule="exact"/>
        <w:ind w:firstLine="440" w:firstLineChars="200"/>
        <w:rPr>
          <w:rFonts w:hint="eastAsia" w:ascii="宋体" w:hAnsi="宋体" w:eastAsia="宋体" w:cs="宋体"/>
          <w:bCs/>
          <w:sz w:val="22"/>
          <w:szCs w:val="22"/>
          <w:highlight w:val="none"/>
        </w:rPr>
      </w:pPr>
    </w:p>
    <w:p w14:paraId="587E8207">
      <w:pPr>
        <w:keepNext w:val="0"/>
        <w:keepLines w:val="0"/>
        <w:pageBreakBefore w:val="0"/>
        <w:widowControl w:val="0"/>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采购人（全称）： </w:t>
      </w:r>
    </w:p>
    <w:p w14:paraId="0C2DF177">
      <w:pPr>
        <w:keepNext w:val="0"/>
        <w:keepLines w:val="0"/>
        <w:pageBreakBefore w:val="0"/>
        <w:widowControl w:val="0"/>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供应商（全称）： </w:t>
      </w:r>
    </w:p>
    <w:p w14:paraId="2F4689B8">
      <w:pPr>
        <w:autoSpaceDE w:val="0"/>
        <w:autoSpaceDN w:val="0"/>
        <w:adjustRightInd w:val="0"/>
        <w:spacing w:line="480" w:lineRule="auto"/>
        <w:ind w:firstLine="440" w:firstLineChars="200"/>
        <w:rPr>
          <w:rFonts w:hint="eastAsia" w:ascii="宋体" w:hAnsi="宋体" w:eastAsia="宋体" w:cs="宋体"/>
          <w:bCs/>
          <w:sz w:val="22"/>
          <w:szCs w:val="22"/>
          <w:highlight w:val="none"/>
        </w:rPr>
      </w:pPr>
      <w:r>
        <w:rPr>
          <w:rFonts w:hint="eastAsia" w:ascii="宋体" w:hAnsi="宋体" w:eastAsia="宋体" w:cs="宋体"/>
          <w:bCs/>
          <w:sz w:val="22"/>
          <w:szCs w:val="22"/>
          <w:highlight w:val="none"/>
          <w:u w:val="single"/>
        </w:rPr>
        <w:t xml:space="preserve">                项目 (项目编号：        )</w:t>
      </w:r>
      <w:r>
        <w:rPr>
          <w:rFonts w:hint="eastAsia" w:ascii="宋体" w:hAnsi="宋体" w:eastAsia="宋体" w:cs="宋体"/>
          <w:bCs/>
          <w:sz w:val="22"/>
          <w:szCs w:val="22"/>
          <w:highlight w:val="none"/>
        </w:rPr>
        <w:t>由</w:t>
      </w:r>
      <w:r>
        <w:rPr>
          <w:rFonts w:hint="eastAsia" w:ascii="宋体" w:hAnsi="宋体" w:eastAsia="宋体" w:cs="宋体"/>
          <w:bCs/>
          <w:sz w:val="22"/>
          <w:szCs w:val="22"/>
          <w:highlight w:val="none"/>
          <w:lang w:val="en-US" w:eastAsia="zh-CN"/>
        </w:rPr>
        <w:t>陕西华信项目管理有限公司</w:t>
      </w:r>
      <w:r>
        <w:rPr>
          <w:rFonts w:hint="eastAsia" w:ascii="宋体" w:hAnsi="宋体" w:eastAsia="宋体" w:cs="宋体"/>
          <w:bCs/>
          <w:sz w:val="22"/>
          <w:szCs w:val="22"/>
          <w:highlight w:val="none"/>
        </w:rPr>
        <w:t>组织</w:t>
      </w:r>
      <w:r>
        <w:rPr>
          <w:rFonts w:hint="eastAsia" w:ascii="宋体" w:hAnsi="宋体" w:eastAsia="宋体" w:cs="宋体"/>
          <w:bCs/>
          <w:sz w:val="22"/>
          <w:szCs w:val="22"/>
          <w:highlight w:val="none"/>
          <w:lang w:val="en-US" w:eastAsia="zh-CN"/>
        </w:rPr>
        <w:t>竞争性谈判</w:t>
      </w:r>
      <w:r>
        <w:rPr>
          <w:rFonts w:hint="eastAsia" w:ascii="宋体" w:hAnsi="宋体" w:eastAsia="宋体" w:cs="宋体"/>
          <w:bCs/>
          <w:sz w:val="22"/>
          <w:szCs w:val="22"/>
          <w:highlight w:val="none"/>
        </w:rPr>
        <w:t>采购，</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(以下简称“甲方”)确定</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（以下简称“乙方”）为</w:t>
      </w:r>
      <w:r>
        <w:rPr>
          <w:rFonts w:hint="eastAsia" w:ascii="宋体" w:hAnsi="宋体" w:cs="宋体"/>
          <w:bCs/>
          <w:sz w:val="22"/>
          <w:szCs w:val="22"/>
          <w:highlight w:val="none"/>
          <w:lang w:eastAsia="zh-CN"/>
        </w:rPr>
        <w:t>成交供应商</w:t>
      </w:r>
      <w:r>
        <w:rPr>
          <w:rFonts w:hint="eastAsia" w:ascii="宋体" w:hAnsi="宋体" w:eastAsia="宋体" w:cs="宋体"/>
          <w:bCs/>
          <w:sz w:val="22"/>
          <w:szCs w:val="22"/>
          <w:highlight w:val="none"/>
        </w:rPr>
        <w:t>。</w:t>
      </w:r>
    </w:p>
    <w:p w14:paraId="25FF0C9A">
      <w:pPr>
        <w:keepNext w:val="0"/>
        <w:keepLines w:val="0"/>
        <w:pageBreakBefore w:val="0"/>
        <w:widowControl w:val="0"/>
        <w:kinsoku/>
        <w:wordWrap w:val="0"/>
        <w:overflowPunct/>
        <w:topLinePunct/>
        <w:autoSpaceDE/>
        <w:autoSpaceDN/>
        <w:bidi w:val="0"/>
        <w:adjustRightInd/>
        <w:snapToGrid/>
        <w:spacing w:line="480" w:lineRule="auto"/>
        <w:ind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Cs/>
          <w:sz w:val="22"/>
          <w:szCs w:val="22"/>
          <w:highlight w:val="none"/>
        </w:rPr>
        <w:t>依据《中华人民共和国民法典》和《中华人民共和国政府采购法》，经双方协商按下述条款和条件签署本合同。</w:t>
      </w:r>
      <w:r>
        <w:rPr>
          <w:rFonts w:hint="eastAsia" w:ascii="宋体" w:hAnsi="宋体" w:eastAsia="宋体" w:cs="宋体"/>
          <w:b w:val="0"/>
          <w:bCs w:val="0"/>
          <w:color w:val="000000"/>
          <w:sz w:val="22"/>
          <w:szCs w:val="22"/>
          <w:highlight w:val="none"/>
        </w:rPr>
        <w:t xml:space="preserve"> </w:t>
      </w:r>
    </w:p>
    <w:p w14:paraId="648B766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供货清单</w:t>
      </w:r>
    </w:p>
    <w:tbl>
      <w:tblPr>
        <w:tblStyle w:val="31"/>
        <w:tblW w:w="4997" w:type="pct"/>
        <w:jc w:val="center"/>
        <w:tblLayout w:type="autofit"/>
        <w:tblCellMar>
          <w:top w:w="0" w:type="dxa"/>
          <w:left w:w="108" w:type="dxa"/>
          <w:bottom w:w="0" w:type="dxa"/>
          <w:right w:w="108" w:type="dxa"/>
        </w:tblCellMar>
      </w:tblPr>
      <w:tblGrid>
        <w:gridCol w:w="656"/>
        <w:gridCol w:w="948"/>
        <w:gridCol w:w="685"/>
        <w:gridCol w:w="1568"/>
        <w:gridCol w:w="1180"/>
        <w:gridCol w:w="1368"/>
        <w:gridCol w:w="1368"/>
        <w:gridCol w:w="1368"/>
      </w:tblGrid>
      <w:tr w14:paraId="74E8F50D">
        <w:tblPrEx>
          <w:tblCellMar>
            <w:top w:w="0" w:type="dxa"/>
            <w:left w:w="108" w:type="dxa"/>
            <w:bottom w:w="0" w:type="dxa"/>
            <w:right w:w="108" w:type="dxa"/>
          </w:tblCellMar>
        </w:tblPrEx>
        <w:trPr>
          <w:cantSplit/>
          <w:trHeight w:val="624" w:hRule="atLeast"/>
          <w:jc w:val="center"/>
        </w:trPr>
        <w:tc>
          <w:tcPr>
            <w:tcW w:w="341" w:type="pct"/>
            <w:tcBorders>
              <w:top w:val="single" w:color="000000" w:sz="4" w:space="0"/>
              <w:left w:val="single" w:color="000000" w:sz="4" w:space="0"/>
              <w:bottom w:val="single" w:color="000000" w:sz="4" w:space="0"/>
              <w:right w:val="single" w:color="000000" w:sz="4" w:space="0"/>
            </w:tcBorders>
            <w:noWrap/>
            <w:vAlign w:val="center"/>
          </w:tcPr>
          <w:p w14:paraId="1DDF51D2">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eastAsia="zh-CN"/>
              </w:rPr>
            </w:pPr>
            <w:r>
              <w:rPr>
                <w:rFonts w:hint="eastAsia" w:ascii="宋体" w:hAnsi="宋体" w:cs="宋体"/>
                <w:snapToGrid w:val="0"/>
                <w:color w:val="000000"/>
                <w:kern w:val="0"/>
                <w:sz w:val="22"/>
                <w:szCs w:val="22"/>
                <w:highlight w:val="none"/>
                <w:lang w:eastAsia="zh-CN"/>
              </w:rPr>
              <w:t>序号</w:t>
            </w:r>
          </w:p>
        </w:tc>
        <w:tc>
          <w:tcPr>
            <w:tcW w:w="521" w:type="pct"/>
            <w:tcBorders>
              <w:top w:val="single" w:color="000000" w:sz="4" w:space="0"/>
              <w:left w:val="single" w:color="000000" w:sz="4" w:space="0"/>
              <w:bottom w:val="single" w:color="000000" w:sz="4" w:space="0"/>
              <w:right w:val="single" w:color="000000" w:sz="4" w:space="0"/>
            </w:tcBorders>
            <w:noWrap w:val="0"/>
            <w:vAlign w:val="center"/>
          </w:tcPr>
          <w:p w14:paraId="57D0D542">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eastAsia="zh-CN"/>
              </w:rPr>
            </w:pPr>
            <w:r>
              <w:rPr>
                <w:rFonts w:hint="eastAsia" w:ascii="宋体" w:hAnsi="宋体" w:cs="宋体"/>
                <w:snapToGrid w:val="0"/>
                <w:color w:val="000000"/>
                <w:kern w:val="0"/>
                <w:sz w:val="22"/>
                <w:szCs w:val="22"/>
                <w:highlight w:val="none"/>
                <w:lang w:eastAsia="zh-CN"/>
              </w:rPr>
              <w:t>名称</w:t>
            </w: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76652664">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eastAsia="zh-CN"/>
              </w:rPr>
            </w:pPr>
            <w:r>
              <w:rPr>
                <w:rFonts w:hint="eastAsia" w:ascii="宋体" w:hAnsi="宋体" w:cs="宋体"/>
                <w:snapToGrid w:val="0"/>
                <w:color w:val="000000"/>
                <w:kern w:val="0"/>
                <w:sz w:val="22"/>
                <w:szCs w:val="22"/>
                <w:highlight w:val="none"/>
                <w:lang w:eastAsia="zh-CN"/>
              </w:rPr>
              <w:t>规格</w:t>
            </w: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5550F958">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cs="宋体"/>
                <w:snapToGrid w:val="0"/>
                <w:color w:val="000000"/>
                <w:kern w:val="0"/>
                <w:sz w:val="22"/>
                <w:szCs w:val="22"/>
                <w:highlight w:val="none"/>
                <w:lang w:eastAsia="zh-CN"/>
              </w:rPr>
            </w:pPr>
            <w:r>
              <w:rPr>
                <w:rFonts w:hint="eastAsia" w:ascii="宋体" w:hAnsi="宋体" w:cs="宋体"/>
                <w:snapToGrid w:val="0"/>
                <w:color w:val="000000"/>
                <w:kern w:val="0"/>
                <w:sz w:val="22"/>
                <w:szCs w:val="22"/>
                <w:highlight w:val="none"/>
                <w:lang w:eastAsia="zh-CN"/>
              </w:rPr>
              <w:t>生产厂家</w:t>
            </w:r>
          </w:p>
        </w:tc>
        <w:tc>
          <w:tcPr>
            <w:tcW w:w="648" w:type="pct"/>
            <w:tcBorders>
              <w:top w:val="single" w:color="000000" w:sz="4" w:space="0"/>
              <w:left w:val="single" w:color="000000" w:sz="4" w:space="0"/>
              <w:bottom w:val="single" w:color="000000" w:sz="4" w:space="0"/>
              <w:right w:val="single" w:color="000000" w:sz="4" w:space="0"/>
            </w:tcBorders>
            <w:noWrap w:val="0"/>
            <w:vAlign w:val="center"/>
          </w:tcPr>
          <w:p w14:paraId="544B2B22">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eastAsia="zh-CN"/>
              </w:rPr>
            </w:pPr>
            <w:r>
              <w:rPr>
                <w:rFonts w:hint="eastAsia" w:ascii="宋体" w:hAnsi="宋体" w:cs="宋体"/>
                <w:snapToGrid w:val="0"/>
                <w:color w:val="000000"/>
                <w:kern w:val="0"/>
                <w:sz w:val="22"/>
                <w:szCs w:val="22"/>
                <w:highlight w:val="none"/>
                <w:lang w:eastAsia="zh-CN"/>
              </w:rPr>
              <w:t>单位</w:t>
            </w: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422C7AB7">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eastAsia="zh-CN"/>
              </w:rPr>
            </w:pPr>
            <w:r>
              <w:rPr>
                <w:rFonts w:hint="eastAsia" w:ascii="宋体" w:hAnsi="宋体" w:cs="宋体"/>
                <w:snapToGrid w:val="0"/>
                <w:color w:val="000000"/>
                <w:kern w:val="0"/>
                <w:sz w:val="22"/>
                <w:szCs w:val="22"/>
                <w:highlight w:val="none"/>
                <w:lang w:eastAsia="zh-CN"/>
              </w:rPr>
              <w:t>数量</w:t>
            </w: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63EF08CD">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eastAsia="zh-CN"/>
              </w:rPr>
            </w:pPr>
            <w:r>
              <w:rPr>
                <w:rFonts w:hint="eastAsia" w:ascii="宋体" w:hAnsi="宋体" w:eastAsia="宋体" w:cs="宋体"/>
                <w:snapToGrid w:val="0"/>
                <w:color w:val="000000"/>
                <w:kern w:val="0"/>
                <w:sz w:val="22"/>
                <w:szCs w:val="22"/>
                <w:highlight w:val="none"/>
                <w:lang w:eastAsia="zh-CN"/>
              </w:rPr>
              <w:t>单价</w:t>
            </w: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7DC7BB85">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eastAsia="zh-CN"/>
              </w:rPr>
            </w:pPr>
            <w:r>
              <w:rPr>
                <w:rFonts w:hint="eastAsia" w:ascii="宋体" w:hAnsi="宋体" w:cs="宋体"/>
                <w:snapToGrid w:val="0"/>
                <w:color w:val="000000"/>
                <w:kern w:val="0"/>
                <w:sz w:val="22"/>
                <w:szCs w:val="22"/>
                <w:highlight w:val="none"/>
                <w:lang w:eastAsia="zh-CN"/>
              </w:rPr>
              <w:t>合计</w:t>
            </w:r>
          </w:p>
        </w:tc>
      </w:tr>
      <w:tr w14:paraId="06286FDC">
        <w:tblPrEx>
          <w:tblCellMar>
            <w:top w:w="0" w:type="dxa"/>
            <w:left w:w="108" w:type="dxa"/>
            <w:bottom w:w="0" w:type="dxa"/>
            <w:right w:w="108" w:type="dxa"/>
          </w:tblCellMar>
        </w:tblPrEx>
        <w:trPr>
          <w:cantSplit/>
          <w:trHeight w:val="624" w:hRule="atLeast"/>
          <w:jc w:val="center"/>
        </w:trPr>
        <w:tc>
          <w:tcPr>
            <w:tcW w:w="341" w:type="pct"/>
            <w:tcBorders>
              <w:top w:val="single" w:color="000000" w:sz="4" w:space="0"/>
              <w:left w:val="single" w:color="000000" w:sz="4" w:space="0"/>
              <w:bottom w:val="single" w:color="000000" w:sz="4" w:space="0"/>
              <w:right w:val="single" w:color="000000" w:sz="4" w:space="0"/>
            </w:tcBorders>
            <w:noWrap w:val="0"/>
            <w:vAlign w:val="center"/>
          </w:tcPr>
          <w:p w14:paraId="66159A86">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val="en-US" w:eastAsia="zh-CN"/>
              </w:rPr>
            </w:pPr>
          </w:p>
        </w:tc>
        <w:tc>
          <w:tcPr>
            <w:tcW w:w="521" w:type="pct"/>
            <w:tcBorders>
              <w:top w:val="single" w:color="000000" w:sz="4" w:space="0"/>
              <w:left w:val="single" w:color="000000" w:sz="4" w:space="0"/>
              <w:bottom w:val="single" w:color="000000" w:sz="4" w:space="0"/>
              <w:right w:val="single" w:color="000000" w:sz="4" w:space="0"/>
            </w:tcBorders>
            <w:noWrap w:val="0"/>
            <w:vAlign w:val="center"/>
          </w:tcPr>
          <w:p w14:paraId="0CDD7E69">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4BBE5337">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1CA20906">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648" w:type="pct"/>
            <w:tcBorders>
              <w:top w:val="single" w:color="000000" w:sz="4" w:space="0"/>
              <w:left w:val="single" w:color="000000" w:sz="4" w:space="0"/>
              <w:bottom w:val="single" w:color="000000" w:sz="4" w:space="0"/>
              <w:right w:val="single" w:color="000000" w:sz="4" w:space="0"/>
            </w:tcBorders>
            <w:noWrap w:val="0"/>
            <w:vAlign w:val="center"/>
          </w:tcPr>
          <w:p w14:paraId="690D3099">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24A05CB3">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75EA029F">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7F0BA761">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r>
      <w:tr w14:paraId="1CB848D7">
        <w:tblPrEx>
          <w:tblCellMar>
            <w:top w:w="0" w:type="dxa"/>
            <w:left w:w="108" w:type="dxa"/>
            <w:bottom w:w="0" w:type="dxa"/>
            <w:right w:w="108" w:type="dxa"/>
          </w:tblCellMar>
        </w:tblPrEx>
        <w:trPr>
          <w:cantSplit/>
          <w:trHeight w:val="624" w:hRule="atLeast"/>
          <w:jc w:val="center"/>
        </w:trPr>
        <w:tc>
          <w:tcPr>
            <w:tcW w:w="341" w:type="pct"/>
            <w:tcBorders>
              <w:top w:val="single" w:color="000000" w:sz="4" w:space="0"/>
              <w:left w:val="single" w:color="000000" w:sz="4" w:space="0"/>
              <w:bottom w:val="single" w:color="000000" w:sz="4" w:space="0"/>
              <w:right w:val="single" w:color="000000" w:sz="4" w:space="0"/>
            </w:tcBorders>
            <w:noWrap w:val="0"/>
            <w:vAlign w:val="center"/>
          </w:tcPr>
          <w:p w14:paraId="1ACC204C">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val="en-US" w:eastAsia="zh-CN"/>
              </w:rPr>
            </w:pPr>
          </w:p>
        </w:tc>
        <w:tc>
          <w:tcPr>
            <w:tcW w:w="521" w:type="pct"/>
            <w:tcBorders>
              <w:top w:val="single" w:color="000000" w:sz="4" w:space="0"/>
              <w:left w:val="single" w:color="000000" w:sz="4" w:space="0"/>
              <w:bottom w:val="single" w:color="000000" w:sz="4" w:space="0"/>
              <w:right w:val="single" w:color="000000" w:sz="4" w:space="0"/>
            </w:tcBorders>
            <w:noWrap w:val="0"/>
            <w:vAlign w:val="center"/>
          </w:tcPr>
          <w:p w14:paraId="2628AA0B">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580B8E85">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43796699">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648" w:type="pct"/>
            <w:tcBorders>
              <w:top w:val="single" w:color="000000" w:sz="4" w:space="0"/>
              <w:left w:val="single" w:color="000000" w:sz="4" w:space="0"/>
              <w:bottom w:val="single" w:color="000000" w:sz="4" w:space="0"/>
              <w:right w:val="single" w:color="000000" w:sz="4" w:space="0"/>
            </w:tcBorders>
            <w:noWrap w:val="0"/>
            <w:vAlign w:val="center"/>
          </w:tcPr>
          <w:p w14:paraId="02FD87BA">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1A89A6E1">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7DF81A4B">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30099DCD">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r>
      <w:tr w14:paraId="19095D37">
        <w:tblPrEx>
          <w:tblCellMar>
            <w:top w:w="0" w:type="dxa"/>
            <w:left w:w="108" w:type="dxa"/>
            <w:bottom w:w="0" w:type="dxa"/>
            <w:right w:w="108" w:type="dxa"/>
          </w:tblCellMar>
        </w:tblPrEx>
        <w:trPr>
          <w:cantSplit/>
          <w:trHeight w:val="624" w:hRule="atLeast"/>
          <w:jc w:val="center"/>
        </w:trPr>
        <w:tc>
          <w:tcPr>
            <w:tcW w:w="341" w:type="pct"/>
            <w:tcBorders>
              <w:top w:val="single" w:color="000000" w:sz="4" w:space="0"/>
              <w:left w:val="single" w:color="000000" w:sz="4" w:space="0"/>
              <w:bottom w:val="single" w:color="000000" w:sz="4" w:space="0"/>
              <w:right w:val="single" w:color="000000" w:sz="4" w:space="0"/>
            </w:tcBorders>
            <w:noWrap w:val="0"/>
            <w:vAlign w:val="center"/>
          </w:tcPr>
          <w:p w14:paraId="358B81B8">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val="en-US" w:eastAsia="zh-CN"/>
              </w:rPr>
            </w:pPr>
          </w:p>
        </w:tc>
        <w:tc>
          <w:tcPr>
            <w:tcW w:w="521" w:type="pct"/>
            <w:tcBorders>
              <w:top w:val="single" w:color="000000" w:sz="4" w:space="0"/>
              <w:left w:val="single" w:color="000000" w:sz="4" w:space="0"/>
              <w:bottom w:val="single" w:color="000000" w:sz="4" w:space="0"/>
              <w:right w:val="single" w:color="000000" w:sz="4" w:space="0"/>
            </w:tcBorders>
            <w:noWrap w:val="0"/>
            <w:vAlign w:val="center"/>
          </w:tcPr>
          <w:p w14:paraId="6AC6DF84">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382FA6C7">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49905CA">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648" w:type="pct"/>
            <w:tcBorders>
              <w:top w:val="single" w:color="000000" w:sz="4" w:space="0"/>
              <w:left w:val="single" w:color="000000" w:sz="4" w:space="0"/>
              <w:bottom w:val="single" w:color="000000" w:sz="4" w:space="0"/>
              <w:right w:val="single" w:color="000000" w:sz="4" w:space="0"/>
            </w:tcBorders>
            <w:noWrap w:val="0"/>
            <w:vAlign w:val="center"/>
          </w:tcPr>
          <w:p w14:paraId="07C7A405">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33F61D2F">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232C7FD6">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69172E84">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r>
      <w:tr w14:paraId="419D7312">
        <w:tblPrEx>
          <w:tblCellMar>
            <w:top w:w="0" w:type="dxa"/>
            <w:left w:w="108" w:type="dxa"/>
            <w:bottom w:w="0" w:type="dxa"/>
            <w:right w:w="108" w:type="dxa"/>
          </w:tblCellMar>
        </w:tblPrEx>
        <w:trPr>
          <w:cantSplit/>
          <w:trHeight w:val="624" w:hRule="atLeast"/>
          <w:jc w:val="center"/>
        </w:trPr>
        <w:tc>
          <w:tcPr>
            <w:tcW w:w="341" w:type="pct"/>
            <w:tcBorders>
              <w:top w:val="single" w:color="000000" w:sz="4" w:space="0"/>
              <w:left w:val="single" w:color="000000" w:sz="4" w:space="0"/>
              <w:bottom w:val="single" w:color="000000" w:sz="4" w:space="0"/>
              <w:right w:val="single" w:color="000000" w:sz="4" w:space="0"/>
            </w:tcBorders>
            <w:noWrap/>
            <w:vAlign w:val="center"/>
          </w:tcPr>
          <w:p w14:paraId="428EFFF9">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val="en-US" w:eastAsia="zh-CN"/>
              </w:rPr>
            </w:pPr>
          </w:p>
        </w:tc>
        <w:tc>
          <w:tcPr>
            <w:tcW w:w="521" w:type="pct"/>
            <w:tcBorders>
              <w:top w:val="single" w:color="000000" w:sz="4" w:space="0"/>
              <w:left w:val="single" w:color="000000" w:sz="4" w:space="0"/>
              <w:bottom w:val="single" w:color="000000" w:sz="4" w:space="0"/>
              <w:right w:val="single" w:color="000000" w:sz="4" w:space="0"/>
            </w:tcBorders>
            <w:noWrap w:val="0"/>
            <w:vAlign w:val="center"/>
          </w:tcPr>
          <w:p w14:paraId="673A7C9A">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791639B4">
            <w:pPr>
              <w:pageBreakBefore w:val="0"/>
              <w:overflowPunct/>
              <w:bidi w:val="0"/>
              <w:spacing w:line="520" w:lineRule="exact"/>
              <w:jc w:val="center"/>
              <w:rPr>
                <w:rFonts w:hint="default" w:ascii="宋体" w:hAnsi="宋体" w:eastAsia="宋体" w:cs="宋体"/>
                <w:snapToGrid w:val="0"/>
                <w:color w:val="000000"/>
                <w:kern w:val="0"/>
                <w:sz w:val="22"/>
                <w:szCs w:val="22"/>
                <w:highlight w:val="none"/>
                <w:lang w:val="en-US" w:eastAsia="zh-CN"/>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6D990417">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648" w:type="pct"/>
            <w:tcBorders>
              <w:top w:val="single" w:color="000000" w:sz="4" w:space="0"/>
              <w:left w:val="single" w:color="000000" w:sz="4" w:space="0"/>
              <w:bottom w:val="single" w:color="000000" w:sz="4" w:space="0"/>
              <w:right w:val="single" w:color="000000" w:sz="4" w:space="0"/>
            </w:tcBorders>
            <w:noWrap w:val="0"/>
            <w:vAlign w:val="center"/>
          </w:tcPr>
          <w:p w14:paraId="4ED31F13">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308AB2D1">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24C6EF2A">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07359D53">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r>
      <w:tr w14:paraId="5BBE7C6D">
        <w:tblPrEx>
          <w:tblCellMar>
            <w:top w:w="0" w:type="dxa"/>
            <w:left w:w="108" w:type="dxa"/>
            <w:bottom w:w="0" w:type="dxa"/>
            <w:right w:w="108" w:type="dxa"/>
          </w:tblCellMar>
        </w:tblPrEx>
        <w:trPr>
          <w:cantSplit/>
          <w:trHeight w:val="624" w:hRule="atLeast"/>
          <w:jc w:val="center"/>
        </w:trPr>
        <w:tc>
          <w:tcPr>
            <w:tcW w:w="341" w:type="pct"/>
            <w:tcBorders>
              <w:top w:val="single" w:color="000000" w:sz="4" w:space="0"/>
              <w:left w:val="single" w:color="000000" w:sz="4" w:space="0"/>
              <w:bottom w:val="single" w:color="000000" w:sz="4" w:space="0"/>
              <w:right w:val="single" w:color="000000" w:sz="4" w:space="0"/>
            </w:tcBorders>
            <w:noWrap/>
            <w:vAlign w:val="center"/>
          </w:tcPr>
          <w:p w14:paraId="6776FE68">
            <w:pPr>
              <w:pageBreakBefore w:val="0"/>
              <w:widowControl/>
              <w:kinsoku w:val="0"/>
              <w:overflowPunct/>
              <w:autoSpaceDE w:val="0"/>
              <w:autoSpaceDN w:val="0"/>
              <w:bidi w:val="0"/>
              <w:adjustRightInd w:val="0"/>
              <w:snapToGrid w:val="0"/>
              <w:spacing w:line="520" w:lineRule="exact"/>
              <w:jc w:val="center"/>
              <w:textAlignment w:val="baseline"/>
              <w:rPr>
                <w:rFonts w:hint="eastAsia" w:ascii="宋体" w:hAnsi="宋体" w:eastAsia="宋体" w:cs="宋体"/>
                <w:snapToGrid w:val="0"/>
                <w:color w:val="000000"/>
                <w:kern w:val="0"/>
                <w:sz w:val="22"/>
                <w:szCs w:val="22"/>
                <w:highlight w:val="none"/>
                <w:lang w:val="en-US" w:eastAsia="zh-CN"/>
              </w:rPr>
            </w:pPr>
          </w:p>
        </w:tc>
        <w:tc>
          <w:tcPr>
            <w:tcW w:w="521" w:type="pct"/>
            <w:tcBorders>
              <w:top w:val="single" w:color="000000" w:sz="4" w:space="0"/>
              <w:left w:val="single" w:color="000000" w:sz="4" w:space="0"/>
              <w:bottom w:val="single" w:color="000000" w:sz="4" w:space="0"/>
              <w:right w:val="single" w:color="000000" w:sz="4" w:space="0"/>
            </w:tcBorders>
            <w:noWrap w:val="0"/>
            <w:vAlign w:val="center"/>
          </w:tcPr>
          <w:p w14:paraId="6E5B4421">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377" w:type="pct"/>
            <w:tcBorders>
              <w:top w:val="single" w:color="000000" w:sz="4" w:space="0"/>
              <w:left w:val="single" w:color="000000" w:sz="4" w:space="0"/>
              <w:bottom w:val="single" w:color="000000" w:sz="4" w:space="0"/>
              <w:right w:val="single" w:color="000000" w:sz="4" w:space="0"/>
            </w:tcBorders>
            <w:noWrap w:val="0"/>
            <w:vAlign w:val="center"/>
          </w:tcPr>
          <w:p w14:paraId="5C7EEC2B">
            <w:pPr>
              <w:pageBreakBefore w:val="0"/>
              <w:overflowPunct/>
              <w:bidi w:val="0"/>
              <w:spacing w:line="520" w:lineRule="exact"/>
              <w:jc w:val="center"/>
              <w:rPr>
                <w:rFonts w:hint="default" w:ascii="宋体" w:hAnsi="宋体" w:eastAsia="宋体" w:cs="宋体"/>
                <w:snapToGrid w:val="0"/>
                <w:color w:val="000000"/>
                <w:kern w:val="0"/>
                <w:sz w:val="22"/>
                <w:szCs w:val="22"/>
                <w:highlight w:val="none"/>
                <w:lang w:val="en-US" w:eastAsia="zh-CN"/>
              </w:rPr>
            </w:pPr>
          </w:p>
        </w:tc>
        <w:tc>
          <w:tcPr>
            <w:tcW w:w="860" w:type="pct"/>
            <w:tcBorders>
              <w:top w:val="single" w:color="000000" w:sz="4" w:space="0"/>
              <w:left w:val="single" w:color="000000" w:sz="4" w:space="0"/>
              <w:bottom w:val="single" w:color="000000" w:sz="4" w:space="0"/>
              <w:right w:val="single" w:color="000000" w:sz="4" w:space="0"/>
            </w:tcBorders>
            <w:noWrap w:val="0"/>
            <w:vAlign w:val="center"/>
          </w:tcPr>
          <w:p w14:paraId="7E4C2A37">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648" w:type="pct"/>
            <w:tcBorders>
              <w:top w:val="single" w:color="000000" w:sz="4" w:space="0"/>
              <w:left w:val="single" w:color="000000" w:sz="4" w:space="0"/>
              <w:bottom w:val="single" w:color="000000" w:sz="4" w:space="0"/>
              <w:right w:val="single" w:color="000000" w:sz="4" w:space="0"/>
            </w:tcBorders>
            <w:noWrap w:val="0"/>
            <w:vAlign w:val="center"/>
          </w:tcPr>
          <w:p w14:paraId="64A0BDFE">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1EBE4D23">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060AA6F4">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c>
          <w:tcPr>
            <w:tcW w:w="750" w:type="pct"/>
            <w:tcBorders>
              <w:top w:val="single" w:color="000000" w:sz="4" w:space="0"/>
              <w:left w:val="single" w:color="000000" w:sz="4" w:space="0"/>
              <w:bottom w:val="single" w:color="000000" w:sz="4" w:space="0"/>
              <w:right w:val="single" w:color="000000" w:sz="4" w:space="0"/>
            </w:tcBorders>
            <w:noWrap w:val="0"/>
            <w:vAlign w:val="center"/>
          </w:tcPr>
          <w:p w14:paraId="20D987AA">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snapToGrid w:val="0"/>
                <w:color w:val="000000"/>
                <w:kern w:val="0"/>
                <w:sz w:val="22"/>
                <w:szCs w:val="22"/>
                <w:highlight w:val="none"/>
              </w:rPr>
            </w:pPr>
          </w:p>
        </w:tc>
      </w:tr>
    </w:tbl>
    <w:p w14:paraId="24982C4A">
      <w:pPr>
        <w:pStyle w:val="2"/>
        <w:ind w:left="0" w:leftChars="0" w:firstLine="0" w:firstLineChars="0"/>
        <w:rPr>
          <w:rFonts w:hint="eastAsia"/>
          <w:sz w:val="20"/>
          <w:szCs w:val="18"/>
          <w:highlight w:val="none"/>
        </w:rPr>
      </w:pPr>
    </w:p>
    <w:p w14:paraId="2231CEEC">
      <w:pPr>
        <w:keepNext w:val="0"/>
        <w:keepLines w:val="0"/>
        <w:pageBreakBefore w:val="0"/>
        <w:widowControl w:val="0"/>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本合同在此声明如下： </w:t>
      </w:r>
    </w:p>
    <w:p w14:paraId="6B77F726">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本合同中的词语和术语的含义与合同条款中定义的相同。 </w:t>
      </w:r>
    </w:p>
    <w:p w14:paraId="06834CAC">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Cs/>
          <w:sz w:val="21"/>
          <w:szCs w:val="21"/>
          <w:highlight w:val="none"/>
        </w:rPr>
      </w:pPr>
      <w:r>
        <w:rPr>
          <w:rFonts w:hint="eastAsia" w:ascii="宋体" w:hAnsi="宋体" w:eastAsia="宋体" w:cs="宋体"/>
          <w:b w:val="0"/>
          <w:bCs w:val="0"/>
          <w:color w:val="000000"/>
          <w:sz w:val="22"/>
          <w:szCs w:val="22"/>
          <w:highlight w:val="none"/>
        </w:rPr>
        <w:t xml:space="preserve">下述文件是本合同的一部分，并与本合同一起阅读和解释： </w:t>
      </w:r>
    </w:p>
    <w:p w14:paraId="5825B439">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协议书 </w:t>
      </w:r>
    </w:p>
    <w:p w14:paraId="1356768D">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Cs/>
          <w:sz w:val="21"/>
          <w:szCs w:val="21"/>
          <w:highlight w:val="none"/>
        </w:rPr>
      </w:pPr>
      <w:r>
        <w:rPr>
          <w:rFonts w:hint="eastAsia" w:ascii="宋体" w:hAnsi="宋体" w:eastAsia="宋体" w:cs="宋体"/>
          <w:b w:val="0"/>
          <w:bCs w:val="0"/>
          <w:color w:val="000000"/>
          <w:sz w:val="22"/>
          <w:szCs w:val="22"/>
          <w:highlight w:val="none"/>
        </w:rPr>
        <w:t xml:space="preserve">合同条款 </w:t>
      </w:r>
    </w:p>
    <w:p w14:paraId="4628AE80">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Cs/>
          <w:sz w:val="21"/>
          <w:szCs w:val="21"/>
          <w:highlight w:val="none"/>
        </w:rPr>
      </w:pPr>
      <w:r>
        <w:rPr>
          <w:rFonts w:hint="eastAsia" w:ascii="宋体" w:hAnsi="宋体" w:eastAsia="宋体" w:cs="宋体"/>
          <w:b w:val="0"/>
          <w:bCs w:val="0"/>
          <w:color w:val="000000"/>
          <w:sz w:val="22"/>
          <w:szCs w:val="22"/>
          <w:highlight w:val="none"/>
        </w:rPr>
        <w:t xml:space="preserve">合同条款附件 </w:t>
      </w:r>
    </w:p>
    <w:p w14:paraId="37BF707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附件 1—货物清单 </w:t>
      </w:r>
    </w:p>
    <w:p w14:paraId="122EDA4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附件 2—质量保证承诺 </w:t>
      </w:r>
    </w:p>
    <w:p w14:paraId="4E4981A1">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left="0" w:leftChars="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成交通知书 </w:t>
      </w:r>
    </w:p>
    <w:p w14:paraId="6E63C87D">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left="0" w:leftChars="0" w:firstLine="440" w:firstLineChars="200"/>
        <w:textAlignment w:val="auto"/>
        <w:rPr>
          <w:rFonts w:hint="eastAsia" w:ascii="宋体" w:hAnsi="宋体" w:eastAsia="宋体" w:cs="宋体"/>
          <w:bCs/>
          <w:sz w:val="21"/>
          <w:szCs w:val="21"/>
          <w:highlight w:val="none"/>
        </w:rPr>
      </w:pPr>
      <w:r>
        <w:rPr>
          <w:rFonts w:hint="eastAsia" w:ascii="宋体" w:hAnsi="宋体" w:eastAsia="宋体" w:cs="宋体"/>
          <w:b w:val="0"/>
          <w:bCs w:val="0"/>
          <w:color w:val="000000"/>
          <w:sz w:val="22"/>
          <w:szCs w:val="22"/>
          <w:highlight w:val="none"/>
        </w:rPr>
        <w:t xml:space="preserve">竞争性谈判文件 </w:t>
      </w:r>
    </w:p>
    <w:p w14:paraId="2A04B596">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left="0" w:leftChars="0" w:firstLine="440" w:firstLineChars="200"/>
        <w:textAlignment w:val="auto"/>
        <w:rPr>
          <w:rFonts w:hint="eastAsia" w:ascii="宋体" w:hAnsi="宋体" w:eastAsia="宋体" w:cs="宋体"/>
          <w:bCs/>
          <w:sz w:val="21"/>
          <w:szCs w:val="21"/>
          <w:highlight w:val="none"/>
        </w:rPr>
      </w:pPr>
      <w:r>
        <w:rPr>
          <w:rFonts w:hint="eastAsia" w:ascii="宋体" w:hAnsi="宋体" w:eastAsia="宋体" w:cs="宋体"/>
          <w:b w:val="0"/>
          <w:bCs w:val="0"/>
          <w:color w:val="000000"/>
          <w:sz w:val="22"/>
          <w:szCs w:val="22"/>
          <w:highlight w:val="none"/>
        </w:rPr>
        <w:t>响应文件</w:t>
      </w:r>
    </w:p>
    <w:p w14:paraId="5C412820">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left="0" w:leftChars="0" w:firstLine="440" w:firstLineChars="200"/>
        <w:textAlignment w:val="auto"/>
        <w:rPr>
          <w:rFonts w:hint="eastAsia" w:ascii="宋体" w:hAnsi="宋体" w:eastAsia="宋体" w:cs="宋体"/>
          <w:bCs/>
          <w:sz w:val="21"/>
          <w:szCs w:val="21"/>
          <w:highlight w:val="none"/>
        </w:rPr>
      </w:pPr>
      <w:r>
        <w:rPr>
          <w:rFonts w:hint="eastAsia" w:ascii="宋体" w:hAnsi="宋体" w:eastAsia="宋体" w:cs="宋体"/>
          <w:b w:val="0"/>
          <w:bCs w:val="0"/>
          <w:color w:val="000000"/>
          <w:sz w:val="22"/>
          <w:szCs w:val="22"/>
          <w:highlight w:val="none"/>
        </w:rPr>
        <w:t xml:space="preserve"> 双方依法签订的补充协议也是本合同文件的组成部分 </w:t>
      </w:r>
    </w:p>
    <w:p w14:paraId="6264AAAD">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考虑到买方将按照本合同向卖方支付货款，卖方在此保证全部按照合同的规定向买方提供货物和服务，并修补缺陷。 </w:t>
      </w:r>
    </w:p>
    <w:p w14:paraId="14A92940">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2"/>
          <w:szCs w:val="22"/>
          <w:highlight w:val="none"/>
        </w:rPr>
        <w:t xml:space="preserve">考虑到卖方提供的货物和服务并修补缺陷，买方在此保证按照合同规定的时间和方式向卖方支付合同价或其他按合同规定应支付的金额。 </w:t>
      </w:r>
    </w:p>
    <w:p w14:paraId="4F2AF957">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2"/>
          <w:szCs w:val="22"/>
          <w:highlight w:val="none"/>
        </w:rPr>
        <w:t>付款方式：</w:t>
      </w:r>
      <w:r>
        <w:rPr>
          <w:rFonts w:hint="eastAsia" w:ascii="宋体" w:hAnsi="宋体" w:cs="宋体"/>
          <w:b w:val="0"/>
          <w:bCs w:val="0"/>
          <w:color w:val="auto"/>
          <w:sz w:val="22"/>
          <w:szCs w:val="22"/>
          <w:highlight w:val="none"/>
          <w:u w:val="single"/>
          <w:lang w:val="en-US" w:eastAsia="zh-CN"/>
        </w:rPr>
        <w:t xml:space="preserve">               </w:t>
      </w:r>
      <w:r>
        <w:rPr>
          <w:rFonts w:hint="eastAsia" w:ascii="宋体" w:hAnsi="宋体" w:cs="宋体"/>
          <w:b w:val="0"/>
          <w:bCs w:val="0"/>
          <w:color w:val="auto"/>
          <w:sz w:val="22"/>
          <w:szCs w:val="22"/>
          <w:highlight w:val="none"/>
          <w:u w:val="none"/>
          <w:lang w:val="en-US" w:eastAsia="zh-CN"/>
        </w:rPr>
        <w:t>。</w:t>
      </w:r>
      <w:r>
        <w:rPr>
          <w:rFonts w:hint="eastAsia" w:ascii="宋体" w:hAnsi="宋体" w:eastAsia="宋体" w:cs="宋体"/>
          <w:b w:val="0"/>
          <w:bCs w:val="0"/>
          <w:color w:val="auto"/>
          <w:sz w:val="22"/>
          <w:szCs w:val="22"/>
          <w:highlight w:val="none"/>
          <w:u w:val="none"/>
        </w:rPr>
        <w:t xml:space="preserve"> </w:t>
      </w:r>
    </w:p>
    <w:p w14:paraId="1BB0C3B1">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Cs/>
          <w:color w:val="auto"/>
          <w:sz w:val="21"/>
          <w:szCs w:val="21"/>
          <w:highlight w:val="none"/>
        </w:rPr>
      </w:pPr>
      <w:r>
        <w:rPr>
          <w:rFonts w:hint="eastAsia" w:ascii="宋体" w:hAnsi="宋体" w:cs="宋体"/>
          <w:b w:val="0"/>
          <w:bCs w:val="0"/>
          <w:color w:val="auto"/>
          <w:sz w:val="22"/>
          <w:szCs w:val="22"/>
          <w:highlight w:val="none"/>
          <w:lang w:eastAsia="zh-CN"/>
        </w:rPr>
        <w:t>供货期</w:t>
      </w:r>
      <w:r>
        <w:rPr>
          <w:rFonts w:hint="eastAsia" w:ascii="宋体" w:hAnsi="宋体" w:eastAsia="宋体" w:cs="宋体"/>
          <w:b w:val="0"/>
          <w:bCs w:val="0"/>
          <w:color w:val="auto"/>
          <w:sz w:val="22"/>
          <w:szCs w:val="22"/>
          <w:highlight w:val="none"/>
        </w:rPr>
        <w:t xml:space="preserve">：合同签订后 </w:t>
      </w:r>
      <w:r>
        <w:rPr>
          <w:rFonts w:hint="eastAsia" w:ascii="宋体" w:hAnsi="宋体" w:cs="宋体"/>
          <w:b w:val="0"/>
          <w:bCs w:val="0"/>
          <w:color w:val="auto"/>
          <w:sz w:val="22"/>
          <w:szCs w:val="22"/>
          <w:highlight w:val="none"/>
          <w:lang w:val="en-US" w:eastAsia="zh-CN"/>
        </w:rPr>
        <w:t>30</w:t>
      </w:r>
      <w:r>
        <w:rPr>
          <w:rFonts w:hint="eastAsia" w:ascii="宋体" w:hAnsi="宋体" w:eastAsia="宋体" w:cs="宋体"/>
          <w:b w:val="0"/>
          <w:bCs w:val="0"/>
          <w:color w:val="auto"/>
          <w:sz w:val="22"/>
          <w:szCs w:val="22"/>
          <w:highlight w:val="none"/>
        </w:rPr>
        <w:t xml:space="preserve">日历天 </w:t>
      </w:r>
    </w:p>
    <w:p w14:paraId="70DE89F9">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Cs/>
          <w:color w:val="auto"/>
          <w:sz w:val="21"/>
          <w:szCs w:val="21"/>
          <w:highlight w:val="none"/>
        </w:rPr>
      </w:pPr>
      <w:r>
        <w:rPr>
          <w:rFonts w:hint="eastAsia" w:ascii="宋体" w:hAnsi="宋体" w:cs="宋体"/>
          <w:b w:val="0"/>
          <w:bCs w:val="0"/>
          <w:color w:val="auto"/>
          <w:sz w:val="22"/>
          <w:szCs w:val="22"/>
          <w:highlight w:val="none"/>
          <w:lang w:eastAsia="zh-CN"/>
        </w:rPr>
        <w:t>地点</w:t>
      </w:r>
      <w:r>
        <w:rPr>
          <w:rFonts w:hint="eastAsia" w:ascii="宋体" w:hAnsi="宋体" w:eastAsia="宋体" w:cs="宋体"/>
          <w:b w:val="0"/>
          <w:bCs w:val="0"/>
          <w:color w:val="auto"/>
          <w:sz w:val="22"/>
          <w:szCs w:val="22"/>
          <w:highlight w:val="none"/>
        </w:rPr>
        <w:t>：</w:t>
      </w:r>
      <w:r>
        <w:rPr>
          <w:rFonts w:hint="eastAsia" w:ascii="宋体" w:hAnsi="宋体" w:eastAsia="宋体" w:cs="宋体"/>
          <w:b w:val="0"/>
          <w:bCs w:val="0"/>
          <w:color w:val="auto"/>
          <w:sz w:val="22"/>
          <w:szCs w:val="22"/>
          <w:highlight w:val="none"/>
          <w:lang w:eastAsia="zh-CN"/>
        </w:rPr>
        <w:t>采购方指定地点</w:t>
      </w:r>
    </w:p>
    <w:p w14:paraId="417DF3F5">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20" w:leftChars="0" w:firstLine="44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2"/>
          <w:szCs w:val="22"/>
          <w:highlight w:val="none"/>
        </w:rPr>
        <w:t>包装、运输要求：</w:t>
      </w:r>
    </w:p>
    <w:p w14:paraId="55B6E6F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8</w:t>
      </w:r>
      <w:r>
        <w:rPr>
          <w:rFonts w:hint="eastAsia" w:ascii="宋体" w:hAnsi="宋体" w:eastAsia="宋体" w:cs="宋体"/>
          <w:b w:val="0"/>
          <w:bCs w:val="0"/>
          <w:color w:val="auto"/>
          <w:sz w:val="22"/>
          <w:szCs w:val="22"/>
          <w:highlight w:val="none"/>
          <w:lang w:val="en-US" w:eastAsia="zh-CN"/>
        </w:rPr>
        <w:t>.1 包装</w:t>
      </w:r>
    </w:p>
    <w:p w14:paraId="566137C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供应商应根据货物的物理特性、易损程度及安全卫生要求，提供符合国家相关标准的、足以保障货物安全运抵采购人</w:t>
      </w:r>
      <w:r>
        <w:rPr>
          <w:rFonts w:hint="eastAsia" w:ascii="宋体" w:hAnsi="宋体" w:eastAsia="宋体" w:cs="宋体"/>
          <w:b w:val="0"/>
          <w:bCs w:val="0"/>
          <w:color w:val="000000"/>
          <w:sz w:val="22"/>
          <w:szCs w:val="22"/>
          <w:highlight w:val="none"/>
          <w:lang w:val="en-US" w:eastAsia="zh-CN"/>
        </w:rPr>
        <w:t>指定地点的原厂或等效包装。</w:t>
      </w:r>
    </w:p>
    <w:p w14:paraId="6E239B5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1.分类包装原则：</w:t>
      </w:r>
    </w:p>
    <w:p w14:paraId="4BBD59D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精密仪器类（如DR数字X线机、B超机、生物显微镜、手术台等）：必须使用木箱或高强度定制纸箱进行包装，内衬泡沫板或充气缓冲材料，确保设备在运输途中不发生位移、磕碰。包装箱外应醒目粘贴“向上”、“防潮”、“易碎品”等储运图示标志。</w:t>
      </w:r>
    </w:p>
    <w:p w14:paraId="68397FC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玻璃及液体制品类（如注射器、试剂管、消毒液、各类注射液等）：应采用防震、防破裂包装，瓶与瓶之间用软性材料（如气泡膜、海绵）隔离。液体试剂外包装应粘贴“严禁倒置”标识，并具备防泄漏措施（如独立密封袋）。</w:t>
      </w:r>
    </w:p>
    <w:p w14:paraId="05C151E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药品及化学品（含兽药、消毒剂等）：应严格按照GSP（药品经营质量管理规范）或相关兽药存储要求进行包装。需避光保存的药品应使用不透光材料包装；需冷藏运输的药品，供应商应提供具备温度记录功能的冷链运输包装（泡沫箱+冰袋或电子冷媒）。</w:t>
      </w:r>
    </w:p>
    <w:p w14:paraId="062666D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金属制品及大型笼具类（如捕兽笼、手术床、笼舍等）：可采用**无纺布/塑料薄膜缠绕防潮+外层硬纸箱或捆绑带，避免在运输过程中刮伤表面喷塑或镀锌层。对于可拆卸部件，应分类打包并附安装图纸。</w:t>
      </w:r>
    </w:p>
    <w:p w14:paraId="361012C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纺织及防护用品类（如手套、防护服、头套等）：应使用原厂密封包装，确保清洁、无污染，外包装注明规格型号及数量。</w:t>
      </w:r>
    </w:p>
    <w:p w14:paraId="37C6509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饲料类：需采用防潮、防鼠、防虫的密封包装（如编织袋内衬塑料膜），并在包装上注明生产日期及保质期。</w:t>
      </w:r>
    </w:p>
    <w:p w14:paraId="357A41B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2</w:t>
      </w:r>
      <w:r>
        <w:rPr>
          <w:rFonts w:hint="eastAsia" w:ascii="宋体" w:hAnsi="宋体" w:cs="宋体"/>
          <w:b w:val="0"/>
          <w:bCs w:val="0"/>
          <w:color w:val="000000"/>
          <w:sz w:val="22"/>
          <w:szCs w:val="22"/>
          <w:highlight w:val="none"/>
          <w:lang w:val="en-US" w:eastAsia="zh-CN"/>
        </w:rPr>
        <w:t>.</w:t>
      </w:r>
      <w:r>
        <w:rPr>
          <w:rFonts w:hint="eastAsia" w:ascii="宋体" w:hAnsi="宋体" w:eastAsia="宋体" w:cs="宋体"/>
          <w:b w:val="0"/>
          <w:bCs w:val="0"/>
          <w:color w:val="000000"/>
          <w:sz w:val="22"/>
          <w:szCs w:val="22"/>
          <w:highlight w:val="none"/>
          <w:lang w:val="en-US" w:eastAsia="zh-CN"/>
        </w:rPr>
        <w:t xml:space="preserve"> 总体要求：</w:t>
      </w:r>
    </w:p>
    <w:p w14:paraId="4622020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所有包装必须牢固、防潮、防晒、防腐蚀，并足以承受运输过程中的反复装卸、气候变化，确保货物不开箱、不破损、不变形、不失效。</w:t>
      </w:r>
    </w:p>
    <w:p w14:paraId="6903A70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每件包装箱内应附有详细的装箱清单（含设备名称、型号、数量、合格证、保修卡、安装说明等）。大件设备应在外箱标注货物重心及起吊位置。</w:t>
      </w:r>
    </w:p>
    <w:p w14:paraId="0CB4F8A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8.2</w:t>
      </w:r>
      <w:r>
        <w:rPr>
          <w:rFonts w:hint="eastAsia" w:ascii="宋体" w:hAnsi="宋体" w:eastAsia="宋体" w:cs="宋体"/>
          <w:b w:val="0"/>
          <w:bCs w:val="0"/>
          <w:color w:val="000000"/>
          <w:sz w:val="22"/>
          <w:szCs w:val="22"/>
          <w:highlight w:val="none"/>
          <w:lang w:val="en-US" w:eastAsia="zh-CN"/>
        </w:rPr>
        <w:t xml:space="preserve"> 运输</w:t>
      </w:r>
    </w:p>
    <w:p w14:paraId="7230987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1.运输路线与方式：供应商应结合货物重量、体积及时效性，综合评估并选择运输风险小、时间短、运费合理的运输路线。对于精密仪器及生物药品，应采用门到门的直达运输方式，尽量减少中转次数，降低颠簸及损坏风险。</w:t>
      </w:r>
    </w:p>
    <w:p w14:paraId="4D921FF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2. 运杂费约定：本次采购的总报价为综合交货价，即已包含货物从生产厂家运抵采购人指定项目现场（含装卸费、运输保险费、临时仓储保管费、二次或多次转运费、人工搬运费等）全部费用。在合同履行完毕前，采购人不再为此支付任何额外费用。</w:t>
      </w:r>
    </w:p>
    <w:p w14:paraId="279D2C1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3.运输责任：</w:t>
      </w:r>
    </w:p>
    <w:p w14:paraId="10B267F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供应商负责办理货物运输保险，保险受益人为采购人。因运输途中发生货物毁损、灭失、泄漏或包装损坏等一切风险由供应商承担。</w:t>
      </w:r>
    </w:p>
    <w:p w14:paraId="25C5066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大型设备或重型金属笼具到达现场时，供应商应配合采购人进行卸货及初步定位。若需吊装，供应商需提前告知采购人场地条件要求。</w:t>
      </w:r>
    </w:p>
    <w:p w14:paraId="73A9F4B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对于需要冷链运输的药品或生物制品，供应商必须提供运输过程中的温度监控记录（数据需可追溯），货物到达时温度不符合存储要求的，采购人有权拒收。</w:t>
      </w:r>
    </w:p>
    <w:p w14:paraId="7629A1A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9</w:t>
      </w:r>
      <w:r>
        <w:rPr>
          <w:rFonts w:hint="eastAsia" w:ascii="宋体" w:hAnsi="宋体" w:eastAsia="宋体" w:cs="宋体"/>
          <w:b w:val="0"/>
          <w:bCs w:val="0"/>
          <w:color w:val="auto"/>
          <w:sz w:val="22"/>
          <w:szCs w:val="22"/>
          <w:highlight w:val="none"/>
          <w:lang w:val="en-US" w:eastAsia="zh-CN"/>
        </w:rPr>
        <w:t>、验收</w:t>
      </w:r>
    </w:p>
    <w:p w14:paraId="7004505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9</w:t>
      </w:r>
      <w:r>
        <w:rPr>
          <w:rFonts w:hint="eastAsia" w:ascii="宋体" w:hAnsi="宋体" w:eastAsia="宋体" w:cs="宋体"/>
          <w:b w:val="0"/>
          <w:bCs w:val="0"/>
          <w:color w:val="auto"/>
          <w:sz w:val="22"/>
          <w:szCs w:val="22"/>
          <w:highlight w:val="none"/>
          <w:lang w:val="en-US" w:eastAsia="zh-CN"/>
        </w:rPr>
        <w:t xml:space="preserve">.1 验收前包装完好性要求 </w:t>
      </w:r>
    </w:p>
    <w:p w14:paraId="24547E3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货物运抵现场后，采购人将首先检查外包装是否完好。若发现外包装有破损、潮湿、变形等异常情况，采购人有权要求先拍照记录再开箱，并根据实际损坏情况要求供应商更换货物。开箱后发现内部货物有短缺、损坏或与合同参数不符的，供应商应在7个工作日内无条件补齐或更换，</w:t>
      </w:r>
      <w:r>
        <w:rPr>
          <w:rFonts w:hint="eastAsia" w:ascii="宋体" w:hAnsi="宋体" w:eastAsia="宋体" w:cs="宋体"/>
          <w:b w:val="0"/>
          <w:bCs w:val="0"/>
          <w:color w:val="000000"/>
          <w:sz w:val="22"/>
          <w:szCs w:val="22"/>
          <w:highlight w:val="none"/>
          <w:lang w:val="en-US" w:eastAsia="zh-CN"/>
        </w:rPr>
        <w:t>因此产生的所有费用由供应商承担。</w:t>
      </w:r>
    </w:p>
    <w:p w14:paraId="2591C7E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 货物验收</w:t>
      </w:r>
    </w:p>
    <w:p w14:paraId="679BBFD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.2.1到货初验</w:t>
      </w:r>
    </w:p>
    <w:p w14:paraId="33E471F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货物运抵采购人指定地点后，采购人将对货物的外包装完整性、产品名称、规格型号、生产厂家、生产批号/序列号、数量、外观有无破损锈蚀**等进行初步核验。若发现外包装破损、货物外观异常或数量不符，采购人有权拍照留证并作拒收处理。</w:t>
      </w:r>
    </w:p>
    <w:p w14:paraId="1C6708A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.2.2质量检验</w:t>
      </w:r>
    </w:p>
    <w:p w14:paraId="0EEF11B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2.2.1兽药及生物制品：成交供应商须在交货时随车提供该批次产品的《兽药产品批准文号批件》或《进口兽药注册证书》，以及生产厂家的出厂检验报告。采购人有权随机抽样，送至具有CMA或CNAS资质的第三方检测机构进行**有效成分含量、微生物限度、无菌检验等项目检测，检测费用由成交供应商承担。</w:t>
      </w:r>
    </w:p>
    <w:p w14:paraId="468BC5B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.2.2.2医用耗材及防护用品（防护服、手套、纱布等）：成交供应商须提供医疗器械注册证或医疗器械备案凭证、生产厂家营业执照及合格证明。采购人有权对同批次产品进行外观、规格尺寸、材质符合性核验。</w:t>
      </w:r>
    </w:p>
    <w:p w14:paraId="55703AA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2.2.3诊疗设备（DR、B超机、生物显微镜、手术台等）：设备安装调试完成后，成交供应商应配合采购人进行开机运行测试，验证设备各项功能、成像效果、软件运行等是否符合技术参数要求。采购人有权委托第三方计量检测机构对设备进行计量校准或性能检测，检测费用由成交供应商承担。</w:t>
      </w:r>
    </w:p>
    <w:p w14:paraId="21FB3B6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.2.2.4防护笼具、金属制品：采购人将核验材质规格、尺寸、焊接工艺、表面处理（镀锌/喷塑）是否达标。必要时可随机抽样进行承重测试或耐腐蚀性检查，若不满足要求，整批次视为不合格。</w:t>
      </w:r>
    </w:p>
    <w:p w14:paraId="6B65D69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lang w:val="en-US" w:eastAsia="zh-CN"/>
        </w:rPr>
        <w:t>.2.2.5动物饲料：成交供应商须提供饲料生产厂家的营业执照、饲料生产许可证及该批次产品的出厂合格证明。采购人有权随机抽样送检，检测**黄曲霉毒素B1、重金属（铅、砷）、沙门氏菌等卫生指标，检测费用由成交供应商承担。</w:t>
      </w:r>
    </w:p>
    <w:p w14:paraId="1A5A2D2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9.2.2.6 第三方检测结果处理如第三方检测机构出具的检验结论为不合格（即不满足采购文件技术参数要求、国家标准或行业规范），采购人有权单方解除合同、取消成交供应商的成交资格并撤销采购合同，由此产生的全部检测费用、运输退回费用及采购人重新组织采购造成的损失，均由成交供应商承担。同时，因使用不合格药品、防护用品或设备故障导致野生动物救治延误、病情加重或发生人员安全事故的，成交供应商应依法承担全部民事赔偿责任及相应的法律责任。</w:t>
      </w:r>
    </w:p>
    <w:p w14:paraId="2FC582B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highlight w:val="none"/>
          <w:lang w:val="en-US" w:eastAsia="zh-CN"/>
        </w:rPr>
      </w:pPr>
      <w:r>
        <w:rPr>
          <w:rFonts w:hint="eastAsia" w:ascii="宋体" w:hAnsi="宋体" w:eastAsia="宋体" w:cs="宋体"/>
          <w:b w:val="0"/>
          <w:bCs w:val="0"/>
          <w:color w:val="000000"/>
          <w:sz w:val="22"/>
          <w:szCs w:val="22"/>
          <w:highlight w:val="none"/>
          <w:lang w:val="en-US" w:eastAsia="zh-CN"/>
        </w:rPr>
        <w:t>9.2.2.6 验收报告：全部货物经检验合格、设备安装调试运行正常后，由采购人、成交供应商双方签署《货物验收单》，视为验收通过。</w:t>
      </w:r>
    </w:p>
    <w:p w14:paraId="3EE9D10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9</w:t>
      </w:r>
      <w:r>
        <w:rPr>
          <w:rFonts w:hint="eastAsia" w:ascii="宋体" w:hAnsi="宋体" w:eastAsia="宋体" w:cs="宋体"/>
          <w:b w:val="0"/>
          <w:bCs w:val="0"/>
          <w:color w:val="000000"/>
          <w:sz w:val="22"/>
          <w:szCs w:val="22"/>
          <w:highlight w:val="none"/>
        </w:rPr>
        <w:t xml:space="preserve">.3 验收依据 </w:t>
      </w:r>
    </w:p>
    <w:p w14:paraId="2369E68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（1）合同文本及合同补充文件（条款）； </w:t>
      </w:r>
    </w:p>
    <w:p w14:paraId="36A2BEE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（2）竞争性谈判文件； </w:t>
      </w:r>
    </w:p>
    <w:p w14:paraId="6B392B6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（3）</w:t>
      </w:r>
      <w:r>
        <w:rPr>
          <w:rFonts w:hint="eastAsia" w:ascii="宋体" w:hAnsi="宋体" w:cs="宋体"/>
          <w:b w:val="0"/>
          <w:bCs w:val="0"/>
          <w:color w:val="000000"/>
          <w:sz w:val="22"/>
          <w:szCs w:val="22"/>
          <w:highlight w:val="none"/>
          <w:lang w:eastAsia="zh-CN"/>
        </w:rPr>
        <w:t>成交供应商</w:t>
      </w:r>
      <w:r>
        <w:rPr>
          <w:rFonts w:hint="eastAsia" w:ascii="宋体" w:hAnsi="宋体" w:eastAsia="宋体" w:cs="宋体"/>
          <w:b w:val="0"/>
          <w:bCs w:val="0"/>
          <w:color w:val="000000"/>
          <w:sz w:val="22"/>
          <w:szCs w:val="22"/>
          <w:highlight w:val="none"/>
        </w:rPr>
        <w:t xml:space="preserve">的响应文件； </w:t>
      </w:r>
    </w:p>
    <w:p w14:paraId="5FF0AFF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（4）货物清单； </w:t>
      </w:r>
    </w:p>
    <w:p w14:paraId="56F891E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10</w:t>
      </w:r>
      <w:r>
        <w:rPr>
          <w:rFonts w:hint="eastAsia" w:ascii="宋体" w:hAnsi="宋体" w:eastAsia="宋体" w:cs="宋体"/>
          <w:b w:val="0"/>
          <w:bCs w:val="0"/>
          <w:color w:val="000000"/>
          <w:sz w:val="22"/>
          <w:szCs w:val="22"/>
          <w:highlight w:val="none"/>
        </w:rPr>
        <w:t>、验收时发现问题的处理办法：</w:t>
      </w:r>
    </w:p>
    <w:p w14:paraId="62313B0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10</w:t>
      </w:r>
      <w:r>
        <w:rPr>
          <w:rFonts w:hint="eastAsia" w:ascii="宋体" w:hAnsi="宋体" w:eastAsia="宋体" w:cs="宋体"/>
          <w:b w:val="0"/>
          <w:bCs w:val="0"/>
          <w:color w:val="000000"/>
          <w:sz w:val="22"/>
          <w:szCs w:val="22"/>
          <w:highlight w:val="none"/>
        </w:rPr>
        <w:t xml:space="preserve">.1 成交单位提供不符合谈判文件和本合同规定的货物，采购人有权拒绝接受； </w:t>
      </w:r>
    </w:p>
    <w:p w14:paraId="23095EF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10</w:t>
      </w:r>
      <w:r>
        <w:rPr>
          <w:rFonts w:hint="eastAsia" w:ascii="宋体" w:hAnsi="宋体" w:eastAsia="宋体" w:cs="宋体"/>
          <w:b w:val="0"/>
          <w:bCs w:val="0"/>
          <w:color w:val="000000"/>
          <w:sz w:val="22"/>
          <w:szCs w:val="22"/>
          <w:highlight w:val="none"/>
        </w:rPr>
        <w:t xml:space="preserve">.2 如发现所交付的货物有短装、次品、损坏或其它不符合标准及本合同规定之情形者，甲方有权要求更换设备，同时做出详尽的现场记录，或由甲乙双方签署备忘录，此现场记录或备忘录可用作补充、缺失货物的有效证据，由此产生的时间延误与有关费用由成交单位承担，验收期限相应顺延； </w:t>
      </w:r>
    </w:p>
    <w:p w14:paraId="5B04ADD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10</w:t>
      </w:r>
      <w:r>
        <w:rPr>
          <w:rFonts w:hint="eastAsia" w:ascii="宋体" w:hAnsi="宋体" w:eastAsia="宋体" w:cs="宋体"/>
          <w:b w:val="0"/>
          <w:bCs w:val="0"/>
          <w:color w:val="000000"/>
          <w:sz w:val="22"/>
          <w:szCs w:val="22"/>
          <w:highlight w:val="none"/>
        </w:rPr>
        <w:t xml:space="preserve">.3 成交单位不能完整交付货物及本条第一款规定的单证和工具的，必须负责补齐，否则视为未按合同约定交货； </w:t>
      </w:r>
    </w:p>
    <w:p w14:paraId="761856C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1</w:t>
      </w:r>
      <w:r>
        <w:rPr>
          <w:rFonts w:hint="eastAsia" w:ascii="宋体" w:hAnsi="宋体" w:eastAsia="宋体" w:cs="宋体"/>
          <w:b w:val="0"/>
          <w:bCs w:val="0"/>
          <w:color w:val="000000"/>
          <w:sz w:val="22"/>
          <w:szCs w:val="22"/>
          <w:highlight w:val="none"/>
          <w:lang w:val="en-US" w:eastAsia="zh-CN"/>
        </w:rPr>
        <w:t>1</w:t>
      </w:r>
      <w:r>
        <w:rPr>
          <w:rFonts w:hint="eastAsia" w:ascii="宋体" w:hAnsi="宋体" w:eastAsia="宋体" w:cs="宋体"/>
          <w:b w:val="0"/>
          <w:bCs w:val="0"/>
          <w:color w:val="000000"/>
          <w:sz w:val="22"/>
          <w:szCs w:val="22"/>
          <w:highlight w:val="none"/>
        </w:rPr>
        <w:t xml:space="preserve">、质量保证 </w:t>
      </w:r>
    </w:p>
    <w:p w14:paraId="269CE74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1</w:t>
      </w:r>
      <w:r>
        <w:rPr>
          <w:rFonts w:hint="eastAsia" w:ascii="宋体" w:hAnsi="宋体" w:eastAsia="宋体" w:cs="宋体"/>
          <w:b w:val="0"/>
          <w:bCs w:val="0"/>
          <w:color w:val="000000"/>
          <w:sz w:val="22"/>
          <w:szCs w:val="22"/>
          <w:highlight w:val="none"/>
          <w:lang w:val="en-US" w:eastAsia="zh-CN"/>
        </w:rPr>
        <w:t>1</w:t>
      </w:r>
      <w:r>
        <w:rPr>
          <w:rFonts w:hint="eastAsia" w:ascii="宋体" w:hAnsi="宋体" w:eastAsia="宋体" w:cs="宋体"/>
          <w:b w:val="0"/>
          <w:bCs w:val="0"/>
          <w:color w:val="000000"/>
          <w:sz w:val="22"/>
          <w:szCs w:val="22"/>
          <w:highlight w:val="none"/>
        </w:rPr>
        <w:t xml:space="preserve">.1 所有产品质量必须符合国家有关规范和相关政策。必须是未使用过的新产品，质量优良、渠道正当。 </w:t>
      </w:r>
    </w:p>
    <w:p w14:paraId="4BBEEE3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1</w:t>
      </w:r>
      <w:r>
        <w:rPr>
          <w:rFonts w:hint="eastAsia" w:ascii="宋体" w:hAnsi="宋体" w:eastAsia="宋体" w:cs="宋体"/>
          <w:b w:val="0"/>
          <w:bCs w:val="0"/>
          <w:color w:val="000000"/>
          <w:sz w:val="22"/>
          <w:szCs w:val="22"/>
          <w:highlight w:val="none"/>
          <w:lang w:val="en-US" w:eastAsia="zh-CN"/>
        </w:rPr>
        <w:t>2</w:t>
      </w:r>
      <w:r>
        <w:rPr>
          <w:rFonts w:hint="eastAsia" w:ascii="宋体" w:hAnsi="宋体" w:eastAsia="宋体" w:cs="宋体"/>
          <w:b w:val="0"/>
          <w:bCs w:val="0"/>
          <w:color w:val="000000"/>
          <w:sz w:val="22"/>
          <w:szCs w:val="22"/>
          <w:highlight w:val="none"/>
        </w:rPr>
        <w:t xml:space="preserve">、违约责任： </w:t>
      </w:r>
    </w:p>
    <w:p w14:paraId="579DE88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1</w:t>
      </w:r>
      <w:r>
        <w:rPr>
          <w:rFonts w:hint="eastAsia" w:ascii="宋体" w:hAnsi="宋体" w:eastAsia="宋体" w:cs="宋体"/>
          <w:b w:val="0"/>
          <w:bCs w:val="0"/>
          <w:color w:val="000000"/>
          <w:sz w:val="22"/>
          <w:szCs w:val="22"/>
          <w:highlight w:val="none"/>
          <w:lang w:val="en-US" w:eastAsia="zh-CN"/>
        </w:rPr>
        <w:t>2</w:t>
      </w:r>
      <w:r>
        <w:rPr>
          <w:rFonts w:hint="eastAsia" w:ascii="宋体" w:hAnsi="宋体" w:eastAsia="宋体" w:cs="宋体"/>
          <w:b w:val="0"/>
          <w:bCs w:val="0"/>
          <w:color w:val="000000"/>
          <w:sz w:val="22"/>
          <w:szCs w:val="22"/>
          <w:highlight w:val="none"/>
        </w:rPr>
        <w:t xml:space="preserve">.1 按《中华人民共和国民法典》中的相关条款执行。 </w:t>
      </w:r>
    </w:p>
    <w:p w14:paraId="5D3BC5D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rPr>
        <w:t>1</w:t>
      </w:r>
      <w:r>
        <w:rPr>
          <w:rFonts w:hint="eastAsia" w:ascii="宋体" w:hAnsi="宋体" w:eastAsia="宋体" w:cs="宋体"/>
          <w:b w:val="0"/>
          <w:bCs w:val="0"/>
          <w:color w:val="000000"/>
          <w:sz w:val="22"/>
          <w:szCs w:val="22"/>
          <w:highlight w:val="none"/>
          <w:lang w:val="en-US" w:eastAsia="zh-CN"/>
        </w:rPr>
        <w:t>2</w:t>
      </w:r>
      <w:r>
        <w:rPr>
          <w:rFonts w:hint="eastAsia" w:ascii="宋体" w:hAnsi="宋体" w:eastAsia="宋体" w:cs="宋体"/>
          <w:b w:val="0"/>
          <w:bCs w:val="0"/>
          <w:color w:val="000000"/>
          <w:sz w:val="22"/>
          <w:szCs w:val="22"/>
          <w:highlight w:val="none"/>
        </w:rPr>
        <w:t xml:space="preserve">.2 未按合同要求提供产品或设备质量不能满足技术要求，采购人有权终止合同，并对供方违约行为进行追究，同时按《政府采购法》的有关规定进行处罚。 </w:t>
      </w:r>
      <w:r>
        <w:rPr>
          <w:rFonts w:hint="eastAsia" w:ascii="宋体" w:hAnsi="宋体" w:eastAsia="宋体" w:cs="宋体"/>
          <w:b w:val="0"/>
          <w:bCs w:val="0"/>
          <w:color w:val="000000"/>
          <w:sz w:val="22"/>
          <w:szCs w:val="22"/>
          <w:highlight w:val="none"/>
          <w:lang w:val="en-US" w:eastAsia="zh-CN"/>
        </w:rPr>
        <w:t xml:space="preserve">   </w:t>
      </w:r>
    </w:p>
    <w:p w14:paraId="1AE5F2C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1</w:t>
      </w:r>
      <w:r>
        <w:rPr>
          <w:rFonts w:hint="eastAsia" w:ascii="宋体" w:hAnsi="宋体" w:eastAsia="宋体" w:cs="宋体"/>
          <w:b w:val="0"/>
          <w:bCs w:val="0"/>
          <w:color w:val="000000"/>
          <w:sz w:val="22"/>
          <w:szCs w:val="22"/>
          <w:highlight w:val="none"/>
          <w:lang w:val="en-US" w:eastAsia="zh-CN"/>
        </w:rPr>
        <w:t>3</w:t>
      </w:r>
      <w:r>
        <w:rPr>
          <w:rFonts w:hint="eastAsia" w:ascii="宋体" w:hAnsi="宋体" w:eastAsia="宋体" w:cs="宋体"/>
          <w:b w:val="0"/>
          <w:bCs w:val="0"/>
          <w:color w:val="000000"/>
          <w:sz w:val="22"/>
          <w:szCs w:val="22"/>
          <w:highlight w:val="none"/>
        </w:rPr>
        <w:t>、本合同一式肆份，</w:t>
      </w:r>
      <w:r>
        <w:rPr>
          <w:rFonts w:hint="eastAsia" w:ascii="宋体" w:hAnsi="宋体" w:eastAsia="宋体" w:cs="宋体"/>
          <w:b w:val="0"/>
          <w:bCs w:val="0"/>
          <w:color w:val="000000"/>
          <w:sz w:val="22"/>
          <w:szCs w:val="22"/>
          <w:highlight w:val="none"/>
          <w:lang w:eastAsia="zh-CN"/>
        </w:rPr>
        <w:t>甲方</w:t>
      </w:r>
      <w:r>
        <w:rPr>
          <w:rFonts w:hint="eastAsia" w:ascii="宋体" w:hAnsi="宋体" w:eastAsia="宋体" w:cs="宋体"/>
          <w:b w:val="0"/>
          <w:bCs w:val="0"/>
          <w:color w:val="000000"/>
          <w:sz w:val="22"/>
          <w:szCs w:val="22"/>
          <w:highlight w:val="none"/>
        </w:rPr>
        <w:t>贰份，</w:t>
      </w:r>
      <w:r>
        <w:rPr>
          <w:rFonts w:hint="eastAsia" w:ascii="宋体" w:hAnsi="宋体" w:eastAsia="宋体" w:cs="宋体"/>
          <w:b w:val="0"/>
          <w:bCs w:val="0"/>
          <w:color w:val="000000"/>
          <w:sz w:val="22"/>
          <w:szCs w:val="22"/>
          <w:highlight w:val="none"/>
          <w:lang w:eastAsia="zh-CN"/>
        </w:rPr>
        <w:t>乙</w:t>
      </w:r>
      <w:r>
        <w:rPr>
          <w:rFonts w:hint="eastAsia" w:ascii="宋体" w:hAnsi="宋体" w:eastAsia="宋体" w:cs="宋体"/>
          <w:b w:val="0"/>
          <w:bCs w:val="0"/>
          <w:color w:val="000000"/>
          <w:sz w:val="22"/>
          <w:szCs w:val="22"/>
          <w:highlight w:val="none"/>
        </w:rPr>
        <w:t xml:space="preserve">方贰份。  </w:t>
      </w:r>
    </w:p>
    <w:p w14:paraId="78FACF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firstLine="440" w:firstLineChars="200"/>
        <w:textAlignment w:val="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1</w:t>
      </w:r>
      <w:r>
        <w:rPr>
          <w:rFonts w:hint="eastAsia" w:ascii="宋体" w:hAnsi="宋体" w:eastAsia="宋体" w:cs="宋体"/>
          <w:b w:val="0"/>
          <w:bCs w:val="0"/>
          <w:color w:val="000000"/>
          <w:sz w:val="22"/>
          <w:szCs w:val="22"/>
          <w:highlight w:val="none"/>
          <w:lang w:val="en-US" w:eastAsia="zh-CN"/>
        </w:rPr>
        <w:t>4</w:t>
      </w:r>
      <w:r>
        <w:rPr>
          <w:rFonts w:hint="eastAsia" w:ascii="宋体" w:hAnsi="宋体" w:eastAsia="宋体" w:cs="宋体"/>
          <w:b w:val="0"/>
          <w:bCs w:val="0"/>
          <w:color w:val="000000"/>
          <w:sz w:val="22"/>
          <w:szCs w:val="22"/>
          <w:highlight w:val="none"/>
        </w:rPr>
        <w:t>、本合同由</w:t>
      </w:r>
      <w:r>
        <w:rPr>
          <w:rFonts w:hint="eastAsia" w:ascii="宋体" w:hAnsi="宋体" w:eastAsia="宋体" w:cs="宋体"/>
          <w:b w:val="0"/>
          <w:bCs w:val="0"/>
          <w:color w:val="000000"/>
          <w:sz w:val="22"/>
          <w:szCs w:val="22"/>
          <w:highlight w:val="none"/>
          <w:lang w:eastAsia="zh-CN"/>
        </w:rPr>
        <w:t>甲乙</w:t>
      </w:r>
      <w:r>
        <w:rPr>
          <w:rFonts w:hint="eastAsia" w:ascii="宋体" w:hAnsi="宋体" w:eastAsia="宋体" w:cs="宋体"/>
          <w:b w:val="0"/>
          <w:bCs w:val="0"/>
          <w:color w:val="000000"/>
          <w:sz w:val="22"/>
          <w:szCs w:val="22"/>
          <w:highlight w:val="none"/>
        </w:rPr>
        <w:t>双方共同签字盖章，自双方共同签字盖章之日起生效。</w:t>
      </w:r>
    </w:p>
    <w:p w14:paraId="3EAE80A1">
      <w:pPr>
        <w:pStyle w:val="2"/>
        <w:pageBreakBefore w:val="0"/>
        <w:overflowPunct/>
        <w:bidi w:val="0"/>
        <w:spacing w:line="520" w:lineRule="exact"/>
        <w:ind w:left="0" w:leftChars="0" w:firstLine="0" w:firstLineChars="0"/>
        <w:rPr>
          <w:rFonts w:hint="eastAsia"/>
          <w:highlight w:val="none"/>
        </w:rPr>
      </w:pPr>
    </w:p>
    <w:tbl>
      <w:tblPr>
        <w:tblStyle w:val="31"/>
        <w:tblpPr w:leftFromText="180" w:rightFromText="180" w:vertAnchor="text" w:horzAnchor="page" w:tblpX="1661" w:tblpY="100"/>
        <w:tblOverlap w:val="never"/>
        <w:tblW w:w="0" w:type="auto"/>
        <w:tblInd w:w="0" w:type="dxa"/>
        <w:tblLayout w:type="fixed"/>
        <w:tblCellMar>
          <w:top w:w="0" w:type="dxa"/>
          <w:left w:w="108" w:type="dxa"/>
          <w:bottom w:w="0" w:type="dxa"/>
          <w:right w:w="108" w:type="dxa"/>
        </w:tblCellMar>
      </w:tblPr>
      <w:tblGrid>
        <w:gridCol w:w="4229"/>
        <w:gridCol w:w="4850"/>
      </w:tblGrid>
      <w:tr w14:paraId="45B8B562">
        <w:tblPrEx>
          <w:tblCellMar>
            <w:top w:w="0" w:type="dxa"/>
            <w:left w:w="108" w:type="dxa"/>
            <w:bottom w:w="0" w:type="dxa"/>
            <w:right w:w="108" w:type="dxa"/>
          </w:tblCellMar>
        </w:tblPrEx>
        <w:trPr>
          <w:trHeight w:val="707" w:hRule="exact"/>
        </w:trPr>
        <w:tc>
          <w:tcPr>
            <w:tcW w:w="4229" w:type="dxa"/>
            <w:noWrap w:val="0"/>
            <w:vAlign w:val="center"/>
          </w:tcPr>
          <w:p w14:paraId="731D3C83">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甲  方</w:t>
            </w:r>
          </w:p>
        </w:tc>
        <w:tc>
          <w:tcPr>
            <w:tcW w:w="4850" w:type="dxa"/>
            <w:noWrap w:val="0"/>
            <w:vAlign w:val="center"/>
          </w:tcPr>
          <w:p w14:paraId="61A52B9A">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乙  方</w:t>
            </w:r>
          </w:p>
        </w:tc>
      </w:tr>
      <w:tr w14:paraId="4B08E1F8">
        <w:tblPrEx>
          <w:tblCellMar>
            <w:top w:w="0" w:type="dxa"/>
            <w:left w:w="108" w:type="dxa"/>
            <w:bottom w:w="0" w:type="dxa"/>
            <w:right w:w="108" w:type="dxa"/>
          </w:tblCellMar>
        </w:tblPrEx>
        <w:trPr>
          <w:trHeight w:val="707" w:hRule="exact"/>
        </w:trPr>
        <w:tc>
          <w:tcPr>
            <w:tcW w:w="4229" w:type="dxa"/>
            <w:noWrap w:val="0"/>
            <w:vAlign w:val="center"/>
          </w:tcPr>
          <w:p w14:paraId="33C0E21E">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（盖章）</w:t>
            </w:r>
          </w:p>
        </w:tc>
        <w:tc>
          <w:tcPr>
            <w:tcW w:w="4850" w:type="dxa"/>
            <w:noWrap w:val="0"/>
            <w:vAlign w:val="center"/>
          </w:tcPr>
          <w:p w14:paraId="687E6FB7">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（盖章）</w:t>
            </w:r>
          </w:p>
        </w:tc>
      </w:tr>
      <w:tr w14:paraId="08CA2926">
        <w:tblPrEx>
          <w:tblCellMar>
            <w:top w:w="0" w:type="dxa"/>
            <w:left w:w="108" w:type="dxa"/>
            <w:bottom w:w="0" w:type="dxa"/>
            <w:right w:w="108" w:type="dxa"/>
          </w:tblCellMar>
        </w:tblPrEx>
        <w:trPr>
          <w:trHeight w:val="707" w:hRule="exact"/>
        </w:trPr>
        <w:tc>
          <w:tcPr>
            <w:tcW w:w="4229" w:type="dxa"/>
            <w:noWrap w:val="0"/>
            <w:vAlign w:val="center"/>
          </w:tcPr>
          <w:p w14:paraId="6BD51FE8">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 </w:t>
            </w:r>
          </w:p>
        </w:tc>
        <w:tc>
          <w:tcPr>
            <w:tcW w:w="4850" w:type="dxa"/>
            <w:noWrap w:val="0"/>
            <w:vAlign w:val="center"/>
          </w:tcPr>
          <w:p w14:paraId="2B723D3F">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地址：</w:t>
            </w:r>
          </w:p>
        </w:tc>
      </w:tr>
      <w:tr w14:paraId="21061901">
        <w:tblPrEx>
          <w:tblCellMar>
            <w:top w:w="0" w:type="dxa"/>
            <w:left w:w="108" w:type="dxa"/>
            <w:bottom w:w="0" w:type="dxa"/>
            <w:right w:w="108" w:type="dxa"/>
          </w:tblCellMar>
        </w:tblPrEx>
        <w:trPr>
          <w:trHeight w:val="707" w:hRule="exact"/>
        </w:trPr>
        <w:tc>
          <w:tcPr>
            <w:tcW w:w="4229" w:type="dxa"/>
            <w:noWrap w:val="0"/>
            <w:vAlign w:val="center"/>
          </w:tcPr>
          <w:p w14:paraId="1B3F2B9F">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邮编：</w:t>
            </w:r>
          </w:p>
        </w:tc>
        <w:tc>
          <w:tcPr>
            <w:tcW w:w="4850" w:type="dxa"/>
            <w:noWrap w:val="0"/>
            <w:vAlign w:val="center"/>
          </w:tcPr>
          <w:p w14:paraId="4F21A449">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邮编：</w:t>
            </w:r>
          </w:p>
        </w:tc>
      </w:tr>
      <w:tr w14:paraId="71A0E9CA">
        <w:tblPrEx>
          <w:tblCellMar>
            <w:top w:w="0" w:type="dxa"/>
            <w:left w:w="108" w:type="dxa"/>
            <w:bottom w:w="0" w:type="dxa"/>
            <w:right w:w="108" w:type="dxa"/>
          </w:tblCellMar>
        </w:tblPrEx>
        <w:trPr>
          <w:trHeight w:val="707" w:hRule="exact"/>
        </w:trPr>
        <w:tc>
          <w:tcPr>
            <w:tcW w:w="4229" w:type="dxa"/>
            <w:noWrap w:val="0"/>
            <w:vAlign w:val="center"/>
          </w:tcPr>
          <w:p w14:paraId="0EA2962C">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法定代表人（授权代表）： </w:t>
            </w:r>
          </w:p>
        </w:tc>
        <w:tc>
          <w:tcPr>
            <w:tcW w:w="4850" w:type="dxa"/>
            <w:noWrap w:val="0"/>
            <w:vAlign w:val="center"/>
          </w:tcPr>
          <w:p w14:paraId="62B72E76">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法定代表人（授权代表）：</w:t>
            </w:r>
          </w:p>
        </w:tc>
      </w:tr>
      <w:tr w14:paraId="3A6CDA72">
        <w:tblPrEx>
          <w:tblCellMar>
            <w:top w:w="0" w:type="dxa"/>
            <w:left w:w="108" w:type="dxa"/>
            <w:bottom w:w="0" w:type="dxa"/>
            <w:right w:w="108" w:type="dxa"/>
          </w:tblCellMar>
        </w:tblPrEx>
        <w:trPr>
          <w:trHeight w:val="707" w:hRule="exact"/>
        </w:trPr>
        <w:tc>
          <w:tcPr>
            <w:tcW w:w="4229" w:type="dxa"/>
            <w:noWrap w:val="0"/>
            <w:vAlign w:val="center"/>
          </w:tcPr>
          <w:p w14:paraId="1F75E213">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日期：</w:t>
            </w:r>
          </w:p>
        </w:tc>
        <w:tc>
          <w:tcPr>
            <w:tcW w:w="4850" w:type="dxa"/>
            <w:noWrap w:val="0"/>
            <w:vAlign w:val="center"/>
          </w:tcPr>
          <w:p w14:paraId="631FE41E">
            <w:pPr>
              <w:pageBreakBefore w:val="0"/>
              <w:overflowPunct/>
              <w:bidi w:val="0"/>
              <w:spacing w:line="52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日期：</w:t>
            </w:r>
          </w:p>
        </w:tc>
      </w:tr>
    </w:tbl>
    <w:p w14:paraId="21E90D80">
      <w:pPr>
        <w:keepNext w:val="0"/>
        <w:keepLines w:val="0"/>
        <w:pageBreakBefore w:val="0"/>
        <w:widowControl w:val="0"/>
        <w:kinsoku/>
        <w:wordWrap/>
        <w:overflowPunct/>
        <w:topLinePunct w:val="0"/>
        <w:autoSpaceDE/>
        <w:autoSpaceDN/>
        <w:bidi w:val="0"/>
        <w:adjustRightInd w:val="0"/>
        <w:snapToGrid w:val="0"/>
        <w:spacing w:line="520" w:lineRule="exact"/>
        <w:ind w:left="0" w:firstLine="960" w:firstLineChars="200"/>
        <w:textAlignment w:val="auto"/>
        <w:rPr>
          <w:rFonts w:hint="eastAsia" w:ascii="宋体" w:hAnsi="宋体" w:eastAsia="宋体" w:cs="宋体"/>
          <w:sz w:val="22"/>
          <w:szCs w:val="22"/>
          <w:highlight w:val="none"/>
        </w:rPr>
      </w:pPr>
      <w:r>
        <w:rPr>
          <w:rFonts w:hint="eastAsia" w:ascii="宋体" w:hAnsi="宋体" w:eastAsia="宋体" w:cs="宋体"/>
          <w:b w:val="0"/>
          <w:bCs/>
          <w:kern w:val="44"/>
          <w:sz w:val="48"/>
          <w:szCs w:val="48"/>
          <w:highlight w:val="none"/>
          <w:lang w:val="en-US" w:eastAsia="zh-CN" w:bidi="ar-SA"/>
        </w:rPr>
        <w:br w:type="page"/>
      </w:r>
    </w:p>
    <w:p w14:paraId="6771C583">
      <w:pPr>
        <w:keepNext w:val="0"/>
        <w:keepLines w:val="0"/>
        <w:pageBreakBefore w:val="0"/>
        <w:widowControl w:val="0"/>
        <w:kinsoku/>
        <w:wordWrap/>
        <w:overflowPunct/>
        <w:topLinePunct w:val="0"/>
        <w:autoSpaceDE/>
        <w:autoSpaceDN/>
        <w:bidi w:val="0"/>
        <w:spacing w:line="520" w:lineRule="exact"/>
        <w:textAlignment w:val="auto"/>
        <w:rPr>
          <w:rFonts w:hint="eastAsia" w:ascii="仿宋" w:hAnsi="仿宋" w:eastAsia="仿宋" w:cs="仿宋"/>
          <w:b/>
          <w:kern w:val="0"/>
          <w:sz w:val="32"/>
          <w:szCs w:val="32"/>
          <w:highlight w:val="none"/>
        </w:rPr>
        <w:sectPr>
          <w:footerReference r:id="rId11" w:type="first"/>
          <w:footerReference r:id="rId10" w:type="default"/>
          <w:pgSz w:w="11906" w:h="16838"/>
          <w:pgMar w:top="1417" w:right="1417" w:bottom="1417" w:left="1559" w:header="850" w:footer="992" w:gutter="0"/>
          <w:pgBorders>
            <w:top w:val="none" w:sz="0" w:space="0"/>
            <w:left w:val="none" w:sz="0" w:space="0"/>
            <w:bottom w:val="none" w:sz="0" w:space="0"/>
            <w:right w:val="none" w:sz="0" w:space="0"/>
          </w:pgBorders>
          <w:pgNumType w:fmt="decimal" w:start="1"/>
          <w:cols w:space="0" w:num="1"/>
          <w:rtlGutter w:val="0"/>
          <w:docGrid w:type="lines" w:linePitch="312" w:charSpace="0"/>
        </w:sectPr>
      </w:pPr>
    </w:p>
    <w:p w14:paraId="058EC827">
      <w:pPr>
        <w:pStyle w:val="4"/>
        <w:keepNext/>
        <w:keepLines w:val="0"/>
        <w:pageBreakBefore w:val="0"/>
        <w:widowControl w:val="0"/>
        <w:numPr>
          <w:ilvl w:val="0"/>
          <w:numId w:val="7"/>
        </w:numPr>
        <w:kinsoku/>
        <w:wordWrap/>
        <w:overflowPunct/>
        <w:topLinePunct w:val="0"/>
        <w:autoSpaceDE/>
        <w:autoSpaceDN/>
        <w:bidi w:val="0"/>
        <w:adjustRightInd/>
        <w:snapToGrid/>
        <w:spacing w:before="0" w:after="0" w:line="520" w:lineRule="exact"/>
        <w:ind w:left="562" w:leftChars="0"/>
        <w:jc w:val="center"/>
        <w:textAlignment w:val="auto"/>
        <w:rPr>
          <w:rFonts w:hint="eastAsia" w:ascii="宋体" w:hAnsi="宋体" w:eastAsia="宋体" w:cs="宋体"/>
          <w:kern w:val="0"/>
          <w:sz w:val="28"/>
          <w:szCs w:val="28"/>
          <w:highlight w:val="none"/>
        </w:rPr>
      </w:pPr>
      <w:bookmarkStart w:id="64" w:name="_Toc27073"/>
      <w:bookmarkStart w:id="65" w:name="_Toc495674334"/>
      <w:r>
        <w:rPr>
          <w:rFonts w:hint="eastAsia" w:ascii="宋体" w:hAnsi="宋体" w:eastAsia="宋体" w:cs="宋体"/>
          <w:kern w:val="0"/>
          <w:sz w:val="28"/>
          <w:szCs w:val="28"/>
          <w:highlight w:val="none"/>
        </w:rPr>
        <w:t xml:space="preserve"> </w:t>
      </w:r>
      <w:bookmarkEnd w:id="64"/>
      <w:bookmarkEnd w:id="65"/>
      <w:bookmarkStart w:id="66" w:name="_Toc10487"/>
      <w:r>
        <w:rPr>
          <w:rFonts w:hint="eastAsia" w:ascii="宋体" w:hAnsi="宋体" w:eastAsia="宋体" w:cs="宋体"/>
          <w:kern w:val="0"/>
          <w:sz w:val="28"/>
          <w:szCs w:val="28"/>
          <w:highlight w:val="none"/>
        </w:rPr>
        <w:t>采购</w:t>
      </w:r>
      <w:bookmarkEnd w:id="66"/>
      <w:r>
        <w:rPr>
          <w:rFonts w:hint="eastAsia" w:ascii="宋体" w:hAnsi="宋体" w:cs="宋体"/>
          <w:kern w:val="0"/>
          <w:sz w:val="28"/>
          <w:szCs w:val="28"/>
          <w:highlight w:val="none"/>
          <w:lang w:eastAsia="zh-CN"/>
        </w:rPr>
        <w:t>需求</w:t>
      </w:r>
    </w:p>
    <w:p w14:paraId="64328082">
      <w:pPr>
        <w:pageBreakBefore w:val="0"/>
        <w:widowControl w:val="0"/>
        <w:numPr>
          <w:ilvl w:val="0"/>
          <w:numId w:val="8"/>
        </w:numPr>
        <w:overflowPunct/>
        <w:bidi w:val="0"/>
        <w:spacing w:line="520" w:lineRule="exact"/>
        <w:ind w:left="0" w:leftChars="0" w:firstLine="0" w:firstLineChars="0"/>
        <w:jc w:val="both"/>
        <w:rPr>
          <w:rFonts w:hint="eastAsia" w:ascii="宋体" w:hAnsi="宋体" w:cs="宋体"/>
          <w:b/>
          <w:bCs/>
          <w:color w:val="000000"/>
          <w:sz w:val="24"/>
          <w:szCs w:val="24"/>
          <w:highlight w:val="none"/>
          <w:lang w:eastAsia="zh-CN"/>
        </w:rPr>
      </w:pPr>
      <w:r>
        <w:rPr>
          <w:rFonts w:ascii="宋体" w:hAnsi="宋体" w:eastAsia="宋体" w:cs="宋体"/>
          <w:b/>
          <w:bCs/>
          <w:color w:val="000000"/>
          <w:sz w:val="24"/>
          <w:szCs w:val="24"/>
          <w:highlight w:val="none"/>
        </w:rPr>
        <w:t>采购</w:t>
      </w:r>
      <w:r>
        <w:rPr>
          <w:rFonts w:hint="eastAsia" w:ascii="宋体" w:hAnsi="宋体" w:cs="宋体"/>
          <w:b/>
          <w:bCs/>
          <w:color w:val="000000"/>
          <w:sz w:val="24"/>
          <w:szCs w:val="24"/>
          <w:highlight w:val="none"/>
          <w:lang w:eastAsia="zh-CN"/>
        </w:rPr>
        <w:t>清单</w:t>
      </w:r>
    </w:p>
    <w:p w14:paraId="3749A22E">
      <w:pPr>
        <w:pStyle w:val="2"/>
        <w:widowControl w:val="0"/>
        <w:numPr>
          <w:ilvl w:val="0"/>
          <w:numId w:val="0"/>
        </w:numPr>
        <w:jc w:val="both"/>
        <w:rPr>
          <w:rFonts w:hint="eastAsia"/>
          <w:highlight w:val="none"/>
          <w:lang w:eastAsia="zh-CN"/>
        </w:rPr>
      </w:pPr>
    </w:p>
    <w:tbl>
      <w:tblPr>
        <w:tblStyle w:val="31"/>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2"/>
        <w:gridCol w:w="983"/>
        <w:gridCol w:w="983"/>
        <w:gridCol w:w="3285"/>
        <w:gridCol w:w="1498"/>
        <w:gridCol w:w="1399"/>
      </w:tblGrid>
      <w:tr w14:paraId="3C4A8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867CB">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2874" w:type="pct"/>
            <w:gridSpan w:val="3"/>
            <w:tcBorders>
              <w:top w:val="single" w:color="000000" w:sz="4" w:space="0"/>
              <w:left w:val="single" w:color="000000" w:sz="4" w:space="0"/>
              <w:bottom w:val="single" w:color="000000" w:sz="4" w:space="0"/>
              <w:right w:val="single" w:color="auto" w:sz="4" w:space="0"/>
            </w:tcBorders>
            <w:shd w:val="clear" w:color="auto" w:fill="auto"/>
            <w:vAlign w:val="center"/>
          </w:tcPr>
          <w:p w14:paraId="0BED57D4">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标的</w:t>
            </w:r>
            <w:r>
              <w:rPr>
                <w:rFonts w:hint="eastAsia" w:ascii="宋体" w:hAnsi="宋体" w:eastAsia="宋体" w:cs="宋体"/>
                <w:b/>
                <w:bCs/>
                <w:i w:val="0"/>
                <w:iCs w:val="0"/>
                <w:color w:val="000000"/>
                <w:kern w:val="0"/>
                <w:sz w:val="22"/>
                <w:szCs w:val="22"/>
                <w:highlight w:val="none"/>
                <w:u w:val="none"/>
                <w:lang w:val="en-US" w:eastAsia="zh-CN" w:bidi="ar"/>
              </w:rPr>
              <w:t>名称</w:t>
            </w:r>
          </w:p>
        </w:tc>
        <w:tc>
          <w:tcPr>
            <w:tcW w:w="82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CE95D9">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单位</w:t>
            </w:r>
          </w:p>
        </w:tc>
        <w:tc>
          <w:tcPr>
            <w:tcW w:w="76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EA7D9D">
            <w:pP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数量</w:t>
            </w:r>
          </w:p>
        </w:tc>
      </w:tr>
      <w:tr w14:paraId="2E5FB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restart"/>
            <w:tcBorders>
              <w:top w:val="single" w:color="000000" w:sz="4" w:space="0"/>
              <w:left w:val="single" w:color="000000" w:sz="4" w:space="0"/>
              <w:right w:val="single" w:color="000000" w:sz="4" w:space="0"/>
            </w:tcBorders>
            <w:shd w:val="clear" w:color="auto" w:fill="auto"/>
            <w:vAlign w:val="center"/>
          </w:tcPr>
          <w:p w14:paraId="5F72B249">
            <w:pPr>
              <w:jc w:val="center"/>
              <w:rPr>
                <w:rFonts w:hint="eastAsia" w:ascii="宋体" w:hAnsi="宋体" w:eastAsia="宋体" w:cs="宋体"/>
                <w:b/>
                <w:bCs/>
                <w:i w:val="0"/>
                <w:iCs w:val="0"/>
                <w:color w:val="000000"/>
                <w:sz w:val="22"/>
                <w:szCs w:val="22"/>
                <w:highlight w:val="none"/>
                <w:u w:val="none"/>
                <w:lang w:val="en-US" w:eastAsia="zh-CN"/>
              </w:rPr>
            </w:pPr>
            <w:r>
              <w:rPr>
                <w:rFonts w:hint="eastAsia" w:ascii="宋体" w:hAnsi="宋体" w:cs="宋体"/>
                <w:b w:val="0"/>
                <w:bCs w:val="0"/>
                <w:i w:val="0"/>
                <w:iCs w:val="0"/>
                <w:color w:val="000000"/>
                <w:sz w:val="22"/>
                <w:szCs w:val="22"/>
                <w:highlight w:val="none"/>
                <w:u w:val="none"/>
                <w:lang w:val="en-US" w:eastAsia="zh-CN"/>
              </w:rPr>
              <w:t>1</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D4A2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救护防护物资</w:t>
            </w: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070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大型捕兽笼</w:t>
            </w:r>
          </w:p>
        </w:tc>
        <w:tc>
          <w:tcPr>
            <w:tcW w:w="820" w:type="pct"/>
            <w:tcBorders>
              <w:top w:val="single" w:color="auto" w:sz="4" w:space="0"/>
              <w:left w:val="single" w:color="000000" w:sz="4" w:space="0"/>
              <w:bottom w:val="single" w:color="000000" w:sz="4" w:space="0"/>
              <w:right w:val="single" w:color="000000" w:sz="4" w:space="0"/>
            </w:tcBorders>
            <w:shd w:val="clear" w:color="auto" w:fill="auto"/>
            <w:vAlign w:val="center"/>
          </w:tcPr>
          <w:p w14:paraId="47107D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auto" w:sz="4" w:space="0"/>
              <w:left w:val="single" w:color="000000" w:sz="4" w:space="0"/>
              <w:bottom w:val="single" w:color="000000" w:sz="4" w:space="0"/>
              <w:right w:val="single" w:color="000000" w:sz="4" w:space="0"/>
            </w:tcBorders>
            <w:shd w:val="clear" w:color="auto" w:fill="auto"/>
            <w:vAlign w:val="center"/>
          </w:tcPr>
          <w:p w14:paraId="13E0E1B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3</w:t>
            </w:r>
          </w:p>
        </w:tc>
      </w:tr>
      <w:tr w14:paraId="33BCC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0FC35">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3C322">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DACC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中型野生动物专用笼</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FE6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ADA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0E4C0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83BA4">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8D3D8">
            <w:pPr>
              <w:jc w:val="center"/>
              <w:rPr>
                <w:rFonts w:hint="eastAsia" w:ascii="宋体" w:hAnsi="宋体" w:eastAsia="宋体" w:cs="宋体"/>
                <w:i w:val="0"/>
                <w:iCs w:val="0"/>
                <w:color w:val="000000"/>
                <w:sz w:val="22"/>
                <w:szCs w:val="22"/>
                <w:highlight w:val="none"/>
                <w:u w:val="none"/>
              </w:rPr>
            </w:pP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5AC8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救护网</w:t>
            </w: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C64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大型救护网</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16C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29F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r>
      <w:tr w14:paraId="7D170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937D0">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C0316">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FC92C">
            <w:pPr>
              <w:jc w:val="center"/>
              <w:rPr>
                <w:rFonts w:hint="eastAsia" w:ascii="宋体" w:hAnsi="宋体" w:eastAsia="宋体" w:cs="宋体"/>
                <w:i w:val="0"/>
                <w:iCs w:val="0"/>
                <w:color w:val="000000"/>
                <w:sz w:val="22"/>
                <w:szCs w:val="22"/>
                <w:highlight w:val="none"/>
                <w:u w:val="none"/>
              </w:rPr>
            </w:pP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533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中型救护网</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700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3F0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r>
      <w:tr w14:paraId="3484F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9CF4C">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75F9B">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F306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野生动物救护专用防护头盔</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81E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B50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r>
      <w:tr w14:paraId="4A3FE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231CC">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05C6B">
            <w:pPr>
              <w:jc w:val="center"/>
              <w:rPr>
                <w:rFonts w:hint="eastAsia" w:ascii="宋体" w:hAnsi="宋体" w:eastAsia="宋体" w:cs="宋体"/>
                <w:i w:val="0"/>
                <w:iCs w:val="0"/>
                <w:color w:val="000000"/>
                <w:sz w:val="22"/>
                <w:szCs w:val="22"/>
                <w:highlight w:val="none"/>
                <w:u w:val="none"/>
              </w:rPr>
            </w:pP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F78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防滑防水手套</w:t>
            </w: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C4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轻型</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6FC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ECD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r>
      <w:tr w14:paraId="55912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2DB1D">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4AD9E">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592BA">
            <w:pPr>
              <w:jc w:val="center"/>
              <w:rPr>
                <w:rFonts w:hint="eastAsia" w:ascii="宋体" w:hAnsi="宋体" w:eastAsia="宋体" w:cs="宋体"/>
                <w:i w:val="0"/>
                <w:iCs w:val="0"/>
                <w:color w:val="000000"/>
                <w:sz w:val="22"/>
                <w:szCs w:val="22"/>
                <w:highlight w:val="none"/>
                <w:u w:val="none"/>
              </w:rPr>
            </w:pP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A51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30E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9B01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10</w:t>
            </w:r>
          </w:p>
        </w:tc>
      </w:tr>
      <w:tr w14:paraId="07A8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9F35B">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3348B">
            <w:pPr>
              <w:jc w:val="center"/>
              <w:rPr>
                <w:rFonts w:hint="eastAsia" w:ascii="宋体" w:hAnsi="宋体" w:eastAsia="宋体" w:cs="宋体"/>
                <w:i w:val="0"/>
                <w:iCs w:val="0"/>
                <w:color w:val="000000"/>
                <w:sz w:val="22"/>
                <w:szCs w:val="22"/>
                <w:highlight w:val="none"/>
                <w:u w:val="none"/>
              </w:rPr>
            </w:pP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E1E4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防咬手套</w:t>
            </w: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974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基础级</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952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4B9A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10</w:t>
            </w:r>
          </w:p>
        </w:tc>
      </w:tr>
      <w:tr w14:paraId="590E2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83C84">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A67B0">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345F6">
            <w:pPr>
              <w:jc w:val="center"/>
              <w:rPr>
                <w:rFonts w:hint="eastAsia" w:ascii="宋体" w:hAnsi="宋体" w:eastAsia="宋体" w:cs="宋体"/>
                <w:i w:val="0"/>
                <w:iCs w:val="0"/>
                <w:color w:val="000000"/>
                <w:sz w:val="22"/>
                <w:szCs w:val="22"/>
                <w:highlight w:val="none"/>
                <w:u w:val="none"/>
              </w:rPr>
            </w:pP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E77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进阶级</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F85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2FB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20DB0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5CA4D">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34E53">
            <w:pPr>
              <w:jc w:val="center"/>
              <w:rPr>
                <w:rFonts w:hint="eastAsia" w:ascii="宋体" w:hAnsi="宋体" w:eastAsia="宋体" w:cs="宋体"/>
                <w:i w:val="0"/>
                <w:iCs w:val="0"/>
                <w:color w:val="000000"/>
                <w:sz w:val="22"/>
                <w:szCs w:val="22"/>
                <w:highlight w:val="none"/>
                <w:u w:val="none"/>
              </w:rPr>
            </w:pP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3571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鸟笼</w:t>
            </w: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549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小型鸟类用笼</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7B8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10E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2793D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C98AD">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8D89A">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1C382">
            <w:pPr>
              <w:jc w:val="center"/>
              <w:rPr>
                <w:rFonts w:hint="eastAsia" w:ascii="宋体" w:hAnsi="宋体" w:eastAsia="宋体" w:cs="宋体"/>
                <w:i w:val="0"/>
                <w:iCs w:val="0"/>
                <w:color w:val="000000"/>
                <w:sz w:val="22"/>
                <w:szCs w:val="22"/>
                <w:highlight w:val="none"/>
                <w:u w:val="none"/>
              </w:rPr>
            </w:pP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7F0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中型鸟类用笼</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16C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DF1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r>
      <w:tr w14:paraId="25BD0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CA8EC">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E64FF">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E188F">
            <w:pPr>
              <w:jc w:val="center"/>
              <w:rPr>
                <w:rFonts w:hint="eastAsia" w:ascii="宋体" w:hAnsi="宋体" w:eastAsia="宋体" w:cs="宋体"/>
                <w:i w:val="0"/>
                <w:iCs w:val="0"/>
                <w:color w:val="000000"/>
                <w:sz w:val="22"/>
                <w:szCs w:val="22"/>
                <w:highlight w:val="none"/>
                <w:u w:val="none"/>
              </w:rPr>
            </w:pPr>
          </w:p>
        </w:tc>
        <w:tc>
          <w:tcPr>
            <w:tcW w:w="1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EED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大型鸟类用笼</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D28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F30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4A589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69D9B">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9C7E7">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998E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充电式手电</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222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85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4D4D0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C7580">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F5690">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1A1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捕蛇夹</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6BC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917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r>
      <w:tr w14:paraId="61C5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A1394">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3B5D8">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59FF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医用一次性手套</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503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A02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r>
      <w:tr w14:paraId="5D7A9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53217">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1A5B6">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8F96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医用一次性防护服</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6F7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套</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E1D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r>
      <w:tr w14:paraId="6335A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FADE8">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55E7A">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4753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医用一次性头套</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2A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袋</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C2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r>
      <w:tr w14:paraId="6BE01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8F735">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5BEA1">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260F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护目镜</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E34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597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r>
      <w:tr w14:paraId="00D08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22B41">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292D3">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6A94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救护动物一次性食盒</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401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60F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w:t>
            </w:r>
          </w:p>
        </w:tc>
      </w:tr>
      <w:tr w14:paraId="4CEC8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83003">
            <w:pPr>
              <w:jc w:val="center"/>
              <w:rPr>
                <w:rFonts w:hint="eastAsia" w:ascii="宋体" w:hAnsi="宋体" w:eastAsia="宋体" w:cs="宋体"/>
                <w:b/>
                <w:bCs/>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5683A">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2CD0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普通线手套</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ABE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FBB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w:t>
            </w:r>
          </w:p>
        </w:tc>
      </w:tr>
      <w:tr w14:paraId="596CD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8B3C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E6D5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救护医疗器具</w:t>
            </w: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BFA0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手术台（含无影灯）</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191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D3C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04F0F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4230B">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6276E">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BC2B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医疗器械柜</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528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808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6DA0F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D844F">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02222">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DBD6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高温消毒柜</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57E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B38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120F4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F4986">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82FB3">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DC40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加氧保温饲养箱</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DAE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358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281F3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9CD69">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E3C8E">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24807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兽药冷藏柜</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30F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4A4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57365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CDE67">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433C3">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FBFF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紫外线灯</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994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盏</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6E5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1202C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7646C">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0B3CA">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715A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注射器</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732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3AE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w:t>
            </w:r>
          </w:p>
        </w:tc>
      </w:tr>
      <w:tr w14:paraId="6186C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C2CD0">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AF167">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533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输液器</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3FA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E22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w:t>
            </w:r>
          </w:p>
        </w:tc>
      </w:tr>
      <w:tr w14:paraId="05BAA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05DD1">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92364">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AD9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试剂管</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6FF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040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w:t>
            </w:r>
          </w:p>
        </w:tc>
      </w:tr>
      <w:tr w14:paraId="00670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40B70">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31D0B">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1D5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听诊器</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28F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2D4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07D34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1FFE7">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AC174">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F02F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体温表</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A52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E4D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r>
      <w:tr w14:paraId="01B46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B42FB">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88B12">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A1DF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手术刀</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A4E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片</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C1D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500</w:t>
            </w:r>
          </w:p>
        </w:tc>
      </w:tr>
      <w:tr w14:paraId="74E8F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A9DF2">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F66DF">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9045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手术剪</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25C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把</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C6A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r>
      <w:tr w14:paraId="3D65F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0F4A1">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A6AB7">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2E3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创巾布</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89F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D9AB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r>
      <w:tr w14:paraId="5CCF7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92F37">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B33FB">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1E7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创巾钳</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533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把</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552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r>
      <w:tr w14:paraId="2CF29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6D261">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80D8F">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5624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电磨机</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860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4F52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r>
      <w:tr w14:paraId="5B924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8EB6B">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59CF4">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7770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手术镊子</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A33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把</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BCC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r>
      <w:tr w14:paraId="1EFF6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87159">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ED799">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BB62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止血钳</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3A8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把</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46E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r>
      <w:tr w14:paraId="6F2AC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A2576">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1C603">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B84C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骨钳</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5F6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把</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F99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2F16A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7A70F">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4235F">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391C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剪毛剪</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15C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把</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D10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0E905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349D5">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796E3">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98ED7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持针器</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08D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把</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AD8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r w14:paraId="5937B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717EE">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662E6">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646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一体式缝合线</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1F2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212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2E30E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E9E6A">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A72E7">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0B3A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无菌纱布</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169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706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200</w:t>
            </w:r>
          </w:p>
        </w:tc>
      </w:tr>
      <w:tr w14:paraId="5F9CB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35F27">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22EAD">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0E92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棉球</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789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EFC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214F7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E6965">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B4B33">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5D28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弹力绷带</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629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卷</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C0F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w:t>
            </w:r>
          </w:p>
        </w:tc>
      </w:tr>
      <w:tr w14:paraId="7CAF3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A9FD9">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1978E">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71E4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高分子石膏绷带</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E34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卷</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44A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4420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4FFA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ABC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救护药品</w:t>
            </w: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2FEE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双氧水</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0D7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300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7A493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13D73">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A66A7">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3FB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碘伏</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163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687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56204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7EA5D">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E26E9">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6C0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酒精</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5AA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6CA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2B9B6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18EA9">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84147">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8814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太白老翁散</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1A5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05E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36B2E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08834">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845DD">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37BF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红霉素软膏</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BCA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073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33B38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E9965">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7EE2E">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59E0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鱼石脂软膏</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C62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3B0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692C2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5B569">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8F110">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4DF0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银离子消毒液</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38E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8AF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6C192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52703">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ED866">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1D1D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广谱抗生素、庆大霉素</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69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00E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3C0DE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8C71A">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B802B">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484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恩诺沙星</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DDA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719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49184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94F71">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12825">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9B47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头孢噻呋钠</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735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D1B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5586E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69B1E">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C08B5">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A00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头孢隆肟</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8E0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EE0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4635B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CB627">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A048D">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3329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磺胺嘧啶注射液</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C18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F8B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3EEE3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31AC7">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AF35A">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10DB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注射青霉素</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5F5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B7D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5958C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5E80E">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0DE9F">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22CD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安痛定</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A72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9D1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150AD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D6F2E">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038C2">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1A23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氟尼辛葡甲胺</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06F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24D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125E6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96EC3">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675E8">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5B4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酚磺乙胺</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AA3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6DC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75257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54A82">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770A7">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53A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碳酸氢钠注射液</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8D0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4C9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190B3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61D0D">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08A73">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1AA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50%葡萄糖</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4B5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604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r>
      <w:tr w14:paraId="02A1D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4E42B">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DF489">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8550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5%葡萄糖</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AE4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924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r>
      <w:tr w14:paraId="15F4B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457D4">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FA441">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9A12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0.9%氯化钠</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C9B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331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r>
      <w:tr w14:paraId="39D3B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5407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5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3C7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救护诊疗设备</w:t>
            </w: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4B27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DR数字X线机</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1E0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561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r>
      <w:tr w14:paraId="4CC8B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B8BA6">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C872E">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7D7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B超机</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44B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DCD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r>
      <w:tr w14:paraId="63634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3A68">
            <w:pPr>
              <w:jc w:val="center"/>
              <w:rPr>
                <w:rFonts w:hint="eastAsia" w:ascii="宋体" w:hAnsi="宋体" w:eastAsia="宋体" w:cs="宋体"/>
                <w:i w:val="0"/>
                <w:iCs w:val="0"/>
                <w:color w:val="000000"/>
                <w:sz w:val="22"/>
                <w:szCs w:val="22"/>
                <w:highlight w:val="none"/>
                <w:u w:val="none"/>
              </w:rPr>
            </w:pPr>
          </w:p>
        </w:tc>
        <w:tc>
          <w:tcPr>
            <w:tcW w:w="5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F716D">
            <w:pPr>
              <w:jc w:val="center"/>
              <w:rPr>
                <w:rFonts w:hint="eastAsia" w:ascii="宋体" w:hAnsi="宋体" w:eastAsia="宋体" w:cs="宋体"/>
                <w:i w:val="0"/>
                <w:iCs w:val="0"/>
                <w:color w:val="000000"/>
                <w:sz w:val="22"/>
                <w:szCs w:val="22"/>
                <w:highlight w:val="none"/>
                <w:u w:val="none"/>
              </w:rPr>
            </w:pP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70EA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生物显微镜</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691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6E1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r>
      <w:tr w14:paraId="519E3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D0A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5</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429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救助动物饲料</w:t>
            </w: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5E4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动物饲料</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2EE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公斤</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702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100</w:t>
            </w:r>
          </w:p>
        </w:tc>
      </w:tr>
      <w:tr w14:paraId="7101C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47B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6</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8541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指示牌及标志牌</w:t>
            </w:r>
          </w:p>
        </w:tc>
        <w:tc>
          <w:tcPr>
            <w:tcW w:w="23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657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制作、树立悬挂野生动物保护宣传及收容救助站标识</w:t>
            </w:r>
          </w:p>
        </w:tc>
        <w:tc>
          <w:tcPr>
            <w:tcW w:w="8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872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面</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752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r>
    </w:tbl>
    <w:p w14:paraId="1129178A">
      <w:pPr>
        <w:pStyle w:val="2"/>
        <w:widowControl w:val="0"/>
        <w:numPr>
          <w:ilvl w:val="0"/>
          <w:numId w:val="0"/>
        </w:numPr>
        <w:jc w:val="both"/>
        <w:rPr>
          <w:rFonts w:hint="eastAsia"/>
          <w:sz w:val="22"/>
          <w:szCs w:val="22"/>
          <w:highlight w:val="none"/>
          <w:lang w:eastAsia="zh-CN"/>
        </w:rPr>
      </w:pPr>
    </w:p>
    <w:p w14:paraId="3B3CA215">
      <w:pPr>
        <w:pStyle w:val="2"/>
        <w:widowControl w:val="0"/>
        <w:numPr>
          <w:ilvl w:val="0"/>
          <w:numId w:val="0"/>
        </w:numPr>
        <w:jc w:val="both"/>
        <w:rPr>
          <w:rFonts w:hint="eastAsia"/>
          <w:sz w:val="22"/>
          <w:szCs w:val="22"/>
          <w:highlight w:val="none"/>
          <w:lang w:eastAsia="zh-CN"/>
        </w:rPr>
      </w:pPr>
    </w:p>
    <w:p w14:paraId="50412767">
      <w:pPr>
        <w:pStyle w:val="2"/>
        <w:widowControl w:val="0"/>
        <w:numPr>
          <w:ilvl w:val="0"/>
          <w:numId w:val="0"/>
        </w:numPr>
        <w:jc w:val="both"/>
        <w:rPr>
          <w:rFonts w:hint="eastAsia"/>
          <w:sz w:val="22"/>
          <w:szCs w:val="22"/>
          <w:highlight w:val="none"/>
          <w:lang w:eastAsia="zh-CN"/>
        </w:rPr>
      </w:pPr>
    </w:p>
    <w:p w14:paraId="2EC3325E">
      <w:pPr>
        <w:pStyle w:val="2"/>
        <w:widowControl w:val="0"/>
        <w:numPr>
          <w:ilvl w:val="0"/>
          <w:numId w:val="0"/>
        </w:numPr>
        <w:jc w:val="both"/>
        <w:rPr>
          <w:rFonts w:hint="eastAsia"/>
          <w:sz w:val="22"/>
          <w:szCs w:val="22"/>
          <w:highlight w:val="none"/>
          <w:lang w:eastAsia="zh-CN"/>
        </w:rPr>
      </w:pPr>
    </w:p>
    <w:p w14:paraId="1E5C1C3C">
      <w:pPr>
        <w:pStyle w:val="2"/>
        <w:widowControl w:val="0"/>
        <w:numPr>
          <w:ilvl w:val="0"/>
          <w:numId w:val="0"/>
        </w:numPr>
        <w:jc w:val="both"/>
        <w:rPr>
          <w:rFonts w:hint="eastAsia"/>
          <w:sz w:val="22"/>
          <w:szCs w:val="22"/>
          <w:highlight w:val="none"/>
          <w:lang w:eastAsia="zh-CN"/>
        </w:rPr>
      </w:pPr>
    </w:p>
    <w:p w14:paraId="759CD3D4">
      <w:pPr>
        <w:pStyle w:val="2"/>
        <w:widowControl w:val="0"/>
        <w:numPr>
          <w:ilvl w:val="0"/>
          <w:numId w:val="0"/>
        </w:numPr>
        <w:jc w:val="both"/>
        <w:rPr>
          <w:rFonts w:hint="eastAsia"/>
          <w:sz w:val="22"/>
          <w:szCs w:val="22"/>
          <w:highlight w:val="none"/>
          <w:lang w:eastAsia="zh-CN"/>
        </w:rPr>
      </w:pPr>
    </w:p>
    <w:p w14:paraId="75183382">
      <w:pPr>
        <w:pStyle w:val="20"/>
        <w:rPr>
          <w:rFonts w:hint="eastAsia" w:ascii="宋体" w:hAnsi="宋体" w:cs="宋体"/>
          <w:b/>
          <w:bCs/>
          <w:color w:val="auto"/>
          <w:sz w:val="22"/>
          <w:szCs w:val="22"/>
          <w:highlight w:val="none"/>
          <w:lang w:eastAsia="zh-CN"/>
        </w:rPr>
      </w:pPr>
    </w:p>
    <w:p w14:paraId="4979EF87">
      <w:pPr>
        <w:pStyle w:val="20"/>
        <w:keepNext w:val="0"/>
        <w:keepLines w:val="0"/>
        <w:pageBreakBefore w:val="0"/>
        <w:widowControl w:val="0"/>
        <w:numPr>
          <w:ilvl w:val="0"/>
          <w:numId w:val="8"/>
        </w:numPr>
        <w:kinsoku/>
        <w:wordWrap/>
        <w:overflowPunct/>
        <w:topLinePunct w:val="0"/>
        <w:autoSpaceDE/>
        <w:autoSpaceDN/>
        <w:bidi w:val="0"/>
        <w:adjustRightInd w:val="0"/>
        <w:snapToGrid/>
        <w:spacing w:after="157" w:afterLines="50"/>
        <w:ind w:left="0" w:leftChars="0" w:firstLine="0" w:firstLineChars="0"/>
        <w:textAlignment w:val="baseline"/>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技术要求</w:t>
      </w:r>
    </w:p>
    <w:tbl>
      <w:tblPr>
        <w:tblStyle w:val="31"/>
        <w:tblW w:w="491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0"/>
        <w:gridCol w:w="826"/>
        <w:gridCol w:w="914"/>
        <w:gridCol w:w="1646"/>
        <w:gridCol w:w="5115"/>
      </w:tblGrid>
      <w:tr w14:paraId="1DD44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95F8F">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1882" w:type="pct"/>
            <w:gridSpan w:val="3"/>
            <w:tcBorders>
              <w:top w:val="single" w:color="000000" w:sz="4" w:space="0"/>
              <w:left w:val="single" w:color="000000" w:sz="4" w:space="0"/>
              <w:bottom w:val="single" w:color="000000" w:sz="4" w:space="0"/>
              <w:right w:val="single" w:color="auto" w:sz="4" w:space="0"/>
            </w:tcBorders>
            <w:shd w:val="clear" w:color="auto" w:fill="auto"/>
            <w:vAlign w:val="center"/>
          </w:tcPr>
          <w:p w14:paraId="17497335">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标的</w:t>
            </w:r>
            <w:r>
              <w:rPr>
                <w:rFonts w:hint="eastAsia" w:ascii="宋体" w:hAnsi="宋体" w:eastAsia="宋体" w:cs="宋体"/>
                <w:b/>
                <w:bCs/>
                <w:i w:val="0"/>
                <w:iCs w:val="0"/>
                <w:color w:val="000000"/>
                <w:kern w:val="0"/>
                <w:sz w:val="22"/>
                <w:szCs w:val="22"/>
                <w:highlight w:val="none"/>
                <w:u w:val="none"/>
                <w:lang w:val="en-US" w:eastAsia="zh-CN" w:bidi="ar"/>
              </w:rPr>
              <w:t>名称</w:t>
            </w:r>
          </w:p>
        </w:tc>
        <w:tc>
          <w:tcPr>
            <w:tcW w:w="284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61F673">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参数要求</w:t>
            </w:r>
          </w:p>
        </w:tc>
      </w:tr>
      <w:tr w14:paraId="3B8AE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restart"/>
            <w:tcBorders>
              <w:top w:val="single" w:color="000000" w:sz="4" w:space="0"/>
              <w:left w:val="single" w:color="000000" w:sz="4" w:space="0"/>
              <w:right w:val="single" w:color="000000" w:sz="4" w:space="0"/>
            </w:tcBorders>
            <w:shd w:val="clear" w:color="auto" w:fill="auto"/>
            <w:vAlign w:val="center"/>
          </w:tcPr>
          <w:p w14:paraId="62BC2CFF">
            <w:pPr>
              <w:jc w:val="center"/>
              <w:rPr>
                <w:rFonts w:hint="eastAsia" w:ascii="宋体" w:hAnsi="宋体" w:eastAsia="宋体" w:cs="宋体"/>
                <w:b/>
                <w:bCs/>
                <w:i w:val="0"/>
                <w:iCs w:val="0"/>
                <w:color w:val="000000"/>
                <w:sz w:val="22"/>
                <w:szCs w:val="22"/>
                <w:highlight w:val="none"/>
                <w:u w:val="none"/>
                <w:lang w:val="en-US" w:eastAsia="zh-CN"/>
              </w:rPr>
            </w:pPr>
            <w:r>
              <w:rPr>
                <w:rFonts w:hint="eastAsia" w:ascii="宋体" w:hAnsi="宋体" w:cs="宋体"/>
                <w:b/>
                <w:bCs/>
                <w:i w:val="0"/>
                <w:iCs w:val="0"/>
                <w:color w:val="000000"/>
                <w:sz w:val="22"/>
                <w:szCs w:val="22"/>
                <w:highlight w:val="none"/>
                <w:u w:val="none"/>
                <w:lang w:val="en-US" w:eastAsia="zh-CN"/>
              </w:rPr>
              <w:t>1</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7CDD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救护防护物资</w:t>
            </w: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E4D8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大型捕兽笼</w:t>
            </w:r>
          </w:p>
        </w:tc>
        <w:tc>
          <w:tcPr>
            <w:tcW w:w="2843" w:type="pct"/>
            <w:tcBorders>
              <w:top w:val="single" w:color="auto" w:sz="4" w:space="0"/>
              <w:left w:val="single" w:color="000000" w:sz="4" w:space="0"/>
              <w:bottom w:val="single" w:color="000000" w:sz="4" w:space="0"/>
              <w:right w:val="single" w:color="000000" w:sz="4" w:space="0"/>
            </w:tcBorders>
            <w:shd w:val="clear" w:color="auto" w:fill="auto"/>
            <w:vAlign w:val="center"/>
          </w:tcPr>
          <w:p w14:paraId="27B5CA98">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规格</w:t>
            </w:r>
            <w:r>
              <w:rPr>
                <w:rFonts w:hint="eastAsia" w:ascii="宋体" w:hAnsi="宋体" w:eastAsia="宋体" w:cs="宋体"/>
                <w:i w:val="0"/>
                <w:iCs w:val="0"/>
                <w:color w:val="000000"/>
                <w:sz w:val="22"/>
                <w:szCs w:val="22"/>
                <w:highlight w:val="none"/>
                <w:u w:val="none"/>
                <w:lang w:eastAsia="zh-CN"/>
              </w:rPr>
              <w:t>：</w:t>
            </w:r>
            <w:r>
              <w:rPr>
                <w:rFonts w:hint="eastAsia" w:ascii="宋体" w:hAnsi="宋体" w:eastAsia="宋体" w:cs="宋体"/>
                <w:i w:val="0"/>
                <w:iCs w:val="0"/>
                <w:color w:val="000000"/>
                <w:sz w:val="22"/>
                <w:szCs w:val="22"/>
                <w:highlight w:val="none"/>
                <w:u w:val="none"/>
              </w:rPr>
              <w:t>长x宽x高=120x55x65 cm，钢筋直径8.0mm/网孔3cm，普通镀锌。</w:t>
            </w:r>
          </w:p>
        </w:tc>
      </w:tr>
      <w:tr w14:paraId="69143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09558">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693C2">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D3E0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中型野生动物专用笼</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1FDD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规格</w:t>
            </w:r>
            <w:r>
              <w:rPr>
                <w:rFonts w:hint="eastAsia" w:ascii="宋体" w:hAnsi="宋体" w:eastAsia="宋体" w:cs="宋体"/>
                <w:i w:val="0"/>
                <w:iCs w:val="0"/>
                <w:color w:val="000000"/>
                <w:sz w:val="22"/>
                <w:szCs w:val="22"/>
                <w:highlight w:val="none"/>
                <w:u w:val="none"/>
                <w:lang w:eastAsia="zh-CN"/>
              </w:rPr>
              <w:t>：</w:t>
            </w:r>
            <w:r>
              <w:rPr>
                <w:rFonts w:hint="eastAsia" w:ascii="宋体" w:hAnsi="宋体" w:eastAsia="宋体" w:cs="宋体"/>
                <w:i w:val="0"/>
                <w:iCs w:val="0"/>
                <w:color w:val="000000"/>
                <w:sz w:val="22"/>
                <w:szCs w:val="22"/>
                <w:highlight w:val="none"/>
                <w:u w:val="none"/>
              </w:rPr>
              <w:t>长x宽x高=120x70x80cm，框架直径10mm圆钢，网体钢筋直径6-8mm，网孔3-5cm，底板为花纹板，带可拆卸粪盘，门双锁插销，侧面带观察窗，表面喷塑防锈耐腐。</w:t>
            </w:r>
          </w:p>
        </w:tc>
      </w:tr>
      <w:tr w14:paraId="30850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E5DCF">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492D5">
            <w:pPr>
              <w:jc w:val="center"/>
              <w:rPr>
                <w:rFonts w:hint="eastAsia" w:ascii="宋体" w:hAnsi="宋体" w:eastAsia="宋体" w:cs="宋体"/>
                <w:i w:val="0"/>
                <w:iCs w:val="0"/>
                <w:color w:val="000000"/>
                <w:sz w:val="22"/>
                <w:szCs w:val="22"/>
                <w:highlight w:val="none"/>
                <w:u w:val="none"/>
              </w:rPr>
            </w:pPr>
          </w:p>
        </w:tc>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C1D3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救护网</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37D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大型救护网</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E4B40">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rPr>
              <w:t>规格</w:t>
            </w:r>
            <w:r>
              <w:rPr>
                <w:rFonts w:hint="eastAsia" w:ascii="宋体" w:hAnsi="宋体" w:eastAsia="宋体" w:cs="宋体"/>
                <w:i w:val="0"/>
                <w:iCs w:val="0"/>
                <w:color w:val="000000"/>
                <w:sz w:val="22"/>
                <w:szCs w:val="22"/>
                <w:highlight w:val="none"/>
                <w:u w:val="none"/>
                <w:lang w:eastAsia="zh-CN"/>
              </w:rPr>
              <w:t>：</w:t>
            </w:r>
            <w:r>
              <w:rPr>
                <w:rFonts w:hint="eastAsia" w:ascii="宋体" w:hAnsi="宋体" w:eastAsia="宋体" w:cs="宋体"/>
                <w:i w:val="0"/>
                <w:iCs w:val="0"/>
                <w:color w:val="000000"/>
                <w:sz w:val="22"/>
                <w:szCs w:val="22"/>
                <w:highlight w:val="none"/>
                <w:u w:val="none"/>
              </w:rPr>
              <w:t>网圈口径70-90cm，加厚不锈钢，网兜深度60-120cm，防咬断的大力马线，网眼2-5cm,玻璃钢网柄，长度1.2-2.5m，可伸缩</w:t>
            </w:r>
            <w:r>
              <w:rPr>
                <w:rFonts w:hint="eastAsia" w:ascii="宋体" w:hAnsi="宋体" w:eastAsia="宋体" w:cs="宋体"/>
                <w:i w:val="0"/>
                <w:iCs w:val="0"/>
                <w:color w:val="000000"/>
                <w:sz w:val="22"/>
                <w:szCs w:val="22"/>
                <w:highlight w:val="none"/>
                <w:u w:val="none"/>
                <w:lang w:eastAsia="zh-CN"/>
              </w:rPr>
              <w:t>。</w:t>
            </w:r>
          </w:p>
        </w:tc>
      </w:tr>
      <w:tr w14:paraId="785A7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19AE4">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CF818">
            <w:pPr>
              <w:jc w:val="center"/>
              <w:rPr>
                <w:rFonts w:hint="eastAsia" w:ascii="宋体" w:hAnsi="宋体" w:eastAsia="宋体" w:cs="宋体"/>
                <w:i w:val="0"/>
                <w:iCs w:val="0"/>
                <w:color w:val="000000"/>
                <w:sz w:val="22"/>
                <w:szCs w:val="22"/>
                <w:highlight w:val="none"/>
                <w:u w:val="none"/>
              </w:rPr>
            </w:pPr>
          </w:p>
        </w:tc>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06DE7">
            <w:pPr>
              <w:jc w:val="center"/>
              <w:rPr>
                <w:rFonts w:hint="eastAsia" w:ascii="宋体" w:hAnsi="宋体" w:eastAsia="宋体" w:cs="宋体"/>
                <w:i w:val="0"/>
                <w:iCs w:val="0"/>
                <w:color w:val="000000"/>
                <w:sz w:val="22"/>
                <w:szCs w:val="22"/>
                <w:highlight w:val="none"/>
                <w:u w:val="none"/>
              </w:rPr>
            </w:pP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EFB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中型救护网</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A0CE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rPr>
              <w:t>规格</w:t>
            </w:r>
            <w:r>
              <w:rPr>
                <w:rFonts w:hint="eastAsia" w:ascii="宋体" w:hAnsi="宋体" w:eastAsia="宋体" w:cs="宋体"/>
                <w:i w:val="0"/>
                <w:iCs w:val="0"/>
                <w:color w:val="000000"/>
                <w:sz w:val="22"/>
                <w:szCs w:val="22"/>
                <w:highlight w:val="none"/>
                <w:u w:val="none"/>
                <w:lang w:eastAsia="zh-CN"/>
              </w:rPr>
              <w:t>：</w:t>
            </w:r>
            <w:r>
              <w:rPr>
                <w:rFonts w:hint="eastAsia" w:ascii="宋体" w:hAnsi="宋体" w:eastAsia="宋体" w:cs="宋体"/>
                <w:i w:val="0"/>
                <w:iCs w:val="0"/>
                <w:color w:val="000000"/>
                <w:sz w:val="22"/>
                <w:szCs w:val="22"/>
                <w:highlight w:val="none"/>
                <w:u w:val="none"/>
              </w:rPr>
              <w:t>网圈口径50-60cm，圆形实心不锈钢，网兜深度60-120cm，防咬断的大力马线，网眼2-5cm,铝合金网柄，长度1.2-2.5m，可伸缩</w:t>
            </w:r>
            <w:r>
              <w:rPr>
                <w:rFonts w:hint="eastAsia" w:ascii="宋体" w:hAnsi="宋体" w:eastAsia="宋体" w:cs="宋体"/>
                <w:i w:val="0"/>
                <w:iCs w:val="0"/>
                <w:color w:val="000000"/>
                <w:sz w:val="22"/>
                <w:szCs w:val="22"/>
                <w:highlight w:val="none"/>
                <w:u w:val="none"/>
                <w:lang w:eastAsia="zh-CN"/>
              </w:rPr>
              <w:t>。</w:t>
            </w:r>
          </w:p>
        </w:tc>
      </w:tr>
      <w:tr w14:paraId="1705E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C23FB">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F1C6B">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1964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仿宋" w:hAnsi="仿宋" w:eastAsia="仿宋" w:cs="仿宋"/>
                <w:b/>
                <w:bCs/>
                <w:color w:val="auto"/>
                <w:sz w:val="24"/>
                <w:szCs w:val="24"/>
                <w:highlight w:val="none"/>
                <w:lang w:val="en-US" w:eastAsia="zh-CN"/>
              </w:rPr>
              <w:t xml:space="preserve"> </w:t>
            </w:r>
            <w:r>
              <w:rPr>
                <w:rFonts w:hint="eastAsia" w:ascii="宋体" w:hAnsi="宋体" w:eastAsia="宋体" w:cs="宋体"/>
                <w:i w:val="0"/>
                <w:iCs w:val="0"/>
                <w:color w:val="000000"/>
                <w:kern w:val="0"/>
                <w:sz w:val="22"/>
                <w:szCs w:val="22"/>
                <w:highlight w:val="none"/>
                <w:u w:val="none"/>
                <w:lang w:val="en-US" w:eastAsia="zh-CN" w:bidi="ar"/>
              </w:rPr>
              <w:t>野生动物救护专用防护头盔</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0550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rPr>
              <w:t>规格</w:t>
            </w:r>
            <w:r>
              <w:rPr>
                <w:rFonts w:hint="eastAsia" w:ascii="宋体" w:hAnsi="宋体" w:eastAsia="宋体" w:cs="宋体"/>
                <w:i w:val="0"/>
                <w:iCs w:val="0"/>
                <w:color w:val="000000"/>
                <w:sz w:val="22"/>
                <w:szCs w:val="22"/>
                <w:highlight w:val="none"/>
                <w:u w:val="none"/>
                <w:lang w:eastAsia="zh-CN"/>
              </w:rPr>
              <w:t>：</w:t>
            </w:r>
            <w:r>
              <w:rPr>
                <w:rFonts w:hint="eastAsia" w:ascii="宋体" w:hAnsi="宋体" w:eastAsia="宋体" w:cs="宋体"/>
                <w:i w:val="0"/>
                <w:iCs w:val="0"/>
                <w:color w:val="000000"/>
                <w:sz w:val="22"/>
                <w:szCs w:val="22"/>
                <w:highlight w:val="none"/>
                <w:u w:val="none"/>
              </w:rPr>
              <w:t>ABS/HDPE高强度外壳+</w:t>
            </w:r>
            <w:r>
              <w:rPr>
                <w:rFonts w:hint="eastAsia" w:ascii="宋体" w:hAnsi="宋体" w:eastAsia="宋体" w:cs="宋体"/>
                <w:i w:val="0"/>
                <w:iCs w:val="0"/>
                <w:color w:val="000000"/>
                <w:sz w:val="22"/>
                <w:szCs w:val="22"/>
                <w:highlight w:val="none"/>
                <w:u w:val="none"/>
                <w:lang w:val="en-US" w:eastAsia="zh-CN"/>
              </w:rPr>
              <w:t>E</w:t>
            </w:r>
            <w:r>
              <w:rPr>
                <w:rFonts w:hint="eastAsia" w:ascii="宋体" w:hAnsi="宋体" w:eastAsia="宋体" w:cs="宋体"/>
                <w:i w:val="0"/>
                <w:iCs w:val="0"/>
                <w:color w:val="000000"/>
                <w:sz w:val="22"/>
                <w:szCs w:val="22"/>
                <w:highlight w:val="none"/>
                <w:u w:val="none"/>
              </w:rPr>
              <w:t>VA缓冲内层，可拆卸透明PC防刮护目镜，四点式悬挂+高强度防挣脱下颌带，600-850g多通风孔，防闷热，耐撞击&gt;50kg冲撞，专业加强款，加厚ABS/玻璃钢+钢网面罩，国产</w:t>
            </w:r>
            <w:r>
              <w:rPr>
                <w:rFonts w:hint="eastAsia" w:ascii="宋体" w:hAnsi="宋体" w:eastAsia="宋体" w:cs="宋体"/>
                <w:i w:val="0"/>
                <w:iCs w:val="0"/>
                <w:color w:val="000000"/>
                <w:sz w:val="22"/>
                <w:szCs w:val="22"/>
                <w:highlight w:val="none"/>
                <w:u w:val="none"/>
                <w:lang w:eastAsia="zh-CN"/>
              </w:rPr>
              <w:t>。</w:t>
            </w:r>
          </w:p>
        </w:tc>
      </w:tr>
      <w:tr w14:paraId="1BD92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BEC2B">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782C7">
            <w:pPr>
              <w:jc w:val="center"/>
              <w:rPr>
                <w:rFonts w:hint="eastAsia" w:ascii="宋体" w:hAnsi="宋体" w:eastAsia="宋体" w:cs="宋体"/>
                <w:i w:val="0"/>
                <w:iCs w:val="0"/>
                <w:color w:val="000000"/>
                <w:sz w:val="22"/>
                <w:szCs w:val="22"/>
                <w:highlight w:val="none"/>
                <w:u w:val="none"/>
              </w:rPr>
            </w:pPr>
          </w:p>
        </w:tc>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6596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防滑防水手套</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34A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轻型</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8A1C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rPr>
              <w:t>规格</w:t>
            </w:r>
            <w:r>
              <w:rPr>
                <w:rFonts w:hint="eastAsia" w:ascii="宋体" w:hAnsi="宋体" w:eastAsia="宋体" w:cs="宋体"/>
                <w:i w:val="0"/>
                <w:iCs w:val="0"/>
                <w:color w:val="000000"/>
                <w:sz w:val="22"/>
                <w:szCs w:val="22"/>
                <w:highlight w:val="none"/>
                <w:u w:val="none"/>
                <w:lang w:eastAsia="zh-CN"/>
              </w:rPr>
              <w:t>：</w:t>
            </w:r>
            <w:r>
              <w:rPr>
                <w:rFonts w:hint="eastAsia" w:ascii="宋体" w:hAnsi="宋体" w:eastAsia="宋体" w:cs="宋体"/>
                <w:i w:val="0"/>
                <w:iCs w:val="0"/>
                <w:color w:val="000000"/>
                <w:sz w:val="22"/>
                <w:szCs w:val="22"/>
                <w:highlight w:val="none"/>
                <w:u w:val="none"/>
              </w:rPr>
              <w:t>乳胶，掌面加厚防滑颗粒，长度23-30cm，厚度0.8-1.2mm，国产，重复使用款</w:t>
            </w:r>
            <w:r>
              <w:rPr>
                <w:rFonts w:hint="eastAsia" w:ascii="宋体" w:hAnsi="宋体" w:eastAsia="宋体" w:cs="宋体"/>
                <w:i w:val="0"/>
                <w:iCs w:val="0"/>
                <w:color w:val="000000"/>
                <w:sz w:val="22"/>
                <w:szCs w:val="22"/>
                <w:highlight w:val="none"/>
                <w:u w:val="none"/>
                <w:lang w:eastAsia="zh-CN"/>
              </w:rPr>
              <w:t>。</w:t>
            </w:r>
          </w:p>
        </w:tc>
      </w:tr>
      <w:tr w14:paraId="2CC28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51832">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A4309">
            <w:pPr>
              <w:jc w:val="center"/>
              <w:rPr>
                <w:rFonts w:hint="eastAsia" w:ascii="宋体" w:hAnsi="宋体" w:eastAsia="宋体" w:cs="宋体"/>
                <w:i w:val="0"/>
                <w:iCs w:val="0"/>
                <w:color w:val="000000"/>
                <w:sz w:val="22"/>
                <w:szCs w:val="22"/>
                <w:highlight w:val="none"/>
                <w:u w:val="none"/>
              </w:rPr>
            </w:pPr>
          </w:p>
        </w:tc>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41B5E">
            <w:pPr>
              <w:jc w:val="center"/>
              <w:rPr>
                <w:rFonts w:hint="eastAsia" w:ascii="宋体" w:hAnsi="宋体" w:eastAsia="宋体" w:cs="宋体"/>
                <w:i w:val="0"/>
                <w:iCs w:val="0"/>
                <w:color w:val="000000"/>
                <w:sz w:val="22"/>
                <w:szCs w:val="22"/>
                <w:highlight w:val="none"/>
                <w:u w:val="none"/>
              </w:rPr>
            </w:pP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755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9CAB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rPr>
              <w:t>规格： 油浸头层牛皮，防水处理+双层牛皮掌心+防滑压纹，长度45-60cm，加长护臂，厚度 1.2-1.8mm，轻度防水、防抓咬、防滑、耐磨</w:t>
            </w:r>
            <w:r>
              <w:rPr>
                <w:rFonts w:hint="eastAsia" w:ascii="宋体" w:hAnsi="宋体" w:eastAsia="宋体" w:cs="宋体"/>
                <w:i w:val="0"/>
                <w:iCs w:val="0"/>
                <w:color w:val="000000"/>
                <w:sz w:val="22"/>
                <w:szCs w:val="22"/>
                <w:highlight w:val="none"/>
                <w:u w:val="none"/>
                <w:lang w:eastAsia="zh-CN"/>
              </w:rPr>
              <w:t>。</w:t>
            </w:r>
          </w:p>
        </w:tc>
      </w:tr>
      <w:tr w14:paraId="2FBE9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27931">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F5CC5">
            <w:pPr>
              <w:jc w:val="center"/>
              <w:rPr>
                <w:rFonts w:hint="eastAsia" w:ascii="宋体" w:hAnsi="宋体" w:eastAsia="宋体" w:cs="宋体"/>
                <w:i w:val="0"/>
                <w:iCs w:val="0"/>
                <w:color w:val="000000"/>
                <w:sz w:val="22"/>
                <w:szCs w:val="22"/>
                <w:highlight w:val="none"/>
                <w:u w:val="none"/>
              </w:rPr>
            </w:pPr>
          </w:p>
        </w:tc>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A22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防咬手套</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07F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基础级</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2A454">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规</w:t>
            </w:r>
            <w:r>
              <w:rPr>
                <w:rFonts w:hint="eastAsia" w:ascii="宋体" w:hAnsi="宋体" w:eastAsia="宋体" w:cs="宋体"/>
                <w:i w:val="0"/>
                <w:iCs w:val="0"/>
                <w:color w:val="000000"/>
                <w:sz w:val="22"/>
                <w:szCs w:val="22"/>
                <w:highlight w:val="none"/>
                <w:u w:val="none"/>
              </w:rPr>
              <w:t>格：加厚牛皮+防刺衬里，长度40-45cm，厚度 1.0-1.5mm，防抓咬、耐磨，轻度防穿刺</w:t>
            </w:r>
            <w:r>
              <w:rPr>
                <w:rFonts w:hint="eastAsia" w:ascii="宋体" w:hAnsi="宋体" w:eastAsia="宋体" w:cs="宋体"/>
                <w:i w:val="0"/>
                <w:iCs w:val="0"/>
                <w:color w:val="000000"/>
                <w:sz w:val="22"/>
                <w:szCs w:val="22"/>
                <w:highlight w:val="none"/>
                <w:u w:val="none"/>
                <w:lang w:eastAsia="zh-CN"/>
              </w:rPr>
              <w:t>。</w:t>
            </w:r>
          </w:p>
        </w:tc>
      </w:tr>
      <w:tr w14:paraId="2B97B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9858E">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F1936">
            <w:pPr>
              <w:jc w:val="center"/>
              <w:rPr>
                <w:rFonts w:hint="eastAsia" w:ascii="宋体" w:hAnsi="宋体" w:eastAsia="宋体" w:cs="宋体"/>
                <w:i w:val="0"/>
                <w:iCs w:val="0"/>
                <w:color w:val="000000"/>
                <w:sz w:val="22"/>
                <w:szCs w:val="22"/>
                <w:highlight w:val="none"/>
                <w:u w:val="none"/>
              </w:rPr>
            </w:pPr>
          </w:p>
        </w:tc>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6543C">
            <w:pPr>
              <w:jc w:val="center"/>
              <w:rPr>
                <w:rFonts w:hint="eastAsia" w:ascii="宋体" w:hAnsi="宋体" w:eastAsia="宋体" w:cs="宋体"/>
                <w:i w:val="0"/>
                <w:iCs w:val="0"/>
                <w:color w:val="000000"/>
                <w:sz w:val="22"/>
                <w:szCs w:val="22"/>
                <w:highlight w:val="none"/>
                <w:u w:val="none"/>
              </w:rPr>
            </w:pP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884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进阶级</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B6C8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rPr>
              <w:t>规格：双层头层牛皮+掌心加固+魔术贴束口，长度55-60cm，强效防咬、防抓、防撕裂、耐撕扯</w:t>
            </w:r>
            <w:r>
              <w:rPr>
                <w:rFonts w:hint="eastAsia" w:ascii="宋体" w:hAnsi="宋体" w:eastAsia="宋体" w:cs="宋体"/>
                <w:i w:val="0"/>
                <w:iCs w:val="0"/>
                <w:color w:val="000000"/>
                <w:sz w:val="22"/>
                <w:szCs w:val="22"/>
                <w:highlight w:val="none"/>
                <w:u w:val="none"/>
                <w:lang w:eastAsia="zh-CN"/>
              </w:rPr>
              <w:t>。</w:t>
            </w:r>
          </w:p>
        </w:tc>
      </w:tr>
      <w:tr w14:paraId="7FC2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DDF85">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BEC94">
            <w:pPr>
              <w:jc w:val="center"/>
              <w:rPr>
                <w:rFonts w:hint="eastAsia" w:ascii="宋体" w:hAnsi="宋体" w:eastAsia="宋体" w:cs="宋体"/>
                <w:i w:val="0"/>
                <w:iCs w:val="0"/>
                <w:color w:val="000000"/>
                <w:sz w:val="22"/>
                <w:szCs w:val="22"/>
                <w:highlight w:val="none"/>
                <w:u w:val="none"/>
              </w:rPr>
            </w:pPr>
          </w:p>
        </w:tc>
        <w:tc>
          <w:tcPr>
            <w:tcW w:w="5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5F0B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鸟笼</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26C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小型鸟类用笼</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04D92">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rPr>
              <w:t>规格：长*宽*高=40*30*30cm，材质镀锌钢，间距≤1.2cm，带抽拉托盘，透气，简易铁丝笼</w:t>
            </w:r>
            <w:r>
              <w:rPr>
                <w:rFonts w:hint="eastAsia" w:ascii="宋体" w:hAnsi="宋体" w:eastAsia="宋体" w:cs="宋体"/>
                <w:i w:val="0"/>
                <w:iCs w:val="0"/>
                <w:color w:val="000000"/>
                <w:sz w:val="22"/>
                <w:szCs w:val="22"/>
                <w:highlight w:val="none"/>
                <w:u w:val="none"/>
                <w:lang w:eastAsia="zh-CN"/>
              </w:rPr>
              <w:t>。</w:t>
            </w:r>
          </w:p>
        </w:tc>
      </w:tr>
      <w:tr w14:paraId="190A6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20D40">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E742D">
            <w:pPr>
              <w:jc w:val="center"/>
              <w:rPr>
                <w:rFonts w:hint="eastAsia" w:ascii="宋体" w:hAnsi="宋体" w:eastAsia="宋体" w:cs="宋体"/>
                <w:i w:val="0"/>
                <w:iCs w:val="0"/>
                <w:color w:val="000000"/>
                <w:sz w:val="22"/>
                <w:szCs w:val="22"/>
                <w:highlight w:val="none"/>
                <w:u w:val="none"/>
              </w:rPr>
            </w:pPr>
          </w:p>
        </w:tc>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A62CE">
            <w:pPr>
              <w:jc w:val="center"/>
              <w:rPr>
                <w:rFonts w:hint="eastAsia" w:ascii="宋体" w:hAnsi="宋体" w:eastAsia="宋体" w:cs="宋体"/>
                <w:i w:val="0"/>
                <w:iCs w:val="0"/>
                <w:color w:val="000000"/>
                <w:sz w:val="22"/>
                <w:szCs w:val="22"/>
                <w:highlight w:val="none"/>
                <w:u w:val="none"/>
              </w:rPr>
            </w:pP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C0B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中型鸟类用笼</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34B5D">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规</w:t>
            </w:r>
            <w:r>
              <w:rPr>
                <w:rFonts w:hint="eastAsia" w:ascii="宋体" w:hAnsi="宋体" w:eastAsia="宋体" w:cs="宋体"/>
                <w:i w:val="0"/>
                <w:iCs w:val="0"/>
                <w:color w:val="000000"/>
                <w:sz w:val="22"/>
                <w:szCs w:val="22"/>
                <w:highlight w:val="none"/>
                <w:u w:val="none"/>
              </w:rPr>
              <w:t>格</w:t>
            </w:r>
            <w:r>
              <w:rPr>
                <w:rFonts w:hint="eastAsia" w:ascii="宋体" w:hAnsi="宋体" w:eastAsia="宋体" w:cs="宋体"/>
                <w:i w:val="0"/>
                <w:iCs w:val="0"/>
                <w:color w:val="000000"/>
                <w:sz w:val="22"/>
                <w:szCs w:val="22"/>
                <w:highlight w:val="none"/>
                <w:u w:val="none"/>
                <w:lang w:eastAsia="zh-CN"/>
              </w:rPr>
              <w:t>：</w:t>
            </w:r>
            <w:r>
              <w:rPr>
                <w:rFonts w:hint="eastAsia" w:ascii="宋体" w:hAnsi="宋体" w:eastAsia="宋体" w:cs="宋体"/>
                <w:i w:val="0"/>
                <w:iCs w:val="0"/>
                <w:color w:val="000000"/>
                <w:sz w:val="22"/>
                <w:szCs w:val="22"/>
                <w:highlight w:val="none"/>
                <w:u w:val="none"/>
              </w:rPr>
              <w:t>长*宽*高=60*45*50cm，加粗铁丝，间距1.5-2.0cm，防啄，带食杯，标准金属笼</w:t>
            </w:r>
            <w:r>
              <w:rPr>
                <w:rFonts w:hint="eastAsia" w:ascii="宋体" w:hAnsi="宋体" w:eastAsia="宋体" w:cs="宋体"/>
                <w:i w:val="0"/>
                <w:iCs w:val="0"/>
                <w:color w:val="000000"/>
                <w:sz w:val="22"/>
                <w:szCs w:val="22"/>
                <w:highlight w:val="none"/>
                <w:u w:val="none"/>
                <w:lang w:eastAsia="zh-CN"/>
              </w:rPr>
              <w:t>。</w:t>
            </w:r>
          </w:p>
        </w:tc>
      </w:tr>
      <w:tr w14:paraId="14320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7631A">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AE86C">
            <w:pPr>
              <w:jc w:val="center"/>
              <w:rPr>
                <w:rFonts w:hint="eastAsia" w:ascii="宋体" w:hAnsi="宋体" w:eastAsia="宋体" w:cs="宋体"/>
                <w:i w:val="0"/>
                <w:iCs w:val="0"/>
                <w:color w:val="000000"/>
                <w:sz w:val="22"/>
                <w:szCs w:val="22"/>
                <w:highlight w:val="none"/>
                <w:u w:val="none"/>
              </w:rPr>
            </w:pPr>
          </w:p>
        </w:tc>
        <w:tc>
          <w:tcPr>
            <w:tcW w:w="5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05041">
            <w:pPr>
              <w:jc w:val="center"/>
              <w:rPr>
                <w:rFonts w:hint="eastAsia" w:ascii="宋体" w:hAnsi="宋体" w:eastAsia="宋体" w:cs="宋体"/>
                <w:i w:val="0"/>
                <w:iCs w:val="0"/>
                <w:color w:val="000000"/>
                <w:sz w:val="22"/>
                <w:szCs w:val="22"/>
                <w:highlight w:val="none"/>
                <w:u w:val="none"/>
              </w:rPr>
            </w:pP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08C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大型鸟类用笼</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8A499">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规</w:t>
            </w:r>
            <w:r>
              <w:rPr>
                <w:rFonts w:hint="eastAsia" w:ascii="宋体" w:hAnsi="宋体" w:eastAsia="宋体" w:cs="宋体"/>
                <w:i w:val="0"/>
                <w:iCs w:val="0"/>
                <w:color w:val="000000"/>
                <w:sz w:val="22"/>
                <w:szCs w:val="22"/>
                <w:highlight w:val="none"/>
                <w:u w:val="none"/>
              </w:rPr>
              <w:t>格：长*宽*高=120*80*100cm，方管+粗网，间距2.5-4cm，防逃、承重强，带滚轮，国产不锈钢</w:t>
            </w:r>
            <w:r>
              <w:rPr>
                <w:rFonts w:hint="eastAsia" w:ascii="宋体" w:hAnsi="宋体" w:eastAsia="宋体" w:cs="宋体"/>
                <w:i w:val="0"/>
                <w:iCs w:val="0"/>
                <w:color w:val="000000"/>
                <w:sz w:val="22"/>
                <w:szCs w:val="22"/>
                <w:highlight w:val="none"/>
                <w:u w:val="none"/>
                <w:lang w:eastAsia="zh-CN"/>
              </w:rPr>
              <w:t>。</w:t>
            </w:r>
          </w:p>
        </w:tc>
      </w:tr>
      <w:tr w14:paraId="152AF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8D05A">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91255">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9F4C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充电式手电</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A013B">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规格：续航≥8小时，防水等级≥IPX4，亮度≥1000流明，含充电座。</w:t>
            </w:r>
          </w:p>
        </w:tc>
      </w:tr>
      <w:tr w14:paraId="13904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CEFC6">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A28A5">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6420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捕蛇夹</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4CEDD">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规格：全长100-150cm，可伸缩，高碳钢材质，夹头带防脱安全锁。</w:t>
            </w:r>
          </w:p>
        </w:tc>
      </w:tr>
      <w:tr w14:paraId="1B82F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ECE32">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49388">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C192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医用一次性手套</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E2A31">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t>规格：独立包装，医用级丁腈或乳胶材质，无粉，麻面。</w:t>
            </w:r>
          </w:p>
        </w:tc>
      </w:tr>
      <w:tr w14:paraId="1BE21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78E71">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8CE92">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99D7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医用一次性防护服</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60C16">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规格：符合GB 19082标准，医用级，连身式，带帽，抗静电。</w:t>
            </w:r>
          </w:p>
        </w:tc>
      </w:tr>
      <w:tr w14:paraId="46ABC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1A865">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A5300">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6C77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医用一次性头套</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11D30">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规格：医用级，无纺布材质，弹性束口。</w:t>
            </w:r>
          </w:p>
        </w:tc>
      </w:tr>
      <w:tr w14:paraId="5D722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5554F">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C0759">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F39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护目镜</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6BA4D">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规格：医用级，防雾，防飞溅，全封闭或侧边通风型。</w:t>
            </w:r>
          </w:p>
        </w:tc>
      </w:tr>
      <w:tr w14:paraId="2AAC4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3D77F">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483F5">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013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救护动物一次性食盒</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57C7F">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lang w:eastAsia="zh-CN"/>
              </w:rPr>
              <w:t>规</w:t>
            </w:r>
            <w:r>
              <w:rPr>
                <w:rFonts w:hint="eastAsia" w:ascii="宋体" w:hAnsi="宋体" w:eastAsia="宋体" w:cs="宋体"/>
                <w:i w:val="0"/>
                <w:iCs w:val="0"/>
                <w:color w:val="auto"/>
                <w:sz w:val="22"/>
                <w:szCs w:val="22"/>
                <w:highlight w:val="none"/>
                <w:u w:val="none"/>
              </w:rPr>
              <w:t>格：长 25.5cm，宽16cm）</w:t>
            </w:r>
            <w:r>
              <w:rPr>
                <w:rFonts w:hint="eastAsia" w:ascii="宋体" w:hAnsi="宋体" w:eastAsia="宋体" w:cs="宋体"/>
                <w:i w:val="0"/>
                <w:iCs w:val="0"/>
                <w:color w:val="auto"/>
                <w:sz w:val="22"/>
                <w:szCs w:val="22"/>
                <w:highlight w:val="none"/>
                <w:u w:val="none"/>
                <w:lang w:eastAsia="zh-CN"/>
              </w:rPr>
              <w:t>。</w:t>
            </w:r>
          </w:p>
        </w:tc>
      </w:tr>
      <w:tr w14:paraId="56F3C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3B3A1">
            <w:pPr>
              <w:jc w:val="center"/>
              <w:rPr>
                <w:rFonts w:hint="eastAsia" w:ascii="宋体" w:hAnsi="宋体" w:eastAsia="宋体" w:cs="宋体"/>
                <w:b/>
                <w:bCs/>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CAEAF">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2564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普通线手套</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4AD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规格：棉线材质，防滑点塑或标准劳保款。</w:t>
            </w:r>
          </w:p>
        </w:tc>
      </w:tr>
      <w:tr w14:paraId="6D11C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3C0E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0742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救护医疗器具</w:t>
            </w: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39F3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手术台（含无影灯）</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DBFC0">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参数：型号：合页手术床FZ-21，规格长*宽*高=1400*600*760mm，说明：前后左右可 45°调节，台面高度电动升降，配置动物绑定器</w:t>
            </w:r>
            <w:r>
              <w:rPr>
                <w:rFonts w:hint="eastAsia" w:ascii="宋体" w:hAnsi="宋体" w:eastAsia="宋体" w:cs="宋体"/>
                <w:i w:val="0"/>
                <w:iCs w:val="0"/>
                <w:color w:val="auto"/>
                <w:sz w:val="22"/>
                <w:szCs w:val="22"/>
                <w:highlight w:val="none"/>
                <w:u w:val="none"/>
                <w:lang w:eastAsia="zh-CN"/>
              </w:rPr>
              <w:t>。</w:t>
            </w:r>
          </w:p>
        </w:tc>
      </w:tr>
      <w:tr w14:paraId="56A2F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E8231">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3FFEA">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A01F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医疗器械柜</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7AF7D">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参数：型号：FZ-51，规格：长*宽*高=900*400*1800mm</w:t>
            </w:r>
            <w:r>
              <w:rPr>
                <w:rFonts w:hint="eastAsia" w:ascii="宋体" w:hAnsi="宋体" w:eastAsia="宋体" w:cs="宋体"/>
                <w:i w:val="0"/>
                <w:iCs w:val="0"/>
                <w:color w:val="auto"/>
                <w:sz w:val="22"/>
                <w:szCs w:val="22"/>
                <w:highlight w:val="none"/>
                <w:u w:val="none"/>
                <w:lang w:eastAsia="zh-CN"/>
              </w:rPr>
              <w:t>。</w:t>
            </w:r>
          </w:p>
        </w:tc>
      </w:tr>
      <w:tr w14:paraId="14C2E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A23F1">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81514">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D251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高温消毒柜</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6768F">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参数：规格：立式双开门，尺寸：长*宽*高=1200*600*900mm</w:t>
            </w:r>
            <w:r>
              <w:rPr>
                <w:rFonts w:hint="eastAsia" w:ascii="宋体" w:hAnsi="宋体" w:eastAsia="宋体" w:cs="宋体"/>
                <w:i w:val="0"/>
                <w:iCs w:val="0"/>
                <w:color w:val="auto"/>
                <w:sz w:val="22"/>
                <w:szCs w:val="22"/>
                <w:highlight w:val="none"/>
                <w:u w:val="none"/>
                <w:lang w:eastAsia="zh-CN"/>
              </w:rPr>
              <w:t>。</w:t>
            </w:r>
          </w:p>
        </w:tc>
      </w:tr>
      <w:tr w14:paraId="43863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F0BA8">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2ADF8">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9B2D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加氧保温饲养箱</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BC9B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参数：箱体为有机玻璃或PVC材质，带温控系统（可调范围20-35℃）、加氧泵及氧气扩散器，内置食盆水盆。</w:t>
            </w:r>
          </w:p>
        </w:tc>
      </w:tr>
      <w:tr w14:paraId="08F24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CCB49">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B6ACE">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AC3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兽药冷藏柜</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8E7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参数：规格：双开门，功能</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制冷，功率300-500w，尺寸</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长*宽*高=1200*580*2000mm)</w:t>
            </w:r>
            <w:r>
              <w:rPr>
                <w:rFonts w:hint="eastAsia" w:ascii="宋体" w:hAnsi="宋体" w:eastAsia="宋体" w:cs="宋体"/>
                <w:i w:val="0"/>
                <w:iCs w:val="0"/>
                <w:color w:val="auto"/>
                <w:sz w:val="22"/>
                <w:szCs w:val="22"/>
                <w:highlight w:val="none"/>
                <w:u w:val="none"/>
                <w:lang w:eastAsia="zh-CN"/>
              </w:rPr>
              <w:t>。</w:t>
            </w:r>
          </w:p>
        </w:tc>
      </w:tr>
      <w:tr w14:paraId="5ECE7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FF65E">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DA6CA">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F18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紫外线灯</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BBE6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参数： 规格：医用级立式可移动紫外线消毒灯，含臭氧</w:t>
            </w:r>
            <w:r>
              <w:rPr>
                <w:rFonts w:hint="eastAsia" w:ascii="宋体" w:hAnsi="宋体" w:eastAsia="宋体" w:cs="宋体"/>
                <w:i w:val="0"/>
                <w:iCs w:val="0"/>
                <w:color w:val="auto"/>
                <w:sz w:val="22"/>
                <w:szCs w:val="22"/>
                <w:highlight w:val="none"/>
                <w:u w:val="none"/>
                <w:lang w:eastAsia="zh-CN"/>
              </w:rPr>
              <w:t>。</w:t>
            </w:r>
          </w:p>
        </w:tc>
      </w:tr>
      <w:tr w14:paraId="714CA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B0485">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9037C">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6FEF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注射器</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2A485">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规格：兽用，无菌，带针头，包含1ml、5ml、10ml、20ml等多种规格。</w:t>
            </w:r>
          </w:p>
        </w:tc>
      </w:tr>
      <w:tr w14:paraId="1BF1B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CA92A">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99AFE">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3BCD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输液器</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9C4A6">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规格：兽用，无菌，带输液针，适用于不同规格输液瓶。</w:t>
            </w:r>
          </w:p>
        </w:tc>
      </w:tr>
      <w:tr w14:paraId="342D8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BA083">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2F06E">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6465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试剂管</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D2A53">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规格：含EDTA抗凝管、普通血清管、微量离心管等，无菌。</w:t>
            </w:r>
          </w:p>
        </w:tc>
      </w:tr>
      <w:tr w14:paraId="6AD8E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9A715">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1C6A7">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2953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听诊器</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0A31F">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规格：医用级，双用（可听心音、呼吸音），钟面及膜面组合</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1A152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5DA7F">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D59CE">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3532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体温表</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2B425">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规格：兽用电子体温计或红外线体温计，测量范围32℃-45℃，精度±0.2℃</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751D3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CF0EB">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3F7CD">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6FD6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手术刀</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15C60">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规格：不锈钢材质，含刀柄及不同型号的一次性刀片（如11号、23号）</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62A50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7D101">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CC7C0">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EABD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手术剪</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31"/>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4899"/>
            </w:tblGrid>
            <w:tr w14:paraId="522EC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240" w:type="dxa"/>
                    <w:bottom w:w="150" w:type="dxa"/>
                    <w:right w:w="0" w:type="dxa"/>
                  </w:tcMar>
                  <w:vAlign w:val="center"/>
                </w:tcPr>
                <w:p w14:paraId="3E376FD8">
                  <w:pPr>
                    <w:keepNext w:val="0"/>
                    <w:keepLines w:val="0"/>
                    <w:widowControl/>
                    <w:suppressLineNumbers w:val="0"/>
                    <w:jc w:val="left"/>
                    <w:rPr>
                      <w:rFonts w:hint="eastAsia" w:ascii="宋体" w:hAnsi="宋体" w:eastAsia="宋体" w:cs="宋体"/>
                      <w:b w:val="0"/>
                      <w:bCs w:val="0"/>
                      <w:i w:val="0"/>
                      <w:iCs w:val="0"/>
                      <w:caps w:val="0"/>
                      <w:color w:val="auto"/>
                      <w:spacing w:val="0"/>
                      <w:sz w:val="22"/>
                      <w:szCs w:val="22"/>
                      <w:highlight w:val="none"/>
                    </w:rPr>
                  </w:pPr>
                  <w:r>
                    <w:rPr>
                      <w:rFonts w:hint="eastAsia" w:ascii="宋体" w:hAnsi="宋体" w:eastAsia="宋体" w:cs="宋体"/>
                      <w:b w:val="0"/>
                      <w:bCs w:val="0"/>
                      <w:i w:val="0"/>
                      <w:iCs w:val="0"/>
                      <w:caps w:val="0"/>
                      <w:color w:val="auto"/>
                      <w:spacing w:val="0"/>
                      <w:kern w:val="0"/>
                      <w:sz w:val="22"/>
                      <w:szCs w:val="22"/>
                      <w:highlight w:val="none"/>
                      <w:lang w:val="en-US" w:eastAsia="zh-CN" w:bidi="ar"/>
                    </w:rPr>
                    <w:t>规格：医用级</w:t>
                  </w:r>
                  <w:r>
                    <w:rPr>
                      <w:rFonts w:hint="eastAsia" w:ascii="宋体" w:hAnsi="宋体" w:eastAsia="宋体" w:cs="宋体"/>
                      <w:b w:val="0"/>
                      <w:bCs w:val="0"/>
                      <w:i w:val="0"/>
                      <w:iCs w:val="0"/>
                      <w:caps w:val="0"/>
                      <w:color w:val="auto"/>
                      <w:spacing w:val="0"/>
                      <w:sz w:val="22"/>
                      <w:szCs w:val="22"/>
                      <w:highlight w:val="none"/>
                      <w:shd w:val="clear" w:fill="FFFFFF"/>
                      <w:lang w:val="en-US" w:eastAsia="zh-CN"/>
                    </w:rPr>
                    <w:t>不锈钢，含直尖、弯尖、直圆等多种型号，长度14-18cm。</w:t>
                  </w:r>
                </w:p>
              </w:tc>
            </w:tr>
          </w:tbl>
          <w:p w14:paraId="4FEC782E">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p>
        </w:tc>
      </w:tr>
      <w:tr w14:paraId="6B7C7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7C28B">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5A39">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6C7D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创巾布</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31"/>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4899"/>
            </w:tblGrid>
            <w:tr w14:paraId="28A8D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240" w:type="dxa"/>
                    <w:bottom w:w="150" w:type="dxa"/>
                    <w:right w:w="0" w:type="dxa"/>
                  </w:tcMar>
                  <w:vAlign w:val="center"/>
                </w:tcPr>
                <w:p w14:paraId="19DFED0A">
                  <w:pPr>
                    <w:keepNext w:val="0"/>
                    <w:keepLines w:val="0"/>
                    <w:widowControl/>
                    <w:suppressLineNumbers w:val="0"/>
                    <w:jc w:val="left"/>
                    <w:rPr>
                      <w:rFonts w:hint="eastAsia" w:ascii="宋体" w:hAnsi="宋体" w:eastAsia="宋体" w:cs="宋体"/>
                      <w:b w:val="0"/>
                      <w:bCs w:val="0"/>
                      <w:i w:val="0"/>
                      <w:iCs w:val="0"/>
                      <w:caps w:val="0"/>
                      <w:color w:val="auto"/>
                      <w:spacing w:val="0"/>
                      <w:sz w:val="22"/>
                      <w:szCs w:val="22"/>
                      <w:highlight w:val="none"/>
                    </w:rPr>
                  </w:pPr>
                  <w:r>
                    <w:rPr>
                      <w:rFonts w:hint="eastAsia" w:ascii="宋体" w:hAnsi="宋体" w:eastAsia="宋体" w:cs="宋体"/>
                      <w:b w:val="0"/>
                      <w:bCs w:val="0"/>
                      <w:i w:val="0"/>
                      <w:iCs w:val="0"/>
                      <w:caps w:val="0"/>
                      <w:color w:val="auto"/>
                      <w:spacing w:val="0"/>
                      <w:kern w:val="0"/>
                      <w:sz w:val="22"/>
                      <w:szCs w:val="22"/>
                      <w:highlight w:val="none"/>
                      <w:lang w:val="en-US" w:eastAsia="zh-CN" w:bidi="ar"/>
                    </w:rPr>
                    <w:t>规格：纯棉或高密度无纺布，带孔，尺寸约60cm*60cm。</w:t>
                  </w:r>
                </w:p>
              </w:tc>
            </w:tr>
          </w:tbl>
          <w:p w14:paraId="676BA2F1">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p>
        </w:tc>
      </w:tr>
      <w:tr w14:paraId="3C5E4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12420">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C237A">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058F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创巾钳</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D7E68">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规格：不锈钢材质，用于固定创巾，长度约11cm</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12C46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D190C">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DBE1E">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774A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电磨机</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BFA60">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规格：用于打磨动物爪、喙或骨骼，可调速，带多种磨头。</w:t>
            </w:r>
          </w:p>
        </w:tc>
      </w:tr>
      <w:tr w14:paraId="5BC26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4AACA">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4BF63">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D1F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手术镊子</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CD52F">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规格：医用级不锈钢，含组织镊、敷料镊等多种型号，长度14-25cm。</w:t>
            </w:r>
          </w:p>
        </w:tc>
      </w:tr>
      <w:tr w14:paraId="0857F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47394">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3B085">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B0B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止血钳</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DF99F">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规格：医用级不锈钢，直/弯全齿，长度14-18cm。</w:t>
            </w:r>
          </w:p>
        </w:tc>
      </w:tr>
      <w:tr w14:paraId="1D983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A4965">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DF593">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632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骨钳</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F69FD">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规格：咬骨钳或骨剪，不锈钢材质，用于剪切骨骼。</w:t>
            </w:r>
          </w:p>
        </w:tc>
      </w:tr>
      <w:tr w14:paraId="60C74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EA483">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A7992">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30AF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剪毛剪</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12CE0">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规格：兽用电推剪或医用手术剪，用于术部剃毛。</w:t>
            </w:r>
          </w:p>
        </w:tc>
      </w:tr>
      <w:tr w14:paraId="62B0D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4CF2C">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0C937">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FE8E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持针器</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55959">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规格：医用级不锈钢，长度16-20cm，用于夹持缝合针。</w:t>
            </w:r>
          </w:p>
        </w:tc>
      </w:tr>
      <w:tr w14:paraId="18906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14031">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C1ED4">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2DCC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一体式缝合线</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85511">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规格：带针缝合线，含可吸收（如PGA）和不可吸收（如丝线）多种规格。</w:t>
            </w:r>
          </w:p>
        </w:tc>
      </w:tr>
      <w:tr w14:paraId="7DE10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18B2E">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452F2">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B85E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无菌纱布</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DE52E">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规格：医用级，无菌包装，多种尺寸（如5*7cm，10*10cm）。</w:t>
            </w:r>
          </w:p>
        </w:tc>
      </w:tr>
      <w:tr w14:paraId="5D735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B7ED6">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271E3">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171A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棉球</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707F4">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规格：医用级，无菌脱脂棉球。</w:t>
            </w:r>
          </w:p>
        </w:tc>
      </w:tr>
      <w:tr w14:paraId="3295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AAB58">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89028">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561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弹力绷带</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407F9">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规格：医用级，自粘或非自粘型，宽度5-10cm。</w:t>
            </w:r>
          </w:p>
        </w:tc>
      </w:tr>
      <w:tr w14:paraId="04BE9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FE5FC">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0142F">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5D1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高分子石膏绷带</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89D0A">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规格：兽用或医用高分子（玻璃纤维）石膏绷带，固化快，重量轻。</w:t>
            </w:r>
          </w:p>
        </w:tc>
      </w:tr>
      <w:tr w14:paraId="620E9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EB27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B916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救护药品</w:t>
            </w: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9C1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双氧水</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F778A">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规格：医用级，浓度3%，用于清创消毒，500ml/瓶</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402AB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62F4D">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4DF8D">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5B11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碘伏</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2BEF1">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规格：医用级，有效碘含量0.45%-0.55%，用于皮肤黏膜消毒，500ml/瓶</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27757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9DAFF">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4554F">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705C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酒精</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39342">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规格：医用级，浓度75%，用于皮肤消毒，500ml/瓶</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40FAE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CE909">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D3108">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6607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太白老翁散</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01703">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规格：传统中药制剂，用于外伤止血生肌。</w:t>
            </w:r>
          </w:p>
        </w:tc>
      </w:tr>
      <w:tr w14:paraId="04F0D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3D196">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10878">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40F9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红霉素软膏</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C64D2">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规格：兽用或人用级，浓度1%，用于皮肤感染治疗，10g/支。</w:t>
            </w:r>
          </w:p>
        </w:tc>
      </w:tr>
      <w:tr w14:paraId="63D0D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1C9F3">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203E0">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4602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鱼石脂软膏</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A386F">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规格：兽用或人用级，浓度10%，用于消炎、消肿，20g/支。</w:t>
            </w:r>
          </w:p>
        </w:tc>
      </w:tr>
      <w:tr w14:paraId="3A9A1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45FCD">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4FBEB">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05CB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银离子消毒液</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9FF13">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规格：含银离子抗菌剂，用于伤口、黏膜消毒，喷雾或液体。</w:t>
            </w:r>
          </w:p>
        </w:tc>
      </w:tr>
      <w:tr w14:paraId="1C5BD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17199">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7508D">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E1C4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广谱抗生素、庆大霉素</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96B79">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规格：注射液，10ml</w:t>
            </w:r>
            <w:r>
              <w:rPr>
                <w:rFonts w:hint="eastAsia" w:ascii="宋体" w:hAnsi="宋体" w:eastAsia="宋体" w:cs="宋体"/>
                <w:b w:val="0"/>
                <w:bCs w:val="0"/>
                <w:i w:val="0"/>
                <w:iCs w:val="0"/>
                <w:caps w:val="0"/>
                <w:color w:val="auto"/>
                <w:spacing w:val="0"/>
                <w:sz w:val="22"/>
                <w:szCs w:val="22"/>
                <w:highlight w:val="none"/>
                <w:shd w:val="clear" w:fill="FFFFFF"/>
                <w:lang w:eastAsia="zh-CN"/>
              </w:rPr>
              <w:t>：</w:t>
            </w:r>
            <w:r>
              <w:rPr>
                <w:rFonts w:hint="eastAsia" w:ascii="宋体" w:hAnsi="宋体" w:eastAsia="宋体" w:cs="宋体"/>
                <w:b w:val="0"/>
                <w:bCs w:val="0"/>
                <w:i w:val="0"/>
                <w:iCs w:val="0"/>
                <w:caps w:val="0"/>
                <w:color w:val="auto"/>
                <w:spacing w:val="0"/>
                <w:sz w:val="22"/>
                <w:szCs w:val="22"/>
                <w:highlight w:val="none"/>
                <w:shd w:val="clear" w:fill="FFFFFF"/>
              </w:rPr>
              <w:t>0.2g（20万单位），用于抗感染</w:t>
            </w:r>
          </w:p>
        </w:tc>
      </w:tr>
      <w:tr w14:paraId="3E088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255F9">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7B697">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0120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恩诺沙星</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33D62">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规格：兽用注射液，浓度2.5%或10%，100ml/瓶，用于抗感染</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26BA6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93527">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7571D">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BA2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头孢噻呋钠</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5FAB6">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规格：兽用粉针剂，规格1g/瓶，临用前稀释，用于抗感染。</w:t>
            </w:r>
          </w:p>
        </w:tc>
      </w:tr>
      <w:tr w14:paraId="2392C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9724">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CC805">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09B6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头孢隆肟</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059A5">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规格：兽用粉针剂，规格1g/瓶，第四代头孢类抗感染药。</w:t>
            </w:r>
          </w:p>
        </w:tc>
      </w:tr>
      <w:tr w14:paraId="401B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E0AD5">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0B4D7">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34C5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磺胺嘧啶注射液</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16790">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规格：兽用注射液，浓度10%，用于抗感染。</w:t>
            </w:r>
          </w:p>
        </w:tc>
      </w:tr>
      <w:tr w14:paraId="1188E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F7DDE">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CEA69">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C4E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注射青霉素</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5AC37">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规格：兽用粉针剂，规格160万单位/瓶，用于抗感染。</w:t>
            </w:r>
          </w:p>
        </w:tc>
      </w:tr>
      <w:tr w14:paraId="7916D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A0AB0">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F9F48">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6BB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安痛定</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5025A">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规格：兽用注射液，用于解热镇痛，10ml/支。</w:t>
            </w:r>
          </w:p>
        </w:tc>
      </w:tr>
      <w:tr w14:paraId="33F1F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4C317">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009E0">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7A88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氟尼辛葡甲胺</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E894B">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规格：兽用注射液，浓度5%，用于解热镇痛抗炎，100ml/瓶。</w:t>
            </w:r>
          </w:p>
        </w:tc>
      </w:tr>
      <w:tr w14:paraId="1E839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B4261">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2C764">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53E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酚磺乙胺</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BE7B8">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规格：兽用注射液，用于止血，浓度12.5%，10ml/支</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5935E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267AF">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AB427">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5696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碳酸氢钠注射液</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4D2E4">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规格：兽用注射液，浓度5%，用于纠正酸中毒，250ml/瓶</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16FD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1B978">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32E39">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AD3C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50%葡萄糖</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BAC26">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aps w:val="0"/>
                <w:color w:val="auto"/>
                <w:spacing w:val="0"/>
                <w:sz w:val="22"/>
                <w:szCs w:val="22"/>
                <w:highlight w:val="none"/>
                <w:shd w:val="clear" w:fill="FFFFFF"/>
              </w:rPr>
              <w:t>规格：兽用注射液，高渗液，用于补充能量，20ml/支。</w:t>
            </w:r>
          </w:p>
        </w:tc>
      </w:tr>
      <w:tr w14:paraId="225CE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A685A">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84D8B">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567A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5%葡萄糖</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9B2F4">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规格：兽用注射液，等渗液，用于体液补充，250ml或500ml/瓶</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2DEE0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64EF2">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6EA26">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5E27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0.9%氯化钠</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31"/>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4899"/>
            </w:tblGrid>
            <w:tr w14:paraId="51C92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240" w:type="dxa"/>
                    <w:bottom w:w="150" w:type="dxa"/>
                    <w:right w:w="0" w:type="dxa"/>
                  </w:tcMar>
                  <w:vAlign w:val="center"/>
                </w:tcPr>
                <w:p w14:paraId="4E007010">
                  <w:pPr>
                    <w:keepNext w:val="0"/>
                    <w:keepLines w:val="0"/>
                    <w:widowControl/>
                    <w:suppressLineNumbers w:val="0"/>
                    <w:jc w:val="left"/>
                    <w:rPr>
                      <w:rFonts w:hint="eastAsia" w:ascii="宋体" w:hAnsi="宋体" w:eastAsia="宋体" w:cs="宋体"/>
                      <w:b w:val="0"/>
                      <w:bCs w:val="0"/>
                      <w:i w:val="0"/>
                      <w:iCs w:val="0"/>
                      <w:caps w:val="0"/>
                      <w:color w:val="auto"/>
                      <w:spacing w:val="0"/>
                      <w:sz w:val="22"/>
                      <w:szCs w:val="22"/>
                      <w:highlight w:val="none"/>
                    </w:rPr>
                  </w:pPr>
                  <w:r>
                    <w:rPr>
                      <w:rFonts w:hint="eastAsia" w:ascii="宋体" w:hAnsi="宋体" w:eastAsia="宋体" w:cs="宋体"/>
                      <w:b w:val="0"/>
                      <w:bCs w:val="0"/>
                      <w:i w:val="0"/>
                      <w:iCs w:val="0"/>
                      <w:caps w:val="0"/>
                      <w:color w:val="auto"/>
                      <w:spacing w:val="0"/>
                      <w:kern w:val="0"/>
                      <w:sz w:val="22"/>
                      <w:szCs w:val="22"/>
                      <w:highlight w:val="none"/>
                      <w:lang w:val="en-US" w:eastAsia="zh-CN" w:bidi="ar"/>
                    </w:rPr>
                    <w:t>规格：兽用注射液，等渗生理盐水，用于体液补充，250ml或500ml/瓶。</w:t>
                  </w:r>
                </w:p>
              </w:tc>
            </w:tr>
          </w:tbl>
          <w:p w14:paraId="0EB21CF9">
            <w:pPr>
              <w:keepNext w:val="0"/>
              <w:keepLines w:val="0"/>
              <w:widowControl/>
              <w:suppressLineNumbers w:val="0"/>
              <w:jc w:val="left"/>
              <w:textAlignment w:val="center"/>
              <w:rPr>
                <w:rFonts w:hint="eastAsia" w:ascii="宋体" w:hAnsi="宋体" w:eastAsia="宋体" w:cs="宋体"/>
                <w:b w:val="0"/>
                <w:bCs w:val="0"/>
                <w:i w:val="0"/>
                <w:iCs w:val="0"/>
                <w:color w:val="auto"/>
                <w:sz w:val="22"/>
                <w:szCs w:val="22"/>
                <w:highlight w:val="none"/>
                <w:u w:val="none"/>
              </w:rPr>
            </w:pPr>
          </w:p>
        </w:tc>
      </w:tr>
      <w:tr w14:paraId="70CEC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EAFA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060D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救护诊疗设备</w:t>
            </w: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BF18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仿宋" w:hAnsi="仿宋" w:eastAsia="仿宋" w:cs="仿宋"/>
                <w:b/>
                <w:bCs/>
                <w:color w:val="auto"/>
                <w:sz w:val="24"/>
                <w:szCs w:val="24"/>
                <w:highlight w:val="none"/>
                <w:lang w:val="en-US" w:eastAsia="zh-CN"/>
              </w:rPr>
              <w:t xml:space="preserve">★ </w:t>
            </w:r>
            <w:r>
              <w:rPr>
                <w:rFonts w:hint="eastAsia" w:ascii="宋体" w:hAnsi="宋体" w:eastAsia="宋体" w:cs="宋体"/>
                <w:i w:val="0"/>
                <w:iCs w:val="0"/>
                <w:color w:val="auto"/>
                <w:kern w:val="0"/>
                <w:sz w:val="22"/>
                <w:szCs w:val="22"/>
                <w:highlight w:val="none"/>
                <w:u w:val="none"/>
                <w:lang w:val="en-US" w:eastAsia="zh-CN" w:bidi="ar"/>
              </w:rPr>
              <w:t>DR数字X线机</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2D08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参数</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输出电压</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AC220V，成像尺寸430*430mm2，像素尺寸410um,焦点尺寸</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0.5/1.0mm，热容量尺寸</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140khu，机身尺寸</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长*宽*高=120*78*185cm</w:t>
            </w:r>
            <w:r>
              <w:rPr>
                <w:rFonts w:hint="eastAsia" w:ascii="宋体" w:hAnsi="宋体" w:eastAsia="宋体" w:cs="宋体"/>
                <w:i w:val="0"/>
                <w:iCs w:val="0"/>
                <w:color w:val="auto"/>
                <w:sz w:val="22"/>
                <w:szCs w:val="22"/>
                <w:highlight w:val="none"/>
                <w:u w:val="none"/>
                <w:lang w:eastAsia="zh-CN"/>
              </w:rPr>
              <w:t>。</w:t>
            </w:r>
          </w:p>
        </w:tc>
      </w:tr>
      <w:tr w14:paraId="59C50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AB503">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7D42D">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22FD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仿宋" w:hAnsi="仿宋" w:eastAsia="仿宋" w:cs="仿宋"/>
                <w:b/>
                <w:bCs/>
                <w:color w:val="auto"/>
                <w:sz w:val="24"/>
                <w:szCs w:val="24"/>
                <w:highlight w:val="none"/>
                <w:lang w:val="en-US" w:eastAsia="zh-CN"/>
              </w:rPr>
              <w:t xml:space="preserve">  </w:t>
            </w:r>
            <w:r>
              <w:rPr>
                <w:rFonts w:hint="eastAsia" w:ascii="宋体" w:hAnsi="宋体" w:eastAsia="宋体" w:cs="宋体"/>
                <w:i w:val="0"/>
                <w:iCs w:val="0"/>
                <w:color w:val="auto"/>
                <w:kern w:val="0"/>
                <w:sz w:val="22"/>
                <w:szCs w:val="22"/>
                <w:highlight w:val="none"/>
                <w:u w:val="none"/>
                <w:lang w:val="en-US" w:eastAsia="zh-CN" w:bidi="ar"/>
              </w:rPr>
              <w:t>B超机</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54AA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兽用彩色多普勒超声诊断仪主机，&gt;15.3”高分辨率彩色液晶显示器主机内置探头接口&gt;2个，大小一致，全激活，互通互用，接收方式为发射、接受通道≥1024，解剖M型成像，&gt;3线，360°可调，超宽频变频探头，探头配置为凸阵、线阵或相控阵等。</w:t>
            </w:r>
          </w:p>
        </w:tc>
      </w:tr>
      <w:tr w14:paraId="772A7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27838">
            <w:pPr>
              <w:jc w:val="center"/>
              <w:rPr>
                <w:rFonts w:hint="eastAsia" w:ascii="宋体" w:hAnsi="宋体" w:eastAsia="宋体" w:cs="宋体"/>
                <w:i w:val="0"/>
                <w:iCs w:val="0"/>
                <w:color w:val="000000"/>
                <w:sz w:val="22"/>
                <w:szCs w:val="22"/>
                <w:highlight w:val="none"/>
                <w:u w:val="none"/>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AE1FC">
            <w:pPr>
              <w:jc w:val="center"/>
              <w:rPr>
                <w:rFonts w:hint="eastAsia" w:ascii="宋体" w:hAnsi="宋体" w:eastAsia="宋体" w:cs="宋体"/>
                <w:i w:val="0"/>
                <w:iCs w:val="0"/>
                <w:color w:val="000000"/>
                <w:sz w:val="22"/>
                <w:szCs w:val="22"/>
                <w:highlight w:val="none"/>
                <w:u w:val="none"/>
              </w:rPr>
            </w:pP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74F2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仿宋" w:hAnsi="仿宋" w:eastAsia="仿宋" w:cs="仿宋"/>
                <w:b/>
                <w:bCs/>
                <w:color w:val="auto"/>
                <w:sz w:val="24"/>
                <w:szCs w:val="24"/>
                <w:highlight w:val="none"/>
                <w:lang w:val="en-US" w:eastAsia="zh-CN"/>
              </w:rPr>
              <w:t xml:space="preserve"> </w:t>
            </w:r>
            <w:r>
              <w:rPr>
                <w:rFonts w:hint="eastAsia" w:ascii="宋体" w:hAnsi="宋体" w:eastAsia="宋体" w:cs="宋体"/>
                <w:i w:val="0"/>
                <w:iCs w:val="0"/>
                <w:color w:val="auto"/>
                <w:kern w:val="0"/>
                <w:sz w:val="22"/>
                <w:szCs w:val="22"/>
                <w:highlight w:val="none"/>
                <w:u w:val="none"/>
                <w:lang w:val="en-US" w:eastAsia="zh-CN" w:bidi="ar"/>
              </w:rPr>
              <w:t>生物显微镜</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1430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参数</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光学系统</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无限远校正光学系统，具有明场能，可配4位物镜转换器，总可放大倍数</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40-1000X，观察镜筒</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30°双目镜筒;FOV=20mm，射透光照明</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白色冷光LED照明，寿命≥2.5万小时，色温6000K</w:t>
            </w:r>
            <w:r>
              <w:rPr>
                <w:rFonts w:hint="eastAsia" w:ascii="宋体" w:hAnsi="宋体" w:eastAsia="宋体" w:cs="宋体"/>
                <w:i w:val="0"/>
                <w:iCs w:val="0"/>
                <w:color w:val="auto"/>
                <w:sz w:val="22"/>
                <w:szCs w:val="22"/>
                <w:highlight w:val="none"/>
                <w:u w:val="none"/>
                <w:lang w:eastAsia="zh-CN"/>
              </w:rPr>
              <w:t>。</w:t>
            </w:r>
          </w:p>
        </w:tc>
      </w:tr>
      <w:tr w14:paraId="7DFC8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E5A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5</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960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救助动物饲料</w:t>
            </w: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7A1B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动物饲料</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C7DA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b w:val="0"/>
                <w:bCs w:val="0"/>
                <w:i w:val="0"/>
                <w:iCs w:val="0"/>
                <w:caps w:val="0"/>
                <w:color w:val="auto"/>
                <w:spacing w:val="0"/>
                <w:sz w:val="22"/>
                <w:szCs w:val="22"/>
                <w:highlight w:val="none"/>
                <w:shd w:val="clear" w:fill="FFFFFF"/>
              </w:rPr>
              <w:t>根据本地收容动物种类配置，如禽类颗粒料、猫粮、狗粮、玉米、蔬菜、面包虫、鼠类等，需符合GB 13078标准</w:t>
            </w:r>
            <w:r>
              <w:rPr>
                <w:rFonts w:hint="eastAsia" w:ascii="宋体" w:hAnsi="宋体" w:eastAsia="宋体" w:cs="宋体"/>
                <w:b w:val="0"/>
                <w:bCs w:val="0"/>
                <w:i w:val="0"/>
                <w:iCs w:val="0"/>
                <w:caps w:val="0"/>
                <w:color w:val="auto"/>
                <w:spacing w:val="0"/>
                <w:sz w:val="22"/>
                <w:szCs w:val="22"/>
                <w:highlight w:val="none"/>
                <w:shd w:val="clear" w:fill="FFFFFF"/>
                <w:lang w:eastAsia="zh-CN"/>
              </w:rPr>
              <w:t>。</w:t>
            </w:r>
          </w:p>
        </w:tc>
      </w:tr>
      <w:tr w14:paraId="06693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5" w:hRule="atLeast"/>
        </w:trPr>
        <w:tc>
          <w:tcPr>
            <w:tcW w:w="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CD2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C3C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指示牌及标志牌</w:t>
            </w:r>
          </w:p>
        </w:tc>
        <w:tc>
          <w:tcPr>
            <w:tcW w:w="14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D61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制作、树立悬挂野生动物保护宣传及收容救助站标识</w:t>
            </w:r>
          </w:p>
        </w:tc>
        <w:tc>
          <w:tcPr>
            <w:tcW w:w="2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D7A1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“麟游县野生动物收容救护点”指示牌一面，规格为</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牌面宽x长=2x3m，钢管做支架(钢管外径≥108m，壁厚≥6mm)，支架高2.5m(地面距版面下沿1.5m.地下深埋1m)，铝合金面板，蓝底色白字</w:t>
            </w:r>
            <w:r>
              <w:rPr>
                <w:rFonts w:hint="eastAsia" w:ascii="宋体" w:hAnsi="宋体" w:eastAsia="宋体" w:cs="宋体"/>
                <w:i w:val="0"/>
                <w:iCs w:val="0"/>
                <w:color w:val="auto"/>
                <w:sz w:val="22"/>
                <w:szCs w:val="22"/>
                <w:highlight w:val="none"/>
                <w:u w:val="none"/>
                <w:lang w:eastAsia="zh-CN"/>
              </w:rPr>
              <w:t>。</w:t>
            </w:r>
          </w:p>
          <w:p w14:paraId="76D0AA8B">
            <w:pPr>
              <w:pStyle w:val="2"/>
              <w:ind w:left="0" w:leftChars="0"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“麟游县野生动物收容救护站”标志牌一面，规格为：牌面宽x长=80x100cm，铝合金板材绿底色白字。</w:t>
            </w:r>
          </w:p>
        </w:tc>
      </w:tr>
    </w:tbl>
    <w:p w14:paraId="1397ED48">
      <w:pPr>
        <w:pStyle w:val="2"/>
        <w:ind w:left="0" w:leftChars="0" w:firstLine="0" w:firstLineChars="0"/>
        <w:rPr>
          <w:rFonts w:hint="eastAsia"/>
          <w:sz w:val="22"/>
          <w:szCs w:val="22"/>
          <w:highlight w:val="none"/>
          <w:lang w:eastAsia="zh-CN"/>
        </w:rPr>
      </w:pPr>
    </w:p>
    <w:p w14:paraId="6BBCC4B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42" w:firstLineChars="200"/>
        <w:textAlignment w:val="auto"/>
        <w:outlineLvl w:val="9"/>
        <w:rPr>
          <w:rFonts w:hint="eastAsia" w:ascii="宋体" w:hAnsi="宋体" w:eastAsia="宋体" w:cs="宋体"/>
          <w:b/>
          <w:bCs/>
          <w:snapToGrid w:val="0"/>
          <w:color w:val="auto"/>
          <w:spacing w:val="0"/>
          <w:kern w:val="0"/>
          <w:position w:val="0"/>
          <w:sz w:val="22"/>
          <w:szCs w:val="22"/>
          <w:highlight w:val="none"/>
          <w:lang w:eastAsia="zh-CN"/>
        </w:rPr>
      </w:pPr>
      <w:bookmarkStart w:id="67" w:name="_Toc7398"/>
      <w:r>
        <w:rPr>
          <w:rFonts w:hint="eastAsia" w:ascii="宋体" w:hAnsi="宋体" w:eastAsia="宋体" w:cs="宋体"/>
          <w:b/>
          <w:bCs/>
          <w:snapToGrid w:val="0"/>
          <w:color w:val="000000"/>
          <w:spacing w:val="0"/>
          <w:kern w:val="0"/>
          <w:position w:val="0"/>
          <w:sz w:val="22"/>
          <w:szCs w:val="22"/>
          <w:highlight w:val="none"/>
        </w:rPr>
        <w:t>注：</w:t>
      </w:r>
      <w:r>
        <w:rPr>
          <w:rFonts w:hint="eastAsia" w:ascii="仿宋" w:hAnsi="仿宋" w:eastAsia="仿宋" w:cs="仿宋"/>
          <w:b/>
          <w:bCs/>
          <w:color w:val="auto"/>
          <w:sz w:val="22"/>
          <w:szCs w:val="22"/>
          <w:highlight w:val="none"/>
          <w:lang w:val="en-US" w:eastAsia="zh-CN"/>
        </w:rPr>
        <w:t>1</w:t>
      </w:r>
      <w:r>
        <w:rPr>
          <w:rFonts w:hint="eastAsia" w:ascii="宋体" w:hAnsi="宋体" w:eastAsia="宋体" w:cs="宋体"/>
          <w:b/>
          <w:bCs/>
          <w:color w:val="auto"/>
          <w:sz w:val="22"/>
          <w:szCs w:val="22"/>
          <w:highlight w:val="none"/>
          <w:lang w:val="en-US" w:eastAsia="zh-CN"/>
        </w:rPr>
        <w:t>、所有技术参数</w:t>
      </w:r>
      <w:r>
        <w:rPr>
          <w:rFonts w:hint="eastAsia" w:ascii="仿宋" w:hAnsi="仿宋" w:eastAsia="仿宋" w:cs="仿宋"/>
          <w:b/>
          <w:bCs/>
          <w:color w:val="auto"/>
          <w:sz w:val="22"/>
          <w:szCs w:val="22"/>
          <w:highlight w:val="none"/>
          <w:lang w:val="en-US" w:eastAsia="zh-CN"/>
        </w:rPr>
        <w:t>，</w:t>
      </w:r>
      <w:r>
        <w:rPr>
          <w:rFonts w:hint="eastAsia" w:ascii="宋体" w:hAnsi="宋体" w:eastAsia="宋体" w:cs="宋体"/>
          <w:b/>
          <w:bCs/>
          <w:snapToGrid w:val="0"/>
          <w:color w:val="auto"/>
          <w:spacing w:val="0"/>
          <w:kern w:val="0"/>
          <w:position w:val="0"/>
          <w:sz w:val="22"/>
          <w:szCs w:val="22"/>
          <w:highlight w:val="none"/>
        </w:rPr>
        <w:t>不得负偏离</w:t>
      </w:r>
      <w:r>
        <w:rPr>
          <w:rFonts w:hint="eastAsia" w:ascii="宋体" w:hAnsi="宋体" w:cs="宋体"/>
          <w:b/>
          <w:bCs/>
          <w:snapToGrid w:val="0"/>
          <w:color w:val="auto"/>
          <w:spacing w:val="0"/>
          <w:kern w:val="0"/>
          <w:position w:val="0"/>
          <w:sz w:val="22"/>
          <w:szCs w:val="22"/>
          <w:highlight w:val="none"/>
          <w:lang w:eastAsia="zh-CN"/>
        </w:rPr>
        <w:t>，否则按无效响应处理</w:t>
      </w:r>
      <w:bookmarkStart w:id="68" w:name="OLE_LINK4"/>
      <w:r>
        <w:rPr>
          <w:rFonts w:hint="eastAsia" w:ascii="宋体" w:hAnsi="宋体" w:cs="宋体"/>
          <w:b/>
          <w:bCs/>
          <w:snapToGrid w:val="0"/>
          <w:color w:val="auto"/>
          <w:spacing w:val="0"/>
          <w:kern w:val="0"/>
          <w:position w:val="0"/>
          <w:sz w:val="22"/>
          <w:szCs w:val="22"/>
          <w:highlight w:val="none"/>
          <w:lang w:eastAsia="zh-CN"/>
        </w:rPr>
        <w:t>；标“</w:t>
      </w:r>
      <w:r>
        <w:rPr>
          <w:rFonts w:hint="eastAsia" w:ascii="仿宋" w:hAnsi="仿宋" w:eastAsia="仿宋" w:cs="仿宋"/>
          <w:b/>
          <w:bCs/>
          <w:color w:val="auto"/>
          <w:sz w:val="22"/>
          <w:szCs w:val="22"/>
          <w:highlight w:val="none"/>
          <w:lang w:val="en-US" w:eastAsia="zh-CN"/>
        </w:rPr>
        <w:t>★</w:t>
      </w:r>
      <w:r>
        <w:rPr>
          <w:rFonts w:hint="eastAsia" w:ascii="宋体" w:hAnsi="宋体" w:cs="宋体"/>
          <w:b/>
          <w:bCs/>
          <w:snapToGrid w:val="0"/>
          <w:color w:val="auto"/>
          <w:spacing w:val="0"/>
          <w:kern w:val="0"/>
          <w:position w:val="0"/>
          <w:sz w:val="22"/>
          <w:szCs w:val="22"/>
          <w:highlight w:val="none"/>
          <w:lang w:eastAsia="zh-CN"/>
        </w:rPr>
        <w:t>”设备须在技术响应偏离表后附技术参数佐证材料（包括但不限于制造商公开发布的印刷资料、</w:t>
      </w:r>
      <w:r>
        <w:rPr>
          <w:rFonts w:ascii="Segoe UI" w:hAnsi="Segoe UI" w:eastAsia="Segoe UI" w:cs="Segoe UI"/>
          <w:b/>
          <w:bCs/>
          <w:i w:val="0"/>
          <w:iCs w:val="0"/>
          <w:caps w:val="0"/>
          <w:color w:val="0F1115"/>
          <w:spacing w:val="0"/>
          <w:sz w:val="22"/>
          <w:szCs w:val="22"/>
          <w:highlight w:val="none"/>
          <w:shd w:val="clear" w:fill="FFFFFF"/>
        </w:rPr>
        <w:t>医疗器械注册证附件</w:t>
      </w:r>
      <w:r>
        <w:rPr>
          <w:rFonts w:hint="eastAsia" w:ascii="宋体" w:hAnsi="宋体" w:cs="宋体"/>
          <w:b/>
          <w:bCs/>
          <w:snapToGrid w:val="0"/>
          <w:color w:val="auto"/>
          <w:spacing w:val="0"/>
          <w:kern w:val="0"/>
          <w:position w:val="0"/>
          <w:sz w:val="22"/>
          <w:szCs w:val="22"/>
          <w:highlight w:val="none"/>
          <w:lang w:eastAsia="zh-CN"/>
        </w:rPr>
        <w:t>、</w:t>
      </w:r>
      <w:r>
        <w:rPr>
          <w:rFonts w:ascii="Segoe UI" w:hAnsi="Segoe UI" w:eastAsia="Segoe UI" w:cs="Segoe UI"/>
          <w:b/>
          <w:bCs/>
          <w:i w:val="0"/>
          <w:iCs w:val="0"/>
          <w:caps w:val="0"/>
          <w:color w:val="0F1115"/>
          <w:spacing w:val="0"/>
          <w:sz w:val="22"/>
          <w:szCs w:val="22"/>
          <w:highlight w:val="none"/>
          <w:shd w:val="clear" w:fill="FFFFFF"/>
        </w:rPr>
        <w:t>第三方技术检验报告</w:t>
      </w:r>
      <w:r>
        <w:rPr>
          <w:rFonts w:hint="eastAsia" w:ascii="Segoe UI" w:hAnsi="Segoe UI" w:eastAsia="宋体" w:cs="Segoe UI"/>
          <w:b/>
          <w:bCs/>
          <w:i w:val="0"/>
          <w:iCs w:val="0"/>
          <w:caps w:val="0"/>
          <w:color w:val="0F1115"/>
          <w:spacing w:val="0"/>
          <w:sz w:val="22"/>
          <w:szCs w:val="22"/>
          <w:highlight w:val="none"/>
          <w:shd w:val="clear" w:fill="FFFFFF"/>
          <w:lang w:eastAsia="zh-CN"/>
        </w:rPr>
        <w:t>、</w:t>
      </w:r>
      <w:r>
        <w:rPr>
          <w:rFonts w:ascii="Segoe UI" w:hAnsi="Segoe UI" w:eastAsia="Segoe UI" w:cs="Segoe UI"/>
          <w:b/>
          <w:bCs/>
          <w:i w:val="0"/>
          <w:iCs w:val="0"/>
          <w:caps w:val="0"/>
          <w:color w:val="0F1115"/>
          <w:spacing w:val="0"/>
          <w:sz w:val="22"/>
          <w:szCs w:val="22"/>
          <w:highlight w:val="none"/>
          <w:shd w:val="clear" w:fill="FFFFFF"/>
        </w:rPr>
        <w:t>生产厂家产品说明书或技术白皮书</w:t>
      </w:r>
      <w:r>
        <w:rPr>
          <w:rFonts w:hint="eastAsia" w:ascii="Segoe UI" w:hAnsi="Segoe UI" w:eastAsia="宋体" w:cs="Segoe UI"/>
          <w:b/>
          <w:bCs/>
          <w:i w:val="0"/>
          <w:iCs w:val="0"/>
          <w:caps w:val="0"/>
          <w:color w:val="0F1115"/>
          <w:spacing w:val="0"/>
          <w:sz w:val="22"/>
          <w:szCs w:val="22"/>
          <w:highlight w:val="none"/>
          <w:shd w:val="clear" w:fill="FFFFFF"/>
          <w:lang w:eastAsia="zh-CN"/>
        </w:rPr>
        <w:t>、</w:t>
      </w:r>
      <w:r>
        <w:rPr>
          <w:rFonts w:hint="eastAsia" w:ascii="宋体" w:hAnsi="宋体" w:cs="宋体"/>
          <w:b/>
          <w:bCs/>
          <w:snapToGrid w:val="0"/>
          <w:color w:val="auto"/>
          <w:spacing w:val="0"/>
          <w:kern w:val="0"/>
          <w:position w:val="0"/>
          <w:sz w:val="22"/>
          <w:szCs w:val="22"/>
          <w:highlight w:val="none"/>
          <w:lang w:eastAsia="zh-CN"/>
        </w:rPr>
        <w:t>宣传彩页或官方网站截图等或检测机构出具的检测报</w:t>
      </w:r>
      <w:r>
        <w:rPr>
          <w:rFonts w:hint="eastAsia" w:ascii="宋体" w:hAnsi="宋体" w:eastAsia="宋体" w:cs="宋体"/>
          <w:b/>
          <w:bCs/>
          <w:snapToGrid w:val="0"/>
          <w:color w:val="auto"/>
          <w:spacing w:val="0"/>
          <w:kern w:val="0"/>
          <w:position w:val="0"/>
          <w:sz w:val="22"/>
          <w:szCs w:val="22"/>
          <w:highlight w:val="none"/>
          <w:lang w:eastAsia="zh-CN"/>
        </w:rPr>
        <w:t>告</w:t>
      </w:r>
      <w:r>
        <w:rPr>
          <w:rFonts w:hint="eastAsia" w:ascii="宋体" w:hAnsi="宋体" w:eastAsia="宋体" w:cs="宋体"/>
          <w:b/>
          <w:bCs/>
          <w:snapToGrid w:val="0"/>
          <w:color w:val="auto"/>
          <w:spacing w:val="0"/>
          <w:kern w:val="0"/>
          <w:position w:val="0"/>
          <w:sz w:val="22"/>
          <w:szCs w:val="22"/>
          <w:highlight w:val="none"/>
          <w:lang w:val="en-US" w:eastAsia="zh-CN"/>
        </w:rPr>
        <w:t>,</w:t>
      </w:r>
      <w:r>
        <w:rPr>
          <w:rFonts w:hint="eastAsia" w:ascii="宋体" w:hAnsi="宋体" w:cs="宋体"/>
          <w:b/>
          <w:bCs/>
          <w:snapToGrid w:val="0"/>
          <w:color w:val="auto"/>
          <w:spacing w:val="0"/>
          <w:kern w:val="0"/>
          <w:position w:val="0"/>
          <w:sz w:val="22"/>
          <w:szCs w:val="22"/>
          <w:highlight w:val="none"/>
          <w:lang w:eastAsia="zh-CN"/>
        </w:rPr>
        <w:t>复印件加盖公章），</w:t>
      </w:r>
      <w:bookmarkEnd w:id="68"/>
      <w:r>
        <w:rPr>
          <w:rFonts w:hint="eastAsia" w:ascii="宋体" w:hAnsi="宋体" w:eastAsia="宋体" w:cs="宋体"/>
          <w:b/>
          <w:bCs/>
          <w:snapToGrid w:val="0"/>
          <w:color w:val="auto"/>
          <w:spacing w:val="0"/>
          <w:kern w:val="0"/>
          <w:position w:val="0"/>
          <w:sz w:val="22"/>
          <w:szCs w:val="22"/>
          <w:highlight w:val="none"/>
          <w:lang w:eastAsia="zh-CN"/>
        </w:rPr>
        <w:t>如有不一致的情况以检测（检验）报告为准，无佐证材料的技术参数按负偏离处理。</w:t>
      </w:r>
    </w:p>
    <w:p w14:paraId="2BC25E5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42" w:firstLineChars="200"/>
        <w:textAlignment w:val="auto"/>
        <w:outlineLvl w:val="9"/>
        <w:rPr>
          <w:rFonts w:hint="default" w:ascii="宋体" w:hAnsi="宋体" w:eastAsia="宋体" w:cs="宋体"/>
          <w:b/>
          <w:bCs/>
          <w:snapToGrid w:val="0"/>
          <w:color w:val="auto"/>
          <w:spacing w:val="0"/>
          <w:kern w:val="0"/>
          <w:position w:val="0"/>
          <w:sz w:val="22"/>
          <w:szCs w:val="22"/>
          <w:highlight w:val="none"/>
          <w:lang w:val="en-US" w:eastAsia="zh-CN"/>
        </w:rPr>
      </w:pPr>
      <w:r>
        <w:rPr>
          <w:rFonts w:hint="eastAsia" w:ascii="宋体" w:hAnsi="宋体" w:eastAsia="宋体" w:cs="宋体"/>
          <w:b/>
          <w:bCs/>
          <w:snapToGrid w:val="0"/>
          <w:color w:val="auto"/>
          <w:spacing w:val="0"/>
          <w:kern w:val="0"/>
          <w:position w:val="0"/>
          <w:sz w:val="22"/>
          <w:szCs w:val="22"/>
          <w:highlight w:val="none"/>
          <w:lang w:val="en-US" w:eastAsia="zh-CN"/>
        </w:rPr>
        <w:t>2、在技术参数响应偏离表“说明”列注明相关技术参数佐证材料</w:t>
      </w:r>
      <w:r>
        <w:rPr>
          <w:rFonts w:hint="eastAsia" w:ascii="宋体" w:hAnsi="宋体" w:cs="宋体"/>
          <w:b/>
          <w:bCs/>
          <w:snapToGrid w:val="0"/>
          <w:color w:val="auto"/>
          <w:spacing w:val="0"/>
          <w:kern w:val="0"/>
          <w:position w:val="0"/>
          <w:sz w:val="22"/>
          <w:szCs w:val="22"/>
          <w:highlight w:val="none"/>
          <w:lang w:val="en-US" w:eastAsia="zh-CN"/>
        </w:rPr>
        <w:t>所在</w:t>
      </w:r>
      <w:r>
        <w:rPr>
          <w:rFonts w:hint="eastAsia" w:ascii="宋体" w:hAnsi="宋体" w:eastAsia="宋体" w:cs="宋体"/>
          <w:b/>
          <w:bCs/>
          <w:snapToGrid w:val="0"/>
          <w:color w:val="auto"/>
          <w:spacing w:val="0"/>
          <w:kern w:val="0"/>
          <w:position w:val="0"/>
          <w:sz w:val="22"/>
          <w:szCs w:val="22"/>
          <w:highlight w:val="none"/>
          <w:lang w:val="en-US" w:eastAsia="zh-CN"/>
        </w:rPr>
        <w:t>页码。</w:t>
      </w:r>
    </w:p>
    <w:bookmarkEnd w:id="67"/>
    <w:p w14:paraId="111B06FB">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textAlignment w:val="baseline"/>
        <w:outlineLvl w:val="9"/>
        <w:rPr>
          <w:rFonts w:hint="eastAsia" w:ascii="宋体" w:hAnsi="宋体" w:eastAsia="宋体" w:cs="宋体"/>
          <w:spacing w:val="0"/>
          <w:position w:val="0"/>
          <w:sz w:val="24"/>
          <w:szCs w:val="24"/>
          <w:highlight w:val="none"/>
        </w:rPr>
      </w:pPr>
      <w:r>
        <w:rPr>
          <w:rFonts w:hint="eastAsia" w:ascii="宋体" w:hAnsi="宋体" w:cs="宋体"/>
          <w:b/>
          <w:bCs/>
          <w:spacing w:val="0"/>
          <w:position w:val="0"/>
          <w:sz w:val="24"/>
          <w:szCs w:val="24"/>
          <w:highlight w:val="none"/>
          <w:lang w:val="en-US" w:eastAsia="zh-CN"/>
        </w:rPr>
        <w:t>三</w:t>
      </w:r>
      <w:r>
        <w:rPr>
          <w:rFonts w:hint="eastAsia" w:ascii="宋体" w:hAnsi="宋体" w:eastAsia="宋体" w:cs="宋体"/>
          <w:b/>
          <w:bCs/>
          <w:spacing w:val="0"/>
          <w:position w:val="0"/>
          <w:sz w:val="24"/>
          <w:szCs w:val="24"/>
          <w:highlight w:val="none"/>
          <w:lang w:val="en-US" w:eastAsia="zh-CN"/>
        </w:rPr>
        <w:t>、商务要求</w:t>
      </w:r>
    </w:p>
    <w:p w14:paraId="1989164A">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color w:val="auto"/>
          <w:spacing w:val="0"/>
          <w:position w:val="0"/>
          <w:sz w:val="22"/>
          <w:szCs w:val="22"/>
          <w:highlight w:val="none"/>
        </w:rPr>
      </w:pPr>
      <w:r>
        <w:rPr>
          <w:rFonts w:hint="eastAsia" w:ascii="宋体" w:hAnsi="宋体" w:eastAsia="宋体" w:cs="宋体"/>
          <w:b/>
          <w:bCs/>
          <w:color w:val="auto"/>
          <w:spacing w:val="0"/>
          <w:position w:val="0"/>
          <w:sz w:val="22"/>
          <w:szCs w:val="22"/>
          <w:highlight w:val="none"/>
          <w:lang w:val="en-US" w:eastAsia="zh-CN"/>
        </w:rPr>
        <w:t>1、</w:t>
      </w:r>
      <w:r>
        <w:rPr>
          <w:rFonts w:hint="eastAsia" w:ascii="宋体" w:hAnsi="宋体" w:cs="宋体"/>
          <w:b/>
          <w:bCs/>
          <w:color w:val="auto"/>
          <w:kern w:val="0"/>
          <w:sz w:val="22"/>
          <w:szCs w:val="22"/>
          <w:highlight w:val="none"/>
          <w:lang w:eastAsia="zh-CN"/>
        </w:rPr>
        <w:t>供货期</w:t>
      </w:r>
      <w:r>
        <w:rPr>
          <w:rFonts w:hint="eastAsia" w:ascii="宋体" w:hAnsi="宋体" w:eastAsia="宋体" w:cs="宋体"/>
          <w:color w:val="auto"/>
          <w:spacing w:val="0"/>
          <w:position w:val="0"/>
          <w:sz w:val="22"/>
          <w:szCs w:val="22"/>
          <w:highlight w:val="none"/>
        </w:rPr>
        <w:t>：自签订合同之日起</w:t>
      </w:r>
      <w:r>
        <w:rPr>
          <w:rFonts w:hint="eastAsia" w:ascii="宋体" w:hAnsi="宋体" w:cs="宋体"/>
          <w:color w:val="auto"/>
          <w:spacing w:val="0"/>
          <w:position w:val="0"/>
          <w:sz w:val="22"/>
          <w:szCs w:val="22"/>
          <w:highlight w:val="none"/>
          <w:lang w:val="en-US" w:eastAsia="zh-CN"/>
        </w:rPr>
        <w:t>30</w:t>
      </w:r>
      <w:r>
        <w:rPr>
          <w:rFonts w:hint="eastAsia" w:ascii="宋体" w:hAnsi="宋体" w:eastAsia="宋体" w:cs="宋体"/>
          <w:color w:val="auto"/>
          <w:spacing w:val="0"/>
          <w:position w:val="0"/>
          <w:sz w:val="22"/>
          <w:szCs w:val="22"/>
          <w:highlight w:val="none"/>
          <w:lang w:eastAsia="zh-CN"/>
        </w:rPr>
        <w:t>日历天</w:t>
      </w:r>
      <w:r>
        <w:rPr>
          <w:rFonts w:hint="eastAsia" w:ascii="宋体" w:hAnsi="宋体" w:eastAsia="宋体" w:cs="宋体"/>
          <w:color w:val="auto"/>
          <w:spacing w:val="0"/>
          <w:position w:val="0"/>
          <w:sz w:val="22"/>
          <w:szCs w:val="22"/>
          <w:highlight w:val="none"/>
        </w:rPr>
        <w:t>。</w:t>
      </w:r>
    </w:p>
    <w:p w14:paraId="35A71A8D">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442" w:firstLineChars="200"/>
        <w:textAlignment w:val="baseline"/>
        <w:rPr>
          <w:rFonts w:hint="default" w:ascii="宋体" w:hAnsi="宋体" w:eastAsia="宋体" w:cs="宋体"/>
          <w:color w:val="auto"/>
          <w:spacing w:val="0"/>
          <w:position w:val="0"/>
          <w:sz w:val="22"/>
          <w:szCs w:val="22"/>
          <w:highlight w:val="none"/>
          <w:lang w:val="en-US" w:eastAsia="zh-CN"/>
        </w:rPr>
      </w:pPr>
      <w:r>
        <w:rPr>
          <w:rFonts w:hint="eastAsia" w:ascii="宋体" w:hAnsi="宋体" w:eastAsia="宋体" w:cs="宋体"/>
          <w:b/>
          <w:bCs/>
          <w:color w:val="auto"/>
          <w:spacing w:val="0"/>
          <w:position w:val="0"/>
          <w:sz w:val="22"/>
          <w:szCs w:val="22"/>
          <w:highlight w:val="none"/>
          <w:lang w:val="en-US" w:eastAsia="zh-CN"/>
        </w:rPr>
        <w:t>2、项目实施地点</w:t>
      </w:r>
      <w:r>
        <w:rPr>
          <w:rFonts w:hint="eastAsia" w:ascii="宋体" w:hAnsi="宋体" w:cs="宋体"/>
          <w:color w:val="auto"/>
          <w:spacing w:val="0"/>
          <w:position w:val="0"/>
          <w:sz w:val="22"/>
          <w:szCs w:val="22"/>
          <w:highlight w:val="none"/>
          <w:lang w:val="en-US" w:eastAsia="zh-CN"/>
        </w:rPr>
        <w:t>：</w:t>
      </w:r>
      <w:r>
        <w:rPr>
          <w:rFonts w:hint="eastAsia" w:ascii="宋体" w:hAnsi="宋体" w:eastAsia="宋体" w:cs="宋体"/>
          <w:sz w:val="22"/>
          <w:szCs w:val="22"/>
          <w:highlight w:val="none"/>
          <w:lang w:eastAsia="zh-CN"/>
        </w:rPr>
        <w:t>采购人指定地点。</w:t>
      </w:r>
    </w:p>
    <w:p w14:paraId="17188F90">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3</w:t>
      </w:r>
      <w:r>
        <w:rPr>
          <w:rFonts w:ascii="宋体" w:hAnsi="宋体" w:eastAsia="宋体" w:cs="宋体"/>
          <w:b/>
          <w:bCs/>
          <w:color w:val="000000"/>
          <w:sz w:val="22"/>
          <w:szCs w:val="22"/>
          <w:highlight w:val="none"/>
        </w:rPr>
        <w:t xml:space="preserve">、包装、运输要求： </w:t>
      </w:r>
    </w:p>
    <w:p w14:paraId="477E8CB8">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3.1 包装</w:t>
      </w:r>
    </w:p>
    <w:p w14:paraId="7C8D6D6C">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供应商应根据货物的物理特性、易损程度及安全卫生要求，提供符合国家相关标准的、足以保障货物安全运抵采购人指定地点的原厂或等效包装。</w:t>
      </w:r>
    </w:p>
    <w:p w14:paraId="4468B325">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1.分类包装原则：</w:t>
      </w:r>
    </w:p>
    <w:p w14:paraId="783C391B">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精密仪器类（如DR数字X线机、B超机、生物显微镜、手术台等）：必须使用木箱或高强度定制纸箱进行包装，内衬泡沫板或充气缓冲材料，确保设备在运输途中不发生位移、磕碰。包装箱外应醒目粘贴“向上”、“防潮”、“易碎品”等储运图示标志。</w:t>
      </w:r>
    </w:p>
    <w:p w14:paraId="5930BC3E">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玻璃及液体制品类（如注射器、试剂管、消毒液、各类注射液等）：应采用防震、防破裂包装，瓶与瓶之间用软性材料（如气泡膜、海绵）隔离。液体试剂外包装应粘贴“严禁倒置”标识，并具备防泄漏措施（如独立密封袋）。</w:t>
      </w:r>
    </w:p>
    <w:p w14:paraId="4070FAA9">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药品及化学品（含兽药、消毒剂等）：应严格按照GSP（药品经营质量管理规范）或相关兽药存储要求进行包装。需避光保存的药品应使用不透光材料包装；需冷藏运输的药品，供应商应提供具备温度记录功能的冷链运输包装（泡沫箱+冰袋或电子冷媒）。</w:t>
      </w:r>
    </w:p>
    <w:p w14:paraId="6145FBAD">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金属制品及大型笼具类（如捕兽笼、手术床、笼舍等）：可采用无纺布/塑料薄膜缠绕防潮+外层硬纸箱或捆绑带，避免在运输过程中刮伤表面喷塑或镀锌层。对于可拆卸部件，应分类打包并附安装图纸。</w:t>
      </w:r>
    </w:p>
    <w:p w14:paraId="41185B4E">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纺织及防护用品类（如手套、防护服、头套等）：应使用原厂密封包装，确保清洁、无污染，外包装注明规格型号及数量。</w:t>
      </w:r>
    </w:p>
    <w:p w14:paraId="098308C5">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饲料类：需采用防潮、防鼠、防虫的密封包装（如编织袋内衬塑料膜），并在包装上注明生产日期及保质期。</w:t>
      </w:r>
    </w:p>
    <w:p w14:paraId="4139914D">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000000"/>
          <w:sz w:val="22"/>
          <w:szCs w:val="22"/>
          <w:highlight w:val="none"/>
          <w:lang w:val="en-US" w:eastAsia="zh-CN"/>
        </w:rPr>
      </w:pPr>
      <w:r>
        <w:rPr>
          <w:rFonts w:hint="eastAsia" w:ascii="宋体" w:hAnsi="宋体" w:cs="宋体"/>
          <w:b/>
          <w:bCs/>
          <w:color w:val="000000"/>
          <w:sz w:val="22"/>
          <w:szCs w:val="22"/>
          <w:highlight w:val="none"/>
          <w:lang w:val="en-US" w:eastAsia="zh-CN"/>
        </w:rPr>
        <w:t>3.</w:t>
      </w:r>
      <w:r>
        <w:rPr>
          <w:rFonts w:hint="eastAsia" w:ascii="宋体" w:hAnsi="宋体" w:eastAsia="宋体" w:cs="宋体"/>
          <w:b/>
          <w:bCs/>
          <w:color w:val="000000"/>
          <w:sz w:val="22"/>
          <w:szCs w:val="22"/>
          <w:highlight w:val="none"/>
          <w:lang w:val="en-US" w:eastAsia="zh-CN"/>
        </w:rPr>
        <w:t>2</w:t>
      </w:r>
      <w:r>
        <w:rPr>
          <w:rFonts w:hint="eastAsia" w:ascii="宋体" w:hAnsi="宋体" w:cs="宋体"/>
          <w:b/>
          <w:bCs/>
          <w:color w:val="000000"/>
          <w:sz w:val="22"/>
          <w:szCs w:val="22"/>
          <w:highlight w:val="none"/>
          <w:lang w:val="en-US" w:eastAsia="zh-CN"/>
        </w:rPr>
        <w:t xml:space="preserve"> </w:t>
      </w:r>
      <w:r>
        <w:rPr>
          <w:rFonts w:hint="eastAsia" w:ascii="宋体" w:hAnsi="宋体" w:eastAsia="宋体" w:cs="宋体"/>
          <w:b/>
          <w:bCs/>
          <w:color w:val="000000"/>
          <w:sz w:val="22"/>
          <w:szCs w:val="22"/>
          <w:highlight w:val="none"/>
          <w:lang w:val="en-US" w:eastAsia="zh-CN"/>
        </w:rPr>
        <w:t>总体要求：</w:t>
      </w:r>
    </w:p>
    <w:p w14:paraId="14CC662C">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所有包装必须牢固、防潮、防晒、防腐蚀，并足以承受运输过程中的反复装卸、气候变化，确保货物不开箱、不破损、不变形、不失效。</w:t>
      </w:r>
    </w:p>
    <w:p w14:paraId="3FC7E600">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每件包装箱内应附有详细的装箱清单（含设备名称、型号、数量、合格证、保修卡、安装说明等）。大件设备应在外箱标注货物重心及起吊位置。</w:t>
      </w:r>
    </w:p>
    <w:p w14:paraId="064984C3">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3.</w:t>
      </w:r>
      <w:r>
        <w:rPr>
          <w:rFonts w:hint="eastAsia" w:ascii="宋体" w:hAnsi="宋体" w:cs="宋体"/>
          <w:b/>
          <w:bCs/>
          <w:color w:val="000000"/>
          <w:sz w:val="22"/>
          <w:szCs w:val="22"/>
          <w:highlight w:val="none"/>
          <w:lang w:val="en-US" w:eastAsia="zh-CN"/>
        </w:rPr>
        <w:t>3</w:t>
      </w:r>
      <w:r>
        <w:rPr>
          <w:rFonts w:hint="eastAsia" w:ascii="宋体" w:hAnsi="宋体" w:eastAsia="宋体" w:cs="宋体"/>
          <w:b/>
          <w:bCs/>
          <w:color w:val="000000"/>
          <w:sz w:val="22"/>
          <w:szCs w:val="22"/>
          <w:highlight w:val="none"/>
          <w:lang w:val="en-US" w:eastAsia="zh-CN"/>
        </w:rPr>
        <w:t xml:space="preserve"> 运输</w:t>
      </w:r>
    </w:p>
    <w:p w14:paraId="2171DBF6">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1.运输路线与方式：供应商应结合货物重量、体积及时效性，综合评估并选择运输风险小、时间短、运费合理的运输路线。对于精密仪器及生物药品，应采用门到门的直达运输方式，尽量减少中转次数，降低颠簸及损坏风险。</w:t>
      </w:r>
    </w:p>
    <w:p w14:paraId="43C316C7">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2. 运杂费约定：本次采购的总报价为综合交货价，即已包含货物从生产厂家运抵采购人指定项目现场（含装卸费、运输保险费、临时仓储保管费、二次或多次转运费、人工搬运费等）全部费用。在合同履行完毕前，采购人不再为此支付任何额外费用。</w:t>
      </w:r>
    </w:p>
    <w:p w14:paraId="0AB1C9A0">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3.运输责任：</w:t>
      </w:r>
    </w:p>
    <w:p w14:paraId="51BFD45E">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供应商负责办理货物运输保险，保险受益人为采购人。因运输途中发生货物毁损、灭失、泄漏或包装损坏等一切风险由供应商承担。</w:t>
      </w:r>
    </w:p>
    <w:p w14:paraId="5745E54D">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大型设备或重型金属笼具到达现场时，供应商应配合采购人进行卸货及初步定位。若需吊装，供应商需提前告知采购人场地条件要求。</w:t>
      </w:r>
    </w:p>
    <w:p w14:paraId="121750F9">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对于需要冷链运输的药品或生物制品，供应商必须提供运输过程中的温度监控记录（数据需可追溯），货物到达时温度不符合存储要求的，采购人有权拒收。</w:t>
      </w:r>
    </w:p>
    <w:p w14:paraId="085BEFAE">
      <w:pPr>
        <w:pStyle w:val="2"/>
        <w:rPr>
          <w:rFonts w:hint="default"/>
          <w:b/>
          <w:bCs/>
          <w:highlight w:val="none"/>
          <w:lang w:val="en-US" w:eastAsia="zh-CN"/>
        </w:rPr>
      </w:pPr>
      <w:r>
        <w:rPr>
          <w:rFonts w:hint="eastAsia" w:ascii="宋体" w:hAnsi="宋体" w:cs="宋体"/>
          <w:b/>
          <w:bCs/>
          <w:color w:val="000000"/>
          <w:sz w:val="22"/>
          <w:szCs w:val="22"/>
          <w:highlight w:val="none"/>
          <w:lang w:val="en-US" w:eastAsia="zh-CN"/>
        </w:rPr>
        <w:t>4、验收</w:t>
      </w:r>
    </w:p>
    <w:p w14:paraId="1C75EABC">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000000"/>
          <w:sz w:val="22"/>
          <w:szCs w:val="22"/>
          <w:highlight w:val="none"/>
          <w:lang w:val="en-US" w:eastAsia="zh-CN"/>
        </w:rPr>
      </w:pPr>
      <w:r>
        <w:rPr>
          <w:rFonts w:hint="eastAsia" w:ascii="宋体" w:hAnsi="宋体" w:cs="宋体"/>
          <w:b/>
          <w:bCs/>
          <w:color w:val="000000"/>
          <w:sz w:val="22"/>
          <w:szCs w:val="22"/>
          <w:highlight w:val="none"/>
          <w:lang w:val="en-US" w:eastAsia="zh-CN"/>
        </w:rPr>
        <w:t xml:space="preserve">4.1 </w:t>
      </w:r>
      <w:r>
        <w:rPr>
          <w:rFonts w:hint="eastAsia" w:ascii="宋体" w:hAnsi="宋体" w:eastAsia="宋体" w:cs="宋体"/>
          <w:b/>
          <w:bCs/>
          <w:color w:val="000000"/>
          <w:sz w:val="22"/>
          <w:szCs w:val="22"/>
          <w:highlight w:val="none"/>
          <w:lang w:val="en-US" w:eastAsia="zh-CN"/>
        </w:rPr>
        <w:t xml:space="preserve">验收前包装完好性要求 </w:t>
      </w:r>
    </w:p>
    <w:p w14:paraId="64EE13BB">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货物运抵现场后，采购人将首先检查外包装是否完好。若发现外包装有破损、潮湿、变形等异常情况，采购人有权要求先拍照记录再开箱，并根据实际损坏情况要求供应商更换货物。开箱后发现内部货物有短缺、损坏或与合同参数不符的，供应商应在7个工作日内无条件补齐或更换，因此产生的所有费用由供应商承担。</w:t>
      </w:r>
    </w:p>
    <w:p w14:paraId="5E590416">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4.2 货物验收</w:t>
      </w:r>
    </w:p>
    <w:p w14:paraId="277BB306">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4.2.1到货初验</w:t>
      </w:r>
    </w:p>
    <w:p w14:paraId="77761433">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货物运抵采购人指定地点后，采购人将对货物的外包装完整性、产品名称、规格型号、生产厂家、生产批号/序列号、数量、外观有无破损锈蚀**等进行初步核验。若发现外包装破损、货物外观异常或数量不符，采购人有权拍照留证并作拒收处理。</w:t>
      </w:r>
    </w:p>
    <w:p w14:paraId="03932B9C">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4.2.2质量检验</w:t>
      </w:r>
    </w:p>
    <w:p w14:paraId="51A96A66">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4.2.2.1兽药及生物制品：成交供应商须在交货时随车提供该批次产品的《兽药产品批准文号批件》或《进口兽药注册证书》，以及生产厂家的出厂检验报告。采购人有权随机抽样，送至具有CMA或CNAS资质的第三方检测机构进行有效成分含量、微生物限度、无菌检验等项目检测，检测费用由成交供应商承担。</w:t>
      </w:r>
    </w:p>
    <w:p w14:paraId="60BC5B62">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4.2.2.2医用耗材及防护用品（防护服、手套、纱布等）：成交供应商须提供医疗器械注册证或医疗器械备案凭证、生产厂家营业执照及合格证明。采购人有权对同批次产品进行外观、规格尺寸、材质符合性核验。</w:t>
      </w:r>
    </w:p>
    <w:p w14:paraId="71A9DE93">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4.2.2.3诊疗设备（DR、B超机、生物显微镜、手术台等）：设备安装调试完成后，成交供应商应配合采购人进行开机运行测试，验证设备各项功能、成像效果、软件运行等是否符合技术参数要求。采购人有权委托第三方计量检测机构对设备进行计量校准或性能检测，检测费用由成交供应商承担。</w:t>
      </w:r>
    </w:p>
    <w:p w14:paraId="3F7CD60D">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4.2.2.4防护笼具、金属制品：采购人将核验材质规格、尺寸、焊接工艺、表面处理（镀锌/喷塑）是否达标。必要时可随机抽样进行承重测试或耐腐蚀性检查，若不满足要求，整批次视为不合格。</w:t>
      </w:r>
    </w:p>
    <w:p w14:paraId="4831CC6F">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4.2.2.5动物饲料：成交供应商须提供饲料生产厂家的营业执照、饲料生产许可证及该批次产品的出厂合格证明。采购人有权随机抽样送检，检测黄曲霉毒素B1、重金属（铅、砷）、沙门氏菌等卫生指标，检测费用由成交供应商承担。</w:t>
      </w:r>
    </w:p>
    <w:p w14:paraId="1643DB9D">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4.3 第三方检测结果处理</w:t>
      </w:r>
    </w:p>
    <w:p w14:paraId="1A323098">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如第三方检测机构出具的检验结论为不合格（即不满足采购文件技术参数要求、国家标准或行业规范），采购人有权单方解除合同、取消成交供应商的成交资格并撤销采购合同，由此产生的全部检测费用、运输退回费用及采购人重新组织采购造成的损失，均由成交供应商承担。同时，因使用不合格药品、防护用品或设备故障导致野生动物救治延误、病情加重或发生人员安全事故的，成交供应商应依法承担全部民事赔偿责任及相应的法律责任。</w:t>
      </w:r>
    </w:p>
    <w:p w14:paraId="41CB6FFA">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4.4 验收报告</w:t>
      </w:r>
      <w:r>
        <w:rPr>
          <w:rFonts w:hint="eastAsia" w:ascii="宋体" w:hAnsi="宋体" w:eastAsia="宋体" w:cs="宋体"/>
          <w:b w:val="0"/>
          <w:bCs w:val="0"/>
          <w:color w:val="auto"/>
          <w:sz w:val="22"/>
          <w:szCs w:val="22"/>
          <w:highlight w:val="none"/>
          <w:lang w:val="en-US" w:eastAsia="zh-CN"/>
        </w:rPr>
        <w:t>：全部货物经检验合格、设备安装调试运行正常后，由采购人、成交供应商双方签署《货物验收单》，视为验收通过。</w:t>
      </w:r>
    </w:p>
    <w:p w14:paraId="3F6D584B">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5、质量保证</w:t>
      </w:r>
    </w:p>
    <w:p w14:paraId="1410EB07">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5.1 成交供应商保证所提供的全部货物均为全新、未曾使用过的产品（饲料除外，但须保证新鲜且在保质期内），质量优良、渠道正当，完全符合国家有关质量、环保、安全等方面的强制性标准和规范要求，并满足采购文件中规定的技术参数及性能指标。</w:t>
      </w:r>
    </w:p>
    <w:p w14:paraId="57CDDB49">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5.2 所供兽药及动物医疗器械须来源于具有《兽药生产许可证》或《医疗器械生产企业许可证》的合法生产企业，并能提供完整的供货来源证明及流向追溯信息。严禁提供过期、变质、失效、假冒伪劣及未经国家批准的药品。</w:t>
      </w:r>
    </w:p>
    <w:p w14:paraId="2139F534">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5.3 质量保修期：</w:t>
      </w:r>
    </w:p>
    <w:p w14:paraId="09E1DEEE">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诊疗设备类（DR、B超机、生物显微镜、手术台、医疗器械柜、冷藏柜、消毒柜等）：自验收合格之日起计算，整机免费保修期不少于</w:t>
      </w:r>
      <w:r>
        <w:rPr>
          <w:rFonts w:hint="eastAsia" w:ascii="宋体" w:hAnsi="宋体" w:cs="宋体"/>
          <w:b w:val="0"/>
          <w:bCs w:val="0"/>
          <w:color w:val="auto"/>
          <w:sz w:val="22"/>
          <w:szCs w:val="22"/>
          <w:highlight w:val="none"/>
          <w:lang w:val="en-US" w:eastAsia="zh-CN"/>
        </w:rPr>
        <w:t>24</w:t>
      </w:r>
      <w:r>
        <w:rPr>
          <w:rFonts w:hint="eastAsia" w:ascii="宋体" w:hAnsi="宋体" w:eastAsia="宋体" w:cs="宋体"/>
          <w:b w:val="0"/>
          <w:bCs w:val="0"/>
          <w:color w:val="auto"/>
          <w:sz w:val="22"/>
          <w:szCs w:val="22"/>
          <w:highlight w:val="none"/>
          <w:lang w:val="en-US" w:eastAsia="zh-CN"/>
        </w:rPr>
        <w:t>个月（人为损坏及消耗品除外）。</w:t>
      </w:r>
    </w:p>
    <w:p w14:paraId="3B428007">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电子产品类（充电式手电、紫外线灯等）：免费保修期不少于</w:t>
      </w:r>
      <w:r>
        <w:rPr>
          <w:rFonts w:hint="eastAsia" w:ascii="宋体" w:hAnsi="宋体" w:cs="宋体"/>
          <w:b w:val="0"/>
          <w:bCs w:val="0"/>
          <w:color w:val="auto"/>
          <w:sz w:val="22"/>
          <w:szCs w:val="22"/>
          <w:highlight w:val="none"/>
          <w:lang w:val="en-US" w:eastAsia="zh-CN"/>
        </w:rPr>
        <w:t>12</w:t>
      </w:r>
      <w:r>
        <w:rPr>
          <w:rFonts w:hint="eastAsia" w:ascii="宋体" w:hAnsi="宋体" w:eastAsia="宋体" w:cs="宋体"/>
          <w:b w:val="0"/>
          <w:bCs w:val="0"/>
          <w:color w:val="auto"/>
          <w:sz w:val="22"/>
          <w:szCs w:val="22"/>
          <w:highlight w:val="none"/>
          <w:lang w:val="en-US" w:eastAsia="zh-CN"/>
        </w:rPr>
        <w:t>个月。</w:t>
      </w:r>
    </w:p>
    <w:p w14:paraId="73288D7F">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笼具、金属制品：在正常使用条件下，12个月内出现脱焊、断裂、严重锈蚀等质量问题，成交供应商应免费更换或维修。</w:t>
      </w:r>
    </w:p>
    <w:p w14:paraId="03922C2F">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药品及生物制品：所供货物剩余有效期自交货之日起不得少于总有效期的2/3（采购人特别要求的临期药品除外）。</w:t>
      </w:r>
    </w:p>
    <w:p w14:paraId="2926E7BA">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5.4 质量保修期内，成交供应商应提供7×24小时技术咨询服务。设备类货物出现故障时，成交供应商应在接到采购人通知后48小时内到达现场进行维修处理。如72小时内无法修复，成交供应商应提供同档次替代设备供采购人使用，直至原设备修复完毕。</w:t>
      </w:r>
    </w:p>
    <w:p w14:paraId="4FBC91CD">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0" w:firstLineChars="200"/>
        <w:textAlignment w:val="baseline"/>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5.5 因货物本身质量问题（如劣质药品引起动物中毒、防护用品断裂导致人员受伤、笼具破损致使动物逃逸等）造成的一切人身伤害、财产损失及野生动物损失，成交供应商应承担由此引发的一切经济损失和法律责任。</w:t>
      </w:r>
    </w:p>
    <w:p w14:paraId="30E6F665">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442" w:firstLineChars="200"/>
        <w:textAlignment w:val="baseline"/>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val="en-US" w:eastAsia="zh-CN"/>
        </w:rPr>
        <w:t>6</w:t>
      </w:r>
      <w:r>
        <w:rPr>
          <w:rFonts w:ascii="宋体" w:hAnsi="宋体" w:eastAsia="宋体" w:cs="宋体"/>
          <w:b/>
          <w:bCs/>
          <w:color w:val="auto"/>
          <w:sz w:val="22"/>
          <w:szCs w:val="22"/>
          <w:highlight w:val="none"/>
        </w:rPr>
        <w:t>、付款方式：双方协商</w:t>
      </w:r>
      <w:r>
        <w:rPr>
          <w:rFonts w:hint="eastAsia" w:ascii="宋体" w:hAnsi="宋体" w:cs="宋体"/>
          <w:b/>
          <w:bCs/>
          <w:color w:val="auto"/>
          <w:sz w:val="22"/>
          <w:szCs w:val="22"/>
          <w:highlight w:val="none"/>
          <w:lang w:eastAsia="zh-CN"/>
        </w:rPr>
        <w:t>。</w:t>
      </w:r>
    </w:p>
    <w:p w14:paraId="7E660543">
      <w:pPr>
        <w:pStyle w:val="2"/>
        <w:pageBreakBefore w:val="0"/>
        <w:overflowPunct/>
        <w:bidi w:val="0"/>
        <w:spacing w:line="520" w:lineRule="exact"/>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7</w:t>
      </w:r>
      <w:r>
        <w:rPr>
          <w:rFonts w:ascii="宋体" w:hAnsi="宋体" w:eastAsia="宋体" w:cs="宋体"/>
          <w:b/>
          <w:bCs/>
          <w:color w:val="auto"/>
          <w:sz w:val="22"/>
          <w:szCs w:val="22"/>
          <w:highlight w:val="none"/>
        </w:rPr>
        <w:t xml:space="preserve">、合同实施： </w:t>
      </w:r>
    </w:p>
    <w:p w14:paraId="4E8FD9E4">
      <w:pPr>
        <w:pStyle w:val="2"/>
        <w:pageBreakBefore w:val="0"/>
        <w:overflowPunct/>
        <w:bidi w:val="0"/>
        <w:spacing w:line="520" w:lineRule="exact"/>
        <w:rPr>
          <w:rFonts w:ascii="宋体" w:hAnsi="宋体" w:eastAsia="宋体" w:cs="宋体"/>
          <w:b w:val="0"/>
          <w:bCs w:val="0"/>
          <w:color w:val="000000"/>
          <w:sz w:val="22"/>
          <w:szCs w:val="22"/>
          <w:highlight w:val="none"/>
        </w:rPr>
      </w:pPr>
      <w:r>
        <w:rPr>
          <w:rFonts w:hint="eastAsia" w:ascii="宋体" w:hAnsi="宋体" w:eastAsia="宋体" w:cs="宋体"/>
          <w:b w:val="0"/>
          <w:bCs w:val="0"/>
          <w:color w:val="auto"/>
          <w:sz w:val="22"/>
          <w:szCs w:val="22"/>
          <w:highlight w:val="none"/>
          <w:lang w:val="en-US" w:eastAsia="zh-CN"/>
        </w:rPr>
        <w:t>7</w:t>
      </w:r>
      <w:r>
        <w:rPr>
          <w:rFonts w:ascii="宋体" w:hAnsi="宋体" w:eastAsia="宋体" w:cs="宋体"/>
          <w:b w:val="0"/>
          <w:bCs w:val="0"/>
          <w:color w:val="auto"/>
          <w:sz w:val="22"/>
          <w:szCs w:val="22"/>
          <w:highlight w:val="none"/>
        </w:rPr>
        <w:t xml:space="preserve">.1 </w:t>
      </w:r>
      <w:r>
        <w:rPr>
          <w:rFonts w:hint="eastAsia" w:ascii="宋体" w:hAnsi="宋体" w:cs="宋体"/>
          <w:b w:val="0"/>
          <w:bCs w:val="0"/>
          <w:color w:val="auto"/>
          <w:sz w:val="22"/>
          <w:szCs w:val="22"/>
          <w:highlight w:val="none"/>
          <w:lang w:eastAsia="zh-CN"/>
        </w:rPr>
        <w:t>成交供应商</w:t>
      </w:r>
      <w:r>
        <w:rPr>
          <w:rFonts w:ascii="宋体" w:hAnsi="宋体" w:eastAsia="宋体" w:cs="宋体"/>
          <w:b w:val="0"/>
          <w:bCs w:val="0"/>
          <w:color w:val="auto"/>
          <w:sz w:val="22"/>
          <w:szCs w:val="22"/>
          <w:highlight w:val="none"/>
        </w:rPr>
        <w:t>应在合同签订后安排人员与</w:t>
      </w:r>
      <w:r>
        <w:rPr>
          <w:rFonts w:hint="eastAsia" w:ascii="宋体" w:hAnsi="宋体" w:cs="宋体"/>
          <w:b w:val="0"/>
          <w:bCs w:val="0"/>
          <w:color w:val="auto"/>
          <w:sz w:val="22"/>
          <w:szCs w:val="22"/>
          <w:highlight w:val="none"/>
          <w:lang w:eastAsia="zh-CN"/>
        </w:rPr>
        <w:t>采购人</w:t>
      </w:r>
      <w:r>
        <w:rPr>
          <w:rFonts w:ascii="宋体" w:hAnsi="宋体" w:eastAsia="宋体" w:cs="宋体"/>
          <w:b w:val="0"/>
          <w:bCs w:val="0"/>
          <w:color w:val="auto"/>
          <w:sz w:val="22"/>
          <w:szCs w:val="22"/>
          <w:highlight w:val="none"/>
        </w:rPr>
        <w:t>就送货等工</w:t>
      </w:r>
      <w:r>
        <w:rPr>
          <w:rFonts w:ascii="宋体" w:hAnsi="宋体" w:eastAsia="宋体" w:cs="宋体"/>
          <w:b w:val="0"/>
          <w:bCs w:val="0"/>
          <w:color w:val="000000"/>
          <w:sz w:val="22"/>
          <w:szCs w:val="22"/>
          <w:highlight w:val="none"/>
        </w:rPr>
        <w:t xml:space="preserve">作进行安排、部署。 </w:t>
      </w:r>
    </w:p>
    <w:p w14:paraId="2A89C9C5">
      <w:pPr>
        <w:pStyle w:val="2"/>
        <w:pageBreakBefore w:val="0"/>
        <w:overflowPunct/>
        <w:bidi w:val="0"/>
        <w:spacing w:line="520" w:lineRule="exact"/>
        <w:rPr>
          <w:rFonts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7</w:t>
      </w:r>
      <w:r>
        <w:rPr>
          <w:rFonts w:ascii="宋体" w:hAnsi="宋体" w:eastAsia="宋体" w:cs="宋体"/>
          <w:b w:val="0"/>
          <w:bCs w:val="0"/>
          <w:color w:val="000000"/>
          <w:sz w:val="22"/>
          <w:szCs w:val="22"/>
          <w:highlight w:val="none"/>
        </w:rPr>
        <w:t>.2 若未能在</w:t>
      </w:r>
      <w:r>
        <w:rPr>
          <w:rFonts w:hint="eastAsia" w:ascii="宋体" w:hAnsi="宋体" w:cs="宋体"/>
          <w:b w:val="0"/>
          <w:bCs w:val="0"/>
          <w:color w:val="000000"/>
          <w:sz w:val="22"/>
          <w:szCs w:val="22"/>
          <w:highlight w:val="none"/>
          <w:lang w:eastAsia="zh-CN"/>
        </w:rPr>
        <w:t>供货期</w:t>
      </w:r>
      <w:r>
        <w:rPr>
          <w:rFonts w:ascii="宋体" w:hAnsi="宋体" w:eastAsia="宋体" w:cs="宋体"/>
          <w:b w:val="0"/>
          <w:bCs w:val="0"/>
          <w:color w:val="000000"/>
          <w:sz w:val="22"/>
          <w:szCs w:val="22"/>
          <w:highlight w:val="none"/>
        </w:rPr>
        <w:t>内完成合同规定的义务，由此对采购人造成的延误和一切损失，由成交</w:t>
      </w:r>
      <w:r>
        <w:rPr>
          <w:rFonts w:hint="eastAsia" w:ascii="宋体" w:hAnsi="宋体" w:cs="宋体"/>
          <w:b w:val="0"/>
          <w:bCs w:val="0"/>
          <w:color w:val="000000"/>
          <w:sz w:val="22"/>
          <w:szCs w:val="22"/>
          <w:highlight w:val="none"/>
          <w:lang w:eastAsia="zh-CN"/>
        </w:rPr>
        <w:t>供应商</w:t>
      </w:r>
      <w:r>
        <w:rPr>
          <w:rFonts w:ascii="宋体" w:hAnsi="宋体" w:eastAsia="宋体" w:cs="宋体"/>
          <w:b w:val="0"/>
          <w:bCs w:val="0"/>
          <w:color w:val="000000"/>
          <w:sz w:val="22"/>
          <w:szCs w:val="22"/>
          <w:highlight w:val="none"/>
        </w:rPr>
        <w:t xml:space="preserve">承担和赔偿。 </w:t>
      </w:r>
    </w:p>
    <w:p w14:paraId="72ADB1CB">
      <w:pPr>
        <w:spacing w:line="540" w:lineRule="exact"/>
        <w:ind w:firstLine="442" w:firstLineChars="200"/>
        <w:rPr>
          <w:rFonts w:ascii="宋体" w:hAnsi="宋体" w:eastAsia="宋体" w:cs="宋体"/>
          <w:b w:val="0"/>
          <w:bCs w:val="0"/>
          <w:color w:val="000000"/>
          <w:sz w:val="22"/>
          <w:szCs w:val="22"/>
          <w:highlight w:val="none"/>
        </w:rPr>
      </w:pPr>
      <w:r>
        <w:rPr>
          <w:rFonts w:hint="eastAsia" w:ascii="宋体" w:hAnsi="宋体" w:eastAsia="宋体" w:cs="宋体"/>
          <w:b/>
          <w:bCs/>
          <w:color w:val="000000"/>
          <w:sz w:val="22"/>
          <w:szCs w:val="22"/>
          <w:highlight w:val="none"/>
          <w:lang w:val="en-US" w:eastAsia="zh-CN"/>
        </w:rPr>
        <w:t>8</w:t>
      </w:r>
      <w:r>
        <w:rPr>
          <w:rFonts w:ascii="宋体" w:hAnsi="宋体" w:eastAsia="宋体" w:cs="宋体"/>
          <w:b/>
          <w:bCs/>
          <w:color w:val="000000"/>
          <w:sz w:val="22"/>
          <w:szCs w:val="22"/>
          <w:highlight w:val="none"/>
        </w:rPr>
        <w:t>、</w:t>
      </w:r>
      <w:r>
        <w:rPr>
          <w:rFonts w:hint="eastAsia" w:ascii="宋体" w:hAnsi="宋体" w:cs="宋体"/>
          <w:b/>
          <w:bCs/>
          <w:color w:val="auto"/>
          <w:kern w:val="0"/>
          <w:sz w:val="22"/>
          <w:szCs w:val="22"/>
          <w:highlight w:val="none"/>
        </w:rPr>
        <w:t>乙方如不能按时</w:t>
      </w:r>
      <w:r>
        <w:rPr>
          <w:rFonts w:hint="eastAsia" w:ascii="宋体" w:hAnsi="宋体" w:cs="宋体"/>
          <w:b/>
          <w:bCs/>
          <w:color w:val="auto"/>
          <w:kern w:val="0"/>
          <w:sz w:val="22"/>
          <w:szCs w:val="22"/>
          <w:highlight w:val="none"/>
          <w:lang w:eastAsia="zh-CN"/>
        </w:rPr>
        <w:t>供货</w:t>
      </w:r>
      <w:r>
        <w:rPr>
          <w:rFonts w:hint="eastAsia" w:ascii="宋体" w:hAnsi="宋体" w:cs="宋体"/>
          <w:b/>
          <w:bCs/>
          <w:color w:val="auto"/>
          <w:kern w:val="0"/>
          <w:sz w:val="22"/>
          <w:szCs w:val="22"/>
          <w:highlight w:val="none"/>
        </w:rPr>
        <w:t>或逾期</w:t>
      </w:r>
      <w:r>
        <w:rPr>
          <w:rFonts w:hint="eastAsia" w:ascii="宋体" w:hAnsi="宋体" w:cs="宋体"/>
          <w:b/>
          <w:bCs/>
          <w:color w:val="auto"/>
          <w:kern w:val="0"/>
          <w:sz w:val="22"/>
          <w:szCs w:val="22"/>
          <w:highlight w:val="none"/>
          <w:lang w:eastAsia="zh-CN"/>
        </w:rPr>
        <w:t>供货</w:t>
      </w:r>
      <w:r>
        <w:rPr>
          <w:rFonts w:hint="eastAsia" w:ascii="宋体" w:hAnsi="宋体" w:cs="宋体"/>
          <w:b/>
          <w:bCs/>
          <w:color w:val="auto"/>
          <w:kern w:val="0"/>
          <w:sz w:val="22"/>
          <w:szCs w:val="22"/>
          <w:highlight w:val="none"/>
        </w:rPr>
        <w:t>，乙方需承担相应违约责任，每延误一天须按合同总额的千分之三向甲方支付违约金，</w:t>
      </w:r>
      <w:r>
        <w:rPr>
          <w:rFonts w:hint="eastAsia" w:ascii="宋体" w:hAnsi="宋体" w:cs="宋体"/>
          <w:b/>
          <w:bCs/>
          <w:color w:val="auto"/>
          <w:kern w:val="0"/>
          <w:sz w:val="22"/>
          <w:szCs w:val="22"/>
          <w:highlight w:val="none"/>
          <w:lang w:eastAsia="zh-CN"/>
        </w:rPr>
        <w:t>延误超过三天及以上，采购人有权取消其成交资格并解除合同，</w:t>
      </w:r>
      <w:r>
        <w:rPr>
          <w:rFonts w:hint="eastAsia" w:ascii="宋体" w:hAnsi="宋体" w:cs="宋体"/>
          <w:b/>
          <w:bCs/>
          <w:color w:val="000000"/>
          <w:sz w:val="22"/>
          <w:szCs w:val="22"/>
          <w:highlight w:val="none"/>
          <w:lang w:val="en-US" w:eastAsia="zh-CN"/>
        </w:rPr>
        <w:t>成交供应商承担因此造成的一切损失</w:t>
      </w:r>
      <w:r>
        <w:rPr>
          <w:rFonts w:hint="eastAsia" w:ascii="宋体" w:hAnsi="宋体" w:cs="宋体"/>
          <w:b/>
          <w:bCs/>
          <w:color w:val="auto"/>
          <w:kern w:val="0"/>
          <w:sz w:val="22"/>
          <w:szCs w:val="22"/>
          <w:highlight w:val="none"/>
        </w:rPr>
        <w:t>。</w:t>
      </w:r>
    </w:p>
    <w:p w14:paraId="7E65FE45">
      <w:pPr>
        <w:pStyle w:val="2"/>
        <w:pageBreakBefore w:val="0"/>
        <w:overflowPunct/>
        <w:bidi w:val="0"/>
        <w:spacing w:line="520" w:lineRule="exact"/>
        <w:rPr>
          <w:rFonts w:hint="eastAsia" w:ascii="宋体" w:hAnsi="宋体" w:cs="宋体"/>
          <w:b/>
          <w:bCs/>
          <w:snapToGrid w:val="0"/>
          <w:color w:val="000000"/>
          <w:spacing w:val="0"/>
          <w:kern w:val="0"/>
          <w:position w:val="0"/>
          <w:sz w:val="22"/>
          <w:szCs w:val="22"/>
          <w:highlight w:val="none"/>
          <w:lang w:eastAsia="zh-CN"/>
        </w:rPr>
      </w:pPr>
      <w:r>
        <w:rPr>
          <w:rFonts w:ascii="宋体" w:hAnsi="宋体" w:eastAsia="宋体" w:cs="宋体"/>
          <w:b/>
          <w:bCs/>
          <w:color w:val="000000"/>
          <w:sz w:val="22"/>
          <w:szCs w:val="22"/>
          <w:highlight w:val="none"/>
        </w:rPr>
        <w:t>注：商务要求为实质性要求，不得负偏离</w:t>
      </w:r>
      <w:r>
        <w:rPr>
          <w:rFonts w:hint="eastAsia" w:ascii="宋体" w:hAnsi="宋体" w:cs="宋体"/>
          <w:b/>
          <w:bCs/>
          <w:color w:val="000000"/>
          <w:sz w:val="22"/>
          <w:szCs w:val="22"/>
          <w:highlight w:val="none"/>
          <w:lang w:eastAsia="zh-CN"/>
        </w:rPr>
        <w:t>，</w:t>
      </w:r>
      <w:r>
        <w:rPr>
          <w:rFonts w:hint="eastAsia" w:ascii="宋体" w:hAnsi="宋体" w:cs="宋体"/>
          <w:b/>
          <w:bCs/>
          <w:snapToGrid w:val="0"/>
          <w:color w:val="000000"/>
          <w:spacing w:val="0"/>
          <w:kern w:val="0"/>
          <w:position w:val="0"/>
          <w:sz w:val="22"/>
          <w:szCs w:val="22"/>
          <w:highlight w:val="none"/>
          <w:lang w:eastAsia="zh-CN"/>
        </w:rPr>
        <w:t>否则按无效响应处理。</w:t>
      </w:r>
    </w:p>
    <w:p w14:paraId="0EAEEE2B">
      <w:pPr>
        <w:pStyle w:val="3"/>
        <w:rPr>
          <w:rFonts w:hint="eastAsia" w:ascii="宋体" w:hAnsi="宋体" w:cs="宋体"/>
          <w:b/>
          <w:bCs/>
          <w:snapToGrid w:val="0"/>
          <w:color w:val="000000"/>
          <w:spacing w:val="0"/>
          <w:kern w:val="0"/>
          <w:position w:val="0"/>
          <w:sz w:val="22"/>
          <w:szCs w:val="22"/>
          <w:highlight w:val="none"/>
          <w:lang w:eastAsia="zh-CN"/>
        </w:rPr>
      </w:pPr>
    </w:p>
    <w:p w14:paraId="2257A167">
      <w:pPr>
        <w:rPr>
          <w:rFonts w:hint="eastAsia" w:ascii="宋体" w:hAnsi="宋体" w:cs="宋体"/>
          <w:b/>
          <w:bCs/>
          <w:snapToGrid w:val="0"/>
          <w:color w:val="000000"/>
          <w:spacing w:val="0"/>
          <w:kern w:val="0"/>
          <w:position w:val="0"/>
          <w:sz w:val="22"/>
          <w:szCs w:val="22"/>
          <w:highlight w:val="none"/>
          <w:lang w:eastAsia="zh-CN"/>
        </w:rPr>
      </w:pPr>
    </w:p>
    <w:p w14:paraId="7C55A9AF">
      <w:pPr>
        <w:pStyle w:val="37"/>
        <w:rPr>
          <w:rFonts w:hint="eastAsia" w:ascii="宋体" w:hAnsi="宋体" w:cs="宋体"/>
          <w:b/>
          <w:bCs/>
          <w:snapToGrid w:val="0"/>
          <w:color w:val="000000"/>
          <w:spacing w:val="0"/>
          <w:kern w:val="0"/>
          <w:position w:val="0"/>
          <w:sz w:val="22"/>
          <w:szCs w:val="22"/>
          <w:highlight w:val="none"/>
          <w:lang w:eastAsia="zh-CN"/>
        </w:rPr>
      </w:pPr>
    </w:p>
    <w:p w14:paraId="323E16ED">
      <w:pPr>
        <w:pStyle w:val="37"/>
        <w:rPr>
          <w:rFonts w:hint="eastAsia" w:ascii="宋体" w:hAnsi="宋体" w:cs="宋体"/>
          <w:b/>
          <w:bCs/>
          <w:snapToGrid w:val="0"/>
          <w:color w:val="000000"/>
          <w:spacing w:val="0"/>
          <w:kern w:val="0"/>
          <w:position w:val="0"/>
          <w:sz w:val="22"/>
          <w:szCs w:val="22"/>
          <w:highlight w:val="none"/>
          <w:lang w:eastAsia="zh-CN"/>
        </w:rPr>
      </w:pPr>
    </w:p>
    <w:p w14:paraId="3B837F34">
      <w:pPr>
        <w:pStyle w:val="37"/>
        <w:rPr>
          <w:rFonts w:hint="eastAsia" w:ascii="宋体" w:hAnsi="宋体" w:cs="宋体"/>
          <w:b/>
          <w:bCs/>
          <w:snapToGrid w:val="0"/>
          <w:color w:val="000000"/>
          <w:spacing w:val="0"/>
          <w:kern w:val="0"/>
          <w:position w:val="0"/>
          <w:sz w:val="22"/>
          <w:szCs w:val="22"/>
          <w:highlight w:val="none"/>
          <w:lang w:eastAsia="zh-CN"/>
        </w:rPr>
      </w:pPr>
    </w:p>
    <w:p w14:paraId="32C0DCD1">
      <w:pPr>
        <w:pStyle w:val="37"/>
        <w:rPr>
          <w:rFonts w:hint="eastAsia" w:ascii="宋体" w:hAnsi="宋体" w:cs="宋体"/>
          <w:b/>
          <w:bCs/>
          <w:snapToGrid w:val="0"/>
          <w:color w:val="000000"/>
          <w:spacing w:val="0"/>
          <w:kern w:val="0"/>
          <w:position w:val="0"/>
          <w:sz w:val="22"/>
          <w:szCs w:val="22"/>
          <w:highlight w:val="none"/>
          <w:lang w:eastAsia="zh-CN"/>
        </w:rPr>
      </w:pPr>
    </w:p>
    <w:p w14:paraId="5E279D67">
      <w:pPr>
        <w:pStyle w:val="37"/>
        <w:rPr>
          <w:rFonts w:hint="eastAsia" w:ascii="宋体" w:hAnsi="宋体" w:cs="宋体"/>
          <w:b/>
          <w:bCs/>
          <w:snapToGrid w:val="0"/>
          <w:color w:val="000000"/>
          <w:spacing w:val="0"/>
          <w:kern w:val="0"/>
          <w:position w:val="0"/>
          <w:sz w:val="22"/>
          <w:szCs w:val="22"/>
          <w:highlight w:val="none"/>
          <w:lang w:eastAsia="zh-CN"/>
        </w:rPr>
      </w:pPr>
    </w:p>
    <w:p w14:paraId="6F343BCB">
      <w:pPr>
        <w:pStyle w:val="37"/>
        <w:rPr>
          <w:rFonts w:hint="eastAsia" w:ascii="宋体" w:hAnsi="宋体" w:cs="宋体"/>
          <w:b/>
          <w:bCs/>
          <w:snapToGrid w:val="0"/>
          <w:color w:val="000000"/>
          <w:spacing w:val="0"/>
          <w:kern w:val="0"/>
          <w:position w:val="0"/>
          <w:sz w:val="22"/>
          <w:szCs w:val="22"/>
          <w:highlight w:val="none"/>
          <w:lang w:eastAsia="zh-CN"/>
        </w:rPr>
      </w:pPr>
    </w:p>
    <w:p w14:paraId="67A85384">
      <w:pPr>
        <w:pStyle w:val="37"/>
        <w:rPr>
          <w:rFonts w:hint="eastAsia" w:ascii="宋体" w:hAnsi="宋体" w:cs="宋体"/>
          <w:b/>
          <w:bCs/>
          <w:snapToGrid w:val="0"/>
          <w:color w:val="000000"/>
          <w:spacing w:val="0"/>
          <w:kern w:val="0"/>
          <w:position w:val="0"/>
          <w:sz w:val="22"/>
          <w:szCs w:val="22"/>
          <w:highlight w:val="none"/>
          <w:lang w:eastAsia="zh-CN"/>
        </w:rPr>
      </w:pPr>
    </w:p>
    <w:p w14:paraId="7D60F2D2">
      <w:pPr>
        <w:pStyle w:val="37"/>
        <w:rPr>
          <w:rFonts w:hint="eastAsia" w:ascii="宋体" w:hAnsi="宋体" w:cs="宋体"/>
          <w:b/>
          <w:bCs/>
          <w:snapToGrid w:val="0"/>
          <w:color w:val="000000"/>
          <w:spacing w:val="0"/>
          <w:kern w:val="0"/>
          <w:position w:val="0"/>
          <w:sz w:val="22"/>
          <w:szCs w:val="22"/>
          <w:highlight w:val="none"/>
          <w:lang w:eastAsia="zh-CN"/>
        </w:rPr>
      </w:pPr>
    </w:p>
    <w:p w14:paraId="0EDD7EE9">
      <w:pPr>
        <w:pStyle w:val="37"/>
        <w:rPr>
          <w:rFonts w:hint="eastAsia" w:ascii="宋体" w:hAnsi="宋体" w:cs="宋体"/>
          <w:b/>
          <w:bCs/>
          <w:snapToGrid w:val="0"/>
          <w:color w:val="000000"/>
          <w:spacing w:val="0"/>
          <w:kern w:val="0"/>
          <w:position w:val="0"/>
          <w:sz w:val="22"/>
          <w:szCs w:val="22"/>
          <w:highlight w:val="none"/>
          <w:lang w:eastAsia="zh-CN"/>
        </w:rPr>
      </w:pPr>
    </w:p>
    <w:p w14:paraId="518F6526">
      <w:pPr>
        <w:pStyle w:val="37"/>
        <w:rPr>
          <w:rFonts w:hint="eastAsia" w:ascii="宋体" w:hAnsi="宋体" w:cs="宋体"/>
          <w:b/>
          <w:bCs/>
          <w:snapToGrid w:val="0"/>
          <w:color w:val="000000"/>
          <w:spacing w:val="0"/>
          <w:kern w:val="0"/>
          <w:position w:val="0"/>
          <w:sz w:val="22"/>
          <w:szCs w:val="22"/>
          <w:highlight w:val="none"/>
          <w:lang w:eastAsia="zh-CN"/>
        </w:rPr>
      </w:pPr>
    </w:p>
    <w:p w14:paraId="12017469">
      <w:pPr>
        <w:pStyle w:val="37"/>
        <w:rPr>
          <w:rFonts w:hint="eastAsia" w:ascii="宋体" w:hAnsi="宋体" w:cs="宋体"/>
          <w:b/>
          <w:bCs/>
          <w:snapToGrid w:val="0"/>
          <w:color w:val="000000"/>
          <w:spacing w:val="0"/>
          <w:kern w:val="0"/>
          <w:position w:val="0"/>
          <w:sz w:val="22"/>
          <w:szCs w:val="22"/>
          <w:highlight w:val="none"/>
          <w:lang w:eastAsia="zh-CN"/>
        </w:rPr>
      </w:pPr>
    </w:p>
    <w:p w14:paraId="0A73740F">
      <w:pPr>
        <w:pStyle w:val="37"/>
        <w:rPr>
          <w:rFonts w:hint="eastAsia" w:ascii="宋体" w:hAnsi="宋体" w:cs="宋体"/>
          <w:b/>
          <w:bCs/>
          <w:snapToGrid w:val="0"/>
          <w:color w:val="000000"/>
          <w:spacing w:val="0"/>
          <w:kern w:val="0"/>
          <w:position w:val="0"/>
          <w:sz w:val="22"/>
          <w:szCs w:val="22"/>
          <w:highlight w:val="none"/>
          <w:lang w:eastAsia="zh-CN"/>
        </w:rPr>
      </w:pPr>
    </w:p>
    <w:p w14:paraId="427F0E55">
      <w:pPr>
        <w:pStyle w:val="37"/>
        <w:rPr>
          <w:rFonts w:hint="eastAsia" w:ascii="宋体" w:hAnsi="宋体" w:cs="宋体"/>
          <w:b/>
          <w:bCs/>
          <w:snapToGrid w:val="0"/>
          <w:color w:val="000000"/>
          <w:spacing w:val="0"/>
          <w:kern w:val="0"/>
          <w:position w:val="0"/>
          <w:sz w:val="22"/>
          <w:szCs w:val="22"/>
          <w:highlight w:val="none"/>
          <w:lang w:eastAsia="zh-CN"/>
        </w:rPr>
      </w:pPr>
    </w:p>
    <w:p w14:paraId="7FA78287">
      <w:pPr>
        <w:pStyle w:val="37"/>
        <w:rPr>
          <w:rFonts w:hint="eastAsia" w:ascii="宋体" w:hAnsi="宋体" w:cs="宋体"/>
          <w:b/>
          <w:bCs/>
          <w:snapToGrid w:val="0"/>
          <w:color w:val="000000"/>
          <w:spacing w:val="0"/>
          <w:kern w:val="0"/>
          <w:position w:val="0"/>
          <w:sz w:val="22"/>
          <w:szCs w:val="22"/>
          <w:highlight w:val="none"/>
          <w:lang w:eastAsia="zh-CN"/>
        </w:rPr>
      </w:pPr>
    </w:p>
    <w:p w14:paraId="1AF269F6">
      <w:pPr>
        <w:pStyle w:val="37"/>
        <w:rPr>
          <w:rFonts w:hint="eastAsia" w:ascii="宋体" w:hAnsi="宋体" w:cs="宋体"/>
          <w:b/>
          <w:bCs/>
          <w:snapToGrid w:val="0"/>
          <w:color w:val="000000"/>
          <w:spacing w:val="0"/>
          <w:kern w:val="0"/>
          <w:position w:val="0"/>
          <w:sz w:val="22"/>
          <w:szCs w:val="22"/>
          <w:highlight w:val="none"/>
          <w:lang w:eastAsia="zh-CN"/>
        </w:rPr>
      </w:pPr>
    </w:p>
    <w:p w14:paraId="149F050F">
      <w:pPr>
        <w:pStyle w:val="37"/>
        <w:rPr>
          <w:rFonts w:hint="eastAsia" w:ascii="宋体" w:hAnsi="宋体" w:cs="宋体"/>
          <w:b/>
          <w:bCs/>
          <w:snapToGrid w:val="0"/>
          <w:color w:val="000000"/>
          <w:spacing w:val="0"/>
          <w:kern w:val="0"/>
          <w:position w:val="0"/>
          <w:sz w:val="22"/>
          <w:szCs w:val="22"/>
          <w:highlight w:val="none"/>
          <w:lang w:eastAsia="zh-CN"/>
        </w:rPr>
      </w:pPr>
    </w:p>
    <w:p w14:paraId="4952110A">
      <w:pPr>
        <w:pStyle w:val="37"/>
        <w:rPr>
          <w:rFonts w:hint="eastAsia" w:ascii="宋体" w:hAnsi="宋体" w:cs="宋体"/>
          <w:b/>
          <w:bCs/>
          <w:snapToGrid w:val="0"/>
          <w:color w:val="000000"/>
          <w:spacing w:val="0"/>
          <w:kern w:val="0"/>
          <w:position w:val="0"/>
          <w:sz w:val="22"/>
          <w:szCs w:val="22"/>
          <w:highlight w:val="none"/>
          <w:lang w:eastAsia="zh-CN"/>
        </w:rPr>
      </w:pPr>
    </w:p>
    <w:p w14:paraId="0CD5BCC6">
      <w:pPr>
        <w:pStyle w:val="37"/>
        <w:rPr>
          <w:rFonts w:hint="eastAsia" w:ascii="宋体" w:hAnsi="宋体" w:cs="宋体"/>
          <w:b/>
          <w:bCs/>
          <w:snapToGrid w:val="0"/>
          <w:color w:val="000000"/>
          <w:spacing w:val="0"/>
          <w:kern w:val="0"/>
          <w:position w:val="0"/>
          <w:sz w:val="22"/>
          <w:szCs w:val="22"/>
          <w:highlight w:val="none"/>
          <w:lang w:eastAsia="zh-CN"/>
        </w:rPr>
      </w:pPr>
    </w:p>
    <w:p w14:paraId="75496C69">
      <w:pPr>
        <w:pStyle w:val="37"/>
        <w:rPr>
          <w:rFonts w:hint="eastAsia" w:ascii="宋体" w:hAnsi="宋体" w:cs="宋体"/>
          <w:b/>
          <w:bCs/>
          <w:snapToGrid w:val="0"/>
          <w:color w:val="000000"/>
          <w:spacing w:val="0"/>
          <w:kern w:val="0"/>
          <w:position w:val="0"/>
          <w:sz w:val="22"/>
          <w:szCs w:val="22"/>
          <w:highlight w:val="none"/>
          <w:lang w:eastAsia="zh-CN"/>
        </w:rPr>
      </w:pPr>
    </w:p>
    <w:p w14:paraId="7460A9EE">
      <w:pPr>
        <w:pStyle w:val="37"/>
        <w:rPr>
          <w:rFonts w:hint="eastAsia" w:ascii="宋体" w:hAnsi="宋体" w:cs="宋体"/>
          <w:b/>
          <w:bCs/>
          <w:snapToGrid w:val="0"/>
          <w:color w:val="000000"/>
          <w:spacing w:val="0"/>
          <w:kern w:val="0"/>
          <w:position w:val="0"/>
          <w:sz w:val="22"/>
          <w:szCs w:val="22"/>
          <w:highlight w:val="none"/>
          <w:lang w:eastAsia="zh-CN"/>
        </w:rPr>
      </w:pPr>
    </w:p>
    <w:p w14:paraId="56FF9ED0">
      <w:pPr>
        <w:pStyle w:val="37"/>
        <w:rPr>
          <w:rFonts w:hint="eastAsia" w:ascii="宋体" w:hAnsi="宋体" w:cs="宋体"/>
          <w:b/>
          <w:bCs/>
          <w:snapToGrid w:val="0"/>
          <w:color w:val="000000"/>
          <w:spacing w:val="0"/>
          <w:kern w:val="0"/>
          <w:position w:val="0"/>
          <w:sz w:val="22"/>
          <w:szCs w:val="22"/>
          <w:highlight w:val="none"/>
          <w:lang w:eastAsia="zh-CN"/>
        </w:rPr>
      </w:pPr>
    </w:p>
    <w:p w14:paraId="02378727">
      <w:pPr>
        <w:pStyle w:val="37"/>
        <w:rPr>
          <w:rFonts w:hint="eastAsia" w:ascii="宋体" w:hAnsi="宋体" w:cs="宋体"/>
          <w:b/>
          <w:bCs/>
          <w:snapToGrid w:val="0"/>
          <w:color w:val="000000"/>
          <w:spacing w:val="0"/>
          <w:kern w:val="0"/>
          <w:position w:val="0"/>
          <w:sz w:val="22"/>
          <w:szCs w:val="22"/>
          <w:highlight w:val="none"/>
          <w:lang w:eastAsia="zh-CN"/>
        </w:rPr>
      </w:pPr>
    </w:p>
    <w:p w14:paraId="2A91D38D">
      <w:pPr>
        <w:pStyle w:val="37"/>
        <w:rPr>
          <w:rFonts w:hint="eastAsia" w:ascii="宋体" w:hAnsi="宋体" w:cs="宋体"/>
          <w:b/>
          <w:bCs/>
          <w:snapToGrid w:val="0"/>
          <w:color w:val="000000"/>
          <w:spacing w:val="0"/>
          <w:kern w:val="0"/>
          <w:position w:val="0"/>
          <w:sz w:val="22"/>
          <w:szCs w:val="22"/>
          <w:highlight w:val="none"/>
          <w:lang w:eastAsia="zh-CN"/>
        </w:rPr>
      </w:pPr>
    </w:p>
    <w:p w14:paraId="6E9B6E10">
      <w:pPr>
        <w:pStyle w:val="37"/>
        <w:rPr>
          <w:rFonts w:hint="eastAsia" w:ascii="宋体" w:hAnsi="宋体" w:cs="宋体"/>
          <w:b/>
          <w:bCs/>
          <w:snapToGrid w:val="0"/>
          <w:color w:val="000000"/>
          <w:spacing w:val="0"/>
          <w:kern w:val="0"/>
          <w:position w:val="0"/>
          <w:sz w:val="22"/>
          <w:szCs w:val="22"/>
          <w:highlight w:val="none"/>
          <w:lang w:eastAsia="zh-CN"/>
        </w:rPr>
      </w:pPr>
    </w:p>
    <w:p w14:paraId="5C81615E">
      <w:pPr>
        <w:pStyle w:val="37"/>
        <w:rPr>
          <w:rFonts w:hint="eastAsia" w:ascii="宋体" w:hAnsi="宋体" w:cs="宋体"/>
          <w:b/>
          <w:bCs/>
          <w:snapToGrid w:val="0"/>
          <w:color w:val="000000"/>
          <w:spacing w:val="0"/>
          <w:kern w:val="0"/>
          <w:position w:val="0"/>
          <w:sz w:val="22"/>
          <w:szCs w:val="22"/>
          <w:highlight w:val="none"/>
          <w:lang w:eastAsia="zh-CN"/>
        </w:rPr>
      </w:pPr>
    </w:p>
    <w:p w14:paraId="0A05649F">
      <w:pPr>
        <w:pStyle w:val="37"/>
        <w:rPr>
          <w:rFonts w:hint="eastAsia" w:ascii="宋体" w:hAnsi="宋体" w:cs="宋体"/>
          <w:b/>
          <w:bCs/>
          <w:snapToGrid w:val="0"/>
          <w:color w:val="000000"/>
          <w:spacing w:val="0"/>
          <w:kern w:val="0"/>
          <w:position w:val="0"/>
          <w:sz w:val="22"/>
          <w:szCs w:val="22"/>
          <w:highlight w:val="none"/>
          <w:lang w:eastAsia="zh-CN"/>
        </w:rPr>
      </w:pPr>
    </w:p>
    <w:p w14:paraId="2E4AA9BF">
      <w:pPr>
        <w:pStyle w:val="37"/>
        <w:rPr>
          <w:rFonts w:hint="eastAsia" w:ascii="宋体" w:hAnsi="宋体" w:cs="宋体"/>
          <w:b/>
          <w:bCs/>
          <w:snapToGrid w:val="0"/>
          <w:color w:val="000000"/>
          <w:spacing w:val="0"/>
          <w:kern w:val="0"/>
          <w:position w:val="0"/>
          <w:sz w:val="22"/>
          <w:szCs w:val="22"/>
          <w:highlight w:val="none"/>
          <w:lang w:eastAsia="zh-CN"/>
        </w:rPr>
      </w:pPr>
    </w:p>
    <w:p w14:paraId="5227747D">
      <w:pPr>
        <w:pStyle w:val="37"/>
        <w:rPr>
          <w:rFonts w:hint="eastAsia" w:ascii="宋体" w:hAnsi="宋体" w:cs="宋体"/>
          <w:b/>
          <w:bCs/>
          <w:snapToGrid w:val="0"/>
          <w:color w:val="000000"/>
          <w:spacing w:val="0"/>
          <w:kern w:val="0"/>
          <w:position w:val="0"/>
          <w:sz w:val="22"/>
          <w:szCs w:val="22"/>
          <w:highlight w:val="none"/>
          <w:lang w:eastAsia="zh-CN"/>
        </w:rPr>
      </w:pPr>
    </w:p>
    <w:p w14:paraId="29508094">
      <w:pPr>
        <w:pStyle w:val="37"/>
        <w:rPr>
          <w:rFonts w:hint="eastAsia" w:ascii="宋体" w:hAnsi="宋体" w:cs="宋体"/>
          <w:b/>
          <w:bCs/>
          <w:snapToGrid w:val="0"/>
          <w:color w:val="000000"/>
          <w:spacing w:val="0"/>
          <w:kern w:val="0"/>
          <w:position w:val="0"/>
          <w:sz w:val="22"/>
          <w:szCs w:val="22"/>
          <w:highlight w:val="none"/>
          <w:lang w:eastAsia="zh-CN"/>
        </w:rPr>
      </w:pPr>
    </w:p>
    <w:p w14:paraId="62EF2735">
      <w:pPr>
        <w:pStyle w:val="37"/>
        <w:rPr>
          <w:rFonts w:hint="eastAsia" w:ascii="宋体" w:hAnsi="宋体" w:cs="宋体"/>
          <w:b/>
          <w:bCs/>
          <w:snapToGrid w:val="0"/>
          <w:color w:val="000000"/>
          <w:spacing w:val="0"/>
          <w:kern w:val="0"/>
          <w:position w:val="0"/>
          <w:sz w:val="22"/>
          <w:szCs w:val="22"/>
          <w:highlight w:val="none"/>
          <w:lang w:eastAsia="zh-CN"/>
        </w:rPr>
      </w:pPr>
    </w:p>
    <w:p w14:paraId="69BA0142">
      <w:pPr>
        <w:pStyle w:val="37"/>
        <w:rPr>
          <w:rFonts w:hint="eastAsia" w:ascii="宋体" w:hAnsi="宋体" w:cs="宋体"/>
          <w:b/>
          <w:bCs/>
          <w:snapToGrid w:val="0"/>
          <w:color w:val="000000"/>
          <w:spacing w:val="0"/>
          <w:kern w:val="0"/>
          <w:position w:val="0"/>
          <w:sz w:val="22"/>
          <w:szCs w:val="22"/>
          <w:highlight w:val="none"/>
          <w:lang w:eastAsia="zh-CN"/>
        </w:rPr>
      </w:pPr>
    </w:p>
    <w:p w14:paraId="1B4E93EF">
      <w:pPr>
        <w:pStyle w:val="37"/>
        <w:rPr>
          <w:rFonts w:hint="eastAsia" w:ascii="宋体" w:hAnsi="宋体" w:cs="宋体"/>
          <w:b/>
          <w:bCs/>
          <w:snapToGrid w:val="0"/>
          <w:color w:val="000000"/>
          <w:spacing w:val="0"/>
          <w:kern w:val="0"/>
          <w:position w:val="0"/>
          <w:sz w:val="22"/>
          <w:szCs w:val="22"/>
          <w:highlight w:val="none"/>
          <w:lang w:eastAsia="zh-CN"/>
        </w:rPr>
      </w:pPr>
    </w:p>
    <w:p w14:paraId="104FF402">
      <w:pPr>
        <w:pStyle w:val="37"/>
        <w:rPr>
          <w:rFonts w:hint="eastAsia" w:ascii="宋体" w:hAnsi="宋体" w:cs="宋体"/>
          <w:b/>
          <w:bCs/>
          <w:snapToGrid w:val="0"/>
          <w:color w:val="000000"/>
          <w:spacing w:val="0"/>
          <w:kern w:val="0"/>
          <w:position w:val="0"/>
          <w:sz w:val="22"/>
          <w:szCs w:val="22"/>
          <w:highlight w:val="none"/>
          <w:lang w:eastAsia="zh-CN"/>
        </w:rPr>
      </w:pPr>
    </w:p>
    <w:p w14:paraId="7D5D9ADC">
      <w:pPr>
        <w:pStyle w:val="37"/>
        <w:rPr>
          <w:rFonts w:hint="eastAsia" w:ascii="宋体" w:hAnsi="宋体" w:cs="宋体"/>
          <w:b/>
          <w:bCs/>
          <w:snapToGrid w:val="0"/>
          <w:color w:val="000000"/>
          <w:spacing w:val="0"/>
          <w:kern w:val="0"/>
          <w:position w:val="0"/>
          <w:sz w:val="22"/>
          <w:szCs w:val="22"/>
          <w:highlight w:val="none"/>
          <w:lang w:eastAsia="zh-CN"/>
        </w:rPr>
      </w:pPr>
    </w:p>
    <w:p w14:paraId="7D4FB419">
      <w:pPr>
        <w:pStyle w:val="37"/>
        <w:rPr>
          <w:rFonts w:hint="eastAsia" w:ascii="宋体" w:hAnsi="宋体" w:cs="宋体"/>
          <w:b/>
          <w:bCs/>
          <w:snapToGrid w:val="0"/>
          <w:color w:val="000000"/>
          <w:spacing w:val="0"/>
          <w:kern w:val="0"/>
          <w:position w:val="0"/>
          <w:sz w:val="22"/>
          <w:szCs w:val="22"/>
          <w:highlight w:val="none"/>
          <w:lang w:eastAsia="zh-CN"/>
        </w:rPr>
      </w:pPr>
    </w:p>
    <w:p w14:paraId="3EF244C4">
      <w:pPr>
        <w:pStyle w:val="37"/>
        <w:ind w:left="0" w:leftChars="0" w:firstLine="0" w:firstLineChars="0"/>
        <w:rPr>
          <w:rFonts w:hint="eastAsia" w:ascii="宋体" w:hAnsi="宋体" w:cs="宋体"/>
          <w:b/>
          <w:bCs/>
          <w:snapToGrid w:val="0"/>
          <w:color w:val="000000"/>
          <w:spacing w:val="0"/>
          <w:kern w:val="0"/>
          <w:position w:val="0"/>
          <w:sz w:val="22"/>
          <w:szCs w:val="22"/>
          <w:highlight w:val="none"/>
          <w:lang w:eastAsia="zh-CN"/>
        </w:rPr>
      </w:pPr>
    </w:p>
    <w:p w14:paraId="26FC1FEA">
      <w:pPr>
        <w:pStyle w:val="37"/>
        <w:ind w:left="0" w:leftChars="0" w:firstLine="0" w:firstLineChars="0"/>
        <w:rPr>
          <w:rFonts w:hint="eastAsia" w:ascii="宋体" w:hAnsi="宋体" w:cs="宋体"/>
          <w:b/>
          <w:bCs/>
          <w:snapToGrid w:val="0"/>
          <w:color w:val="000000"/>
          <w:spacing w:val="0"/>
          <w:kern w:val="0"/>
          <w:position w:val="0"/>
          <w:sz w:val="22"/>
          <w:szCs w:val="22"/>
          <w:highlight w:val="none"/>
          <w:lang w:eastAsia="zh-CN"/>
        </w:rPr>
      </w:pPr>
    </w:p>
    <w:p w14:paraId="6EEDA2E8">
      <w:pPr>
        <w:pageBreakBefore w:val="0"/>
        <w:widowControl/>
        <w:overflowPunct/>
        <w:bidi w:val="0"/>
        <w:spacing w:line="520" w:lineRule="exact"/>
        <w:jc w:val="center"/>
        <w:outlineLvl w:val="0"/>
        <w:rPr>
          <w:rFonts w:hint="eastAsia" w:ascii="宋体" w:hAnsi="宋体" w:eastAsia="宋体" w:cs="宋体"/>
          <w:b/>
          <w:bCs/>
          <w:sz w:val="36"/>
          <w:szCs w:val="36"/>
          <w:highlight w:val="none"/>
        </w:rPr>
      </w:pPr>
      <w:bookmarkStart w:id="69" w:name="_Toc27799"/>
      <w:bookmarkStart w:id="70" w:name="_Toc495674335"/>
      <w:bookmarkStart w:id="71" w:name="_Toc14624"/>
      <w:r>
        <w:rPr>
          <w:rFonts w:hint="eastAsia" w:ascii="宋体" w:hAnsi="宋体" w:eastAsia="宋体" w:cs="宋体"/>
          <w:b/>
          <w:bCs/>
          <w:kern w:val="0"/>
          <w:sz w:val="36"/>
          <w:szCs w:val="36"/>
          <w:highlight w:val="none"/>
        </w:rPr>
        <w:t>第六章  竞争性谈判响应文件格式</w:t>
      </w:r>
      <w:bookmarkEnd w:id="69"/>
      <w:bookmarkEnd w:id="70"/>
      <w:bookmarkEnd w:id="71"/>
    </w:p>
    <w:p w14:paraId="498D0AE4">
      <w:pPr>
        <w:pStyle w:val="5"/>
        <w:pageBreakBefore w:val="0"/>
        <w:overflowPunct/>
        <w:bidi w:val="0"/>
        <w:spacing w:line="520" w:lineRule="exact"/>
        <w:outlineLvl w:val="9"/>
        <w:rPr>
          <w:rFonts w:hint="eastAsia" w:ascii="宋体" w:hAnsi="宋体" w:eastAsia="宋体" w:cs="宋体"/>
          <w:sz w:val="40"/>
          <w:szCs w:val="36"/>
          <w:highlight w:val="none"/>
          <w:lang w:eastAsia="zh-CN"/>
        </w:rPr>
      </w:pPr>
    </w:p>
    <w:p w14:paraId="3BB55005">
      <w:pPr>
        <w:rPr>
          <w:rFonts w:hint="eastAsia" w:ascii="宋体" w:hAnsi="宋体" w:eastAsia="宋体" w:cs="宋体"/>
          <w:sz w:val="40"/>
          <w:szCs w:val="36"/>
          <w:highlight w:val="none"/>
          <w:lang w:eastAsia="zh-CN"/>
        </w:rPr>
      </w:pPr>
    </w:p>
    <w:p w14:paraId="1079AE1B">
      <w:pPr>
        <w:pStyle w:val="37"/>
        <w:rPr>
          <w:rFonts w:hint="eastAsia" w:ascii="宋体" w:hAnsi="宋体" w:eastAsia="宋体" w:cs="宋体"/>
          <w:sz w:val="40"/>
          <w:szCs w:val="36"/>
          <w:highlight w:val="none"/>
          <w:lang w:eastAsia="zh-CN"/>
        </w:rPr>
      </w:pPr>
    </w:p>
    <w:p w14:paraId="2A509675">
      <w:pPr>
        <w:pStyle w:val="37"/>
        <w:rPr>
          <w:rFonts w:hint="eastAsia" w:ascii="宋体" w:hAnsi="宋体" w:eastAsia="宋体" w:cs="宋体"/>
          <w:sz w:val="40"/>
          <w:szCs w:val="36"/>
          <w:highlight w:val="none"/>
          <w:lang w:eastAsia="zh-CN"/>
        </w:rPr>
      </w:pPr>
    </w:p>
    <w:p w14:paraId="26AF40F6">
      <w:pPr>
        <w:pageBreakBefore w:val="0"/>
        <w:overflowPunct/>
        <w:bidi w:val="0"/>
        <w:spacing w:line="520" w:lineRule="exact"/>
        <w:jc w:val="center"/>
        <w:rPr>
          <w:rFonts w:hint="eastAsia" w:ascii="宋体" w:hAnsi="宋体" w:cs="宋体"/>
          <w:b/>
          <w:sz w:val="40"/>
          <w:szCs w:val="40"/>
          <w:highlight w:val="none"/>
          <w:lang w:val="en-US" w:eastAsia="zh-CN"/>
        </w:rPr>
      </w:pPr>
      <w:r>
        <w:rPr>
          <w:rFonts w:hint="eastAsia" w:ascii="宋体" w:hAnsi="宋体" w:cs="宋体"/>
          <w:b/>
          <w:sz w:val="40"/>
          <w:szCs w:val="40"/>
          <w:highlight w:val="none"/>
          <w:lang w:val="en-US" w:eastAsia="zh-CN"/>
        </w:rPr>
        <w:t>麟游县2026年度省级林业草原改革发展资金</w:t>
      </w:r>
    </w:p>
    <w:p w14:paraId="2C643FFE">
      <w:pPr>
        <w:pageBreakBefore w:val="0"/>
        <w:overflowPunct/>
        <w:bidi w:val="0"/>
        <w:spacing w:line="520" w:lineRule="exact"/>
        <w:jc w:val="center"/>
        <w:rPr>
          <w:rFonts w:hint="eastAsia" w:ascii="宋体" w:hAnsi="宋体" w:eastAsia="宋体" w:cs="宋体"/>
          <w:b/>
          <w:sz w:val="40"/>
          <w:szCs w:val="40"/>
          <w:highlight w:val="none"/>
          <w:lang w:val="en-US" w:eastAsia="zh-CN"/>
        </w:rPr>
      </w:pPr>
      <w:r>
        <w:rPr>
          <w:rFonts w:hint="eastAsia" w:ascii="宋体" w:hAnsi="宋体" w:cs="宋体"/>
          <w:b/>
          <w:sz w:val="40"/>
          <w:szCs w:val="40"/>
          <w:highlight w:val="none"/>
          <w:lang w:val="en-US" w:eastAsia="zh-CN"/>
        </w:rPr>
        <w:t>野生动物收容救护能力提升项目（二次）</w:t>
      </w:r>
    </w:p>
    <w:p w14:paraId="25892B2D">
      <w:pPr>
        <w:pStyle w:val="37"/>
        <w:rPr>
          <w:rFonts w:hint="eastAsia"/>
          <w:highlight w:val="none"/>
        </w:rPr>
      </w:pPr>
    </w:p>
    <w:p w14:paraId="413BD890">
      <w:pPr>
        <w:pageBreakBefore w:val="0"/>
        <w:overflowPunct/>
        <w:bidi w:val="0"/>
        <w:spacing w:line="520" w:lineRule="exact"/>
        <w:jc w:val="center"/>
        <w:rPr>
          <w:rFonts w:hint="eastAsia" w:ascii="宋体" w:hAnsi="宋体" w:eastAsia="宋体" w:cs="宋体"/>
          <w:b/>
          <w:sz w:val="40"/>
          <w:szCs w:val="40"/>
          <w:highlight w:val="none"/>
        </w:rPr>
      </w:pPr>
    </w:p>
    <w:p w14:paraId="0D241923">
      <w:pPr>
        <w:pStyle w:val="37"/>
        <w:rPr>
          <w:rFonts w:hint="eastAsia"/>
          <w:highlight w:val="none"/>
        </w:rPr>
      </w:pPr>
    </w:p>
    <w:p w14:paraId="6DCE3437">
      <w:pPr>
        <w:pStyle w:val="5"/>
        <w:pageBreakBefore w:val="0"/>
        <w:overflowPunct/>
        <w:bidi w:val="0"/>
        <w:spacing w:line="520" w:lineRule="exact"/>
        <w:outlineLvl w:val="9"/>
        <w:rPr>
          <w:rFonts w:hint="eastAsia" w:ascii="宋体" w:hAnsi="宋体" w:eastAsia="宋体" w:cs="宋体"/>
          <w:sz w:val="36"/>
          <w:szCs w:val="52"/>
          <w:highlight w:val="none"/>
        </w:rPr>
      </w:pPr>
      <w:bookmarkStart w:id="72" w:name="_Toc495674337"/>
      <w:bookmarkStart w:id="73" w:name="_Toc23112"/>
      <w:bookmarkStart w:id="74" w:name="_Toc13299"/>
      <w:bookmarkStart w:id="75" w:name="_Toc25279"/>
      <w:r>
        <w:rPr>
          <w:rFonts w:hint="eastAsia" w:ascii="宋体" w:hAnsi="宋体" w:eastAsia="宋体" w:cs="宋体"/>
          <w:sz w:val="36"/>
          <w:szCs w:val="52"/>
          <w:highlight w:val="none"/>
        </w:rPr>
        <w:t>竞争性谈判响应文件</w:t>
      </w:r>
      <w:bookmarkEnd w:id="72"/>
      <w:bookmarkEnd w:id="73"/>
      <w:bookmarkEnd w:id="74"/>
      <w:bookmarkEnd w:id="75"/>
    </w:p>
    <w:p w14:paraId="02B3E76C">
      <w:pPr>
        <w:pageBreakBefore w:val="0"/>
        <w:overflowPunct/>
        <w:bidi w:val="0"/>
        <w:spacing w:line="520" w:lineRule="exact"/>
        <w:rPr>
          <w:rFonts w:hint="eastAsia"/>
          <w:highlight w:val="none"/>
        </w:rPr>
      </w:pPr>
    </w:p>
    <w:p w14:paraId="3DC7382B">
      <w:pPr>
        <w:pStyle w:val="5"/>
        <w:pageBreakBefore w:val="0"/>
        <w:overflowPunct/>
        <w:bidi w:val="0"/>
        <w:spacing w:line="520" w:lineRule="exact"/>
        <w:outlineLvl w:val="9"/>
        <w:rPr>
          <w:rFonts w:hint="eastAsia" w:ascii="宋体" w:hAnsi="宋体" w:eastAsia="宋体" w:cs="宋体"/>
          <w:sz w:val="32"/>
          <w:szCs w:val="32"/>
          <w:highlight w:val="none"/>
        </w:rPr>
      </w:pPr>
      <w:r>
        <w:rPr>
          <w:rFonts w:hint="eastAsia" w:ascii="宋体" w:hAnsi="宋体" w:eastAsia="宋体" w:cs="宋体"/>
          <w:sz w:val="40"/>
          <w:szCs w:val="40"/>
          <w:highlight w:val="none"/>
        </w:rPr>
        <w:t xml:space="preserve"> </w:t>
      </w:r>
      <w:bookmarkStart w:id="76" w:name="_Toc11570"/>
      <w:bookmarkStart w:id="77" w:name="_Toc8540"/>
      <w:bookmarkStart w:id="78" w:name="_Toc0"/>
      <w:r>
        <w:rPr>
          <w:rFonts w:hint="eastAsia" w:ascii="宋体" w:hAnsi="宋体" w:eastAsia="宋体" w:cs="宋体"/>
          <w:sz w:val="32"/>
          <w:szCs w:val="32"/>
          <w:highlight w:val="none"/>
          <w:lang w:val="en-US" w:eastAsia="zh-CN"/>
        </w:rPr>
        <w:t>项目</w:t>
      </w:r>
      <w:r>
        <w:rPr>
          <w:rFonts w:hint="eastAsia" w:ascii="宋体" w:hAnsi="宋体" w:eastAsia="宋体" w:cs="宋体"/>
          <w:sz w:val="32"/>
          <w:szCs w:val="32"/>
          <w:highlight w:val="none"/>
        </w:rPr>
        <w:t>编号：</w:t>
      </w:r>
      <w:bookmarkEnd w:id="76"/>
      <w:bookmarkEnd w:id="77"/>
      <w:bookmarkEnd w:id="78"/>
      <w:r>
        <w:rPr>
          <w:rFonts w:hint="eastAsia" w:ascii="宋体" w:hAnsi="宋体" w:cs="宋体"/>
          <w:sz w:val="32"/>
          <w:szCs w:val="32"/>
          <w:highlight w:val="none"/>
          <w:lang w:val="en-US" w:eastAsia="zh-CN"/>
        </w:rPr>
        <w:t>XSLZZC-2026-07-001.1B1</w:t>
      </w:r>
    </w:p>
    <w:p w14:paraId="6CF67841">
      <w:pPr>
        <w:pageBreakBefore w:val="0"/>
        <w:overflowPunct/>
        <w:bidi w:val="0"/>
        <w:spacing w:line="520" w:lineRule="exact"/>
        <w:ind w:left="1080"/>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    </w:t>
      </w:r>
    </w:p>
    <w:p w14:paraId="607BD498">
      <w:pPr>
        <w:pageBreakBefore w:val="0"/>
        <w:overflowPunct/>
        <w:bidi w:val="0"/>
        <w:spacing w:line="520" w:lineRule="exact"/>
        <w:jc w:val="both"/>
        <w:rPr>
          <w:rFonts w:hint="eastAsia" w:ascii="宋体" w:hAnsi="宋体" w:eastAsia="宋体" w:cs="宋体"/>
          <w:sz w:val="48"/>
          <w:szCs w:val="48"/>
          <w:highlight w:val="none"/>
        </w:rPr>
      </w:pPr>
    </w:p>
    <w:p w14:paraId="39F8E952">
      <w:pPr>
        <w:pageBreakBefore w:val="0"/>
        <w:overflowPunct/>
        <w:bidi w:val="0"/>
        <w:spacing w:line="520" w:lineRule="exact"/>
        <w:jc w:val="center"/>
        <w:rPr>
          <w:rFonts w:hint="eastAsia" w:ascii="宋体" w:hAnsi="宋体" w:eastAsia="宋体" w:cs="宋体"/>
          <w:sz w:val="48"/>
          <w:szCs w:val="48"/>
          <w:highlight w:val="none"/>
        </w:rPr>
      </w:pPr>
    </w:p>
    <w:p w14:paraId="4DEC7587">
      <w:pPr>
        <w:pageBreakBefore w:val="0"/>
        <w:overflowPunct/>
        <w:bidi w:val="0"/>
        <w:spacing w:line="520" w:lineRule="exact"/>
        <w:rPr>
          <w:rFonts w:hint="eastAsia" w:ascii="宋体" w:hAnsi="宋体" w:eastAsia="宋体" w:cs="宋体"/>
          <w:b/>
          <w:sz w:val="32"/>
          <w:szCs w:val="32"/>
          <w:highlight w:val="none"/>
        </w:rPr>
      </w:pPr>
    </w:p>
    <w:p w14:paraId="7DCCB034">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供应商名称</w:t>
      </w:r>
      <w:r>
        <w:rPr>
          <w:rFonts w:hint="eastAsia" w:ascii="宋体" w:hAnsi="宋体" w:eastAsia="宋体" w:cs="宋体"/>
          <w:sz w:val="28"/>
          <w:szCs w:val="28"/>
          <w:highlight w:val="none"/>
        </w:rPr>
        <w:t xml:space="preserve"> </w:t>
      </w:r>
      <w:r>
        <w:rPr>
          <w:rFonts w:hint="eastAsia" w:ascii="宋体" w:hAnsi="宋体" w:eastAsia="宋体" w:cs="宋体"/>
          <w:b/>
          <w:sz w:val="28"/>
          <w:szCs w:val="28"/>
          <w:highlight w:val="none"/>
        </w:rPr>
        <w:t>：</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w:t>
      </w:r>
      <w:r>
        <w:rPr>
          <w:rFonts w:hint="eastAsia" w:ascii="宋体" w:hAnsi="宋体" w:eastAsia="宋体" w:cs="宋体"/>
          <w:b/>
          <w:sz w:val="28"/>
          <w:szCs w:val="28"/>
          <w:highlight w:val="none"/>
          <w:lang w:val="en-US" w:eastAsia="zh-CN"/>
        </w:rPr>
        <w:t>盖</w:t>
      </w:r>
      <w:r>
        <w:rPr>
          <w:rFonts w:hint="eastAsia" w:ascii="宋体" w:hAnsi="宋体" w:eastAsia="宋体" w:cs="宋体"/>
          <w:b/>
          <w:sz w:val="28"/>
          <w:szCs w:val="28"/>
          <w:highlight w:val="none"/>
        </w:rPr>
        <w:t>公章）</w:t>
      </w:r>
    </w:p>
    <w:p w14:paraId="3C807857">
      <w:pPr>
        <w:pStyle w:val="2"/>
        <w:pageBreakBefore w:val="0"/>
        <w:overflowPunct/>
        <w:bidi w:val="0"/>
        <w:spacing w:line="520" w:lineRule="exact"/>
        <w:rPr>
          <w:rFonts w:hint="eastAsia"/>
          <w:highlight w:val="none"/>
        </w:rPr>
      </w:pPr>
    </w:p>
    <w:p w14:paraId="1B02C01B">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法定代表人或</w:t>
      </w:r>
      <w:r>
        <w:rPr>
          <w:rFonts w:hint="eastAsia" w:ascii="宋体" w:hAnsi="宋体" w:eastAsia="宋体" w:cs="宋体"/>
          <w:b/>
          <w:sz w:val="28"/>
          <w:szCs w:val="28"/>
          <w:highlight w:val="none"/>
          <w:lang w:val="en-US" w:eastAsia="zh-CN"/>
        </w:rPr>
        <w:t>授权</w:t>
      </w:r>
      <w:r>
        <w:rPr>
          <w:rFonts w:hint="eastAsia" w:ascii="宋体" w:hAnsi="宋体" w:eastAsia="宋体" w:cs="宋体"/>
          <w:b/>
          <w:sz w:val="28"/>
          <w:szCs w:val="28"/>
          <w:highlight w:val="none"/>
        </w:rPr>
        <w:t>委托人：</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u w:val="none"/>
          <w:lang w:eastAsia="zh-CN"/>
        </w:rPr>
        <w:t>（</w:t>
      </w:r>
      <w:r>
        <w:rPr>
          <w:rFonts w:hint="eastAsia" w:ascii="宋体" w:hAnsi="宋体" w:eastAsia="宋体" w:cs="宋体"/>
          <w:b/>
          <w:sz w:val="28"/>
          <w:szCs w:val="28"/>
          <w:highlight w:val="none"/>
        </w:rPr>
        <w:t>签字或盖章</w:t>
      </w:r>
      <w:r>
        <w:rPr>
          <w:rFonts w:hint="eastAsia" w:ascii="宋体" w:hAnsi="宋体" w:eastAsia="宋体" w:cs="宋体"/>
          <w:b/>
          <w:sz w:val="28"/>
          <w:szCs w:val="28"/>
          <w:highlight w:val="none"/>
          <w:lang w:eastAsia="zh-CN"/>
        </w:rPr>
        <w:t>）</w:t>
      </w:r>
    </w:p>
    <w:p w14:paraId="02FD2D79">
      <w:pPr>
        <w:pStyle w:val="2"/>
        <w:pageBreakBefore w:val="0"/>
        <w:overflowPunct/>
        <w:bidi w:val="0"/>
        <w:spacing w:line="520" w:lineRule="exact"/>
        <w:rPr>
          <w:rFonts w:hint="eastAsia"/>
          <w:highlight w:val="none"/>
        </w:rPr>
      </w:pPr>
    </w:p>
    <w:p w14:paraId="24CCBAC8">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日 期：</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年</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月</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日</w:t>
      </w:r>
    </w:p>
    <w:p w14:paraId="52C28179">
      <w:pPr>
        <w:pStyle w:val="2"/>
        <w:pageBreakBefore w:val="0"/>
        <w:overflowPunct/>
        <w:bidi w:val="0"/>
        <w:spacing w:line="520" w:lineRule="exact"/>
        <w:rPr>
          <w:rFonts w:hint="eastAsia" w:ascii="宋体" w:hAnsi="宋体" w:eastAsia="宋体" w:cs="宋体"/>
          <w:b/>
          <w:sz w:val="28"/>
          <w:szCs w:val="28"/>
          <w:highlight w:val="none"/>
        </w:rPr>
      </w:pPr>
    </w:p>
    <w:p w14:paraId="21E2E2EA">
      <w:pPr>
        <w:pStyle w:val="3"/>
        <w:pageBreakBefore w:val="0"/>
        <w:overflowPunct/>
        <w:bidi w:val="0"/>
        <w:spacing w:line="520" w:lineRule="exact"/>
        <w:rPr>
          <w:rFonts w:hint="eastAsia" w:ascii="宋体" w:hAnsi="宋体" w:eastAsia="宋体" w:cs="宋体"/>
          <w:b/>
          <w:sz w:val="32"/>
          <w:szCs w:val="32"/>
          <w:highlight w:val="none"/>
        </w:rPr>
      </w:pPr>
    </w:p>
    <w:p w14:paraId="7514710E">
      <w:pPr>
        <w:pageBreakBefore w:val="0"/>
        <w:overflowPunct/>
        <w:bidi w:val="0"/>
        <w:spacing w:line="520" w:lineRule="exact"/>
        <w:rPr>
          <w:rFonts w:hint="eastAsia" w:ascii="宋体" w:hAnsi="宋体" w:eastAsia="宋体" w:cs="宋体"/>
          <w:b/>
          <w:sz w:val="32"/>
          <w:szCs w:val="32"/>
          <w:highlight w:val="none"/>
        </w:rPr>
      </w:pPr>
    </w:p>
    <w:p w14:paraId="578B2E53">
      <w:pPr>
        <w:pStyle w:val="3"/>
        <w:pageBreakBefore w:val="0"/>
        <w:overflowPunct/>
        <w:bidi w:val="0"/>
        <w:spacing w:line="520" w:lineRule="exact"/>
        <w:ind w:left="0" w:leftChars="0" w:firstLine="0" w:firstLineChars="0"/>
        <w:rPr>
          <w:rFonts w:hint="eastAsia"/>
          <w:highlight w:val="none"/>
        </w:rPr>
      </w:pPr>
    </w:p>
    <w:p w14:paraId="0652C937">
      <w:pPr>
        <w:pageBreakBefore w:val="0"/>
        <w:overflowPunct/>
        <w:bidi w:val="0"/>
        <w:spacing w:line="520" w:lineRule="exact"/>
        <w:jc w:val="center"/>
        <w:rPr>
          <w:rFonts w:hint="eastAsia" w:ascii="宋体" w:hAnsi="宋体" w:eastAsia="宋体" w:cs="宋体"/>
          <w:b/>
          <w:bCs/>
          <w:spacing w:val="4"/>
          <w:sz w:val="40"/>
          <w:szCs w:val="40"/>
          <w:highlight w:val="none"/>
        </w:rPr>
      </w:pPr>
      <w:r>
        <w:rPr>
          <w:rFonts w:hint="eastAsia" w:ascii="宋体" w:hAnsi="宋体" w:eastAsia="宋体" w:cs="宋体"/>
          <w:b/>
          <w:bCs/>
          <w:spacing w:val="4"/>
          <w:sz w:val="40"/>
          <w:szCs w:val="40"/>
          <w:highlight w:val="none"/>
        </w:rPr>
        <w:t>目     录</w:t>
      </w:r>
    </w:p>
    <w:p w14:paraId="66304993">
      <w:pPr>
        <w:pageBreakBefore w:val="0"/>
        <w:overflowPunct/>
        <w:bidi w:val="0"/>
        <w:spacing w:line="520" w:lineRule="exact"/>
        <w:jc w:val="both"/>
        <w:rPr>
          <w:rFonts w:hint="eastAsia" w:ascii="宋体" w:hAnsi="宋体" w:eastAsia="宋体" w:cs="宋体"/>
          <w:sz w:val="40"/>
          <w:szCs w:val="40"/>
          <w:highlight w:val="none"/>
        </w:rPr>
      </w:pPr>
    </w:p>
    <w:p w14:paraId="05B03209">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rPr>
        <w:t>1.响应函</w:t>
      </w:r>
    </w:p>
    <w:p w14:paraId="57578C53">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rPr>
        <w:t>2.第一次</w:t>
      </w:r>
      <w:r>
        <w:rPr>
          <w:rFonts w:hint="eastAsia" w:ascii="宋体" w:hAnsi="宋体" w:cs="宋体"/>
          <w:szCs w:val="24"/>
          <w:highlight w:val="none"/>
          <w:lang w:eastAsia="zh-CN"/>
        </w:rPr>
        <w:t>谈判</w:t>
      </w:r>
      <w:r>
        <w:rPr>
          <w:rFonts w:hint="eastAsia" w:ascii="宋体" w:hAnsi="宋体" w:cs="宋体"/>
          <w:szCs w:val="24"/>
          <w:highlight w:val="none"/>
        </w:rPr>
        <w:t>报价表</w:t>
      </w:r>
    </w:p>
    <w:p w14:paraId="5F54D02F">
      <w:pPr>
        <w:spacing w:line="760" w:lineRule="exact"/>
        <w:ind w:firstLine="420" w:firstLineChars="200"/>
        <w:rPr>
          <w:rFonts w:hint="eastAsia" w:ascii="宋体" w:hAnsi="宋体" w:cs="宋体"/>
          <w:szCs w:val="24"/>
          <w:highlight w:val="none"/>
          <w:lang w:eastAsia="zh-CN"/>
        </w:rPr>
      </w:pPr>
      <w:r>
        <w:rPr>
          <w:rFonts w:hint="eastAsia" w:ascii="宋体" w:hAnsi="宋体" w:cs="宋体"/>
          <w:szCs w:val="24"/>
          <w:highlight w:val="none"/>
        </w:rPr>
        <w:t>3.</w:t>
      </w:r>
      <w:r>
        <w:rPr>
          <w:rFonts w:hint="eastAsia" w:ascii="宋体" w:hAnsi="宋体" w:cs="宋体"/>
          <w:szCs w:val="24"/>
          <w:highlight w:val="none"/>
          <w:lang w:eastAsia="zh-CN"/>
        </w:rPr>
        <w:t>相关资格证明文件</w:t>
      </w:r>
    </w:p>
    <w:p w14:paraId="1D25B07F">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rPr>
        <w:t>4.</w:t>
      </w:r>
      <w:r>
        <w:rPr>
          <w:rFonts w:hint="eastAsia" w:ascii="宋体" w:hAnsi="宋体" w:cs="宋体"/>
          <w:szCs w:val="24"/>
          <w:highlight w:val="none"/>
          <w:lang w:eastAsia="zh-CN"/>
        </w:rPr>
        <w:t>谈判</w:t>
      </w:r>
      <w:r>
        <w:rPr>
          <w:rFonts w:hint="eastAsia" w:ascii="宋体" w:hAnsi="宋体" w:cs="宋体"/>
          <w:szCs w:val="24"/>
          <w:highlight w:val="none"/>
        </w:rPr>
        <w:t>保证金</w:t>
      </w:r>
    </w:p>
    <w:p w14:paraId="4D9C966A">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rPr>
        <w:t>5.响应偏离表</w:t>
      </w:r>
    </w:p>
    <w:p w14:paraId="4E393E01">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rPr>
        <w:t>6.</w:t>
      </w:r>
      <w:r>
        <w:rPr>
          <w:rFonts w:hint="eastAsia" w:ascii="宋体" w:hAnsi="宋体" w:cs="宋体"/>
          <w:szCs w:val="24"/>
          <w:highlight w:val="none"/>
          <w:lang w:eastAsia="zh-CN"/>
        </w:rPr>
        <w:t>供货</w:t>
      </w:r>
      <w:r>
        <w:rPr>
          <w:rFonts w:hint="eastAsia" w:ascii="宋体" w:hAnsi="宋体" w:cs="宋体"/>
          <w:szCs w:val="24"/>
          <w:highlight w:val="none"/>
        </w:rPr>
        <w:t>方案</w:t>
      </w:r>
    </w:p>
    <w:p w14:paraId="7EBF8AAC">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rPr>
        <w:t>7.售后服务方案</w:t>
      </w:r>
    </w:p>
    <w:p w14:paraId="2B1C22E6">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rPr>
        <w:t>8.供应商近3年类似业绩</w:t>
      </w:r>
    </w:p>
    <w:p w14:paraId="2C664CF6">
      <w:pPr>
        <w:spacing w:line="760" w:lineRule="exact"/>
        <w:ind w:firstLine="420" w:firstLineChars="200"/>
        <w:rPr>
          <w:rFonts w:hint="eastAsia" w:ascii="宋体" w:hAnsi="宋体" w:cs="宋体"/>
          <w:szCs w:val="24"/>
          <w:highlight w:val="none"/>
        </w:rPr>
      </w:pPr>
      <w:r>
        <w:rPr>
          <w:rFonts w:hint="eastAsia" w:ascii="宋体" w:hAnsi="宋体" w:cs="宋体"/>
          <w:szCs w:val="24"/>
          <w:highlight w:val="none"/>
          <w:lang w:val="en-US" w:eastAsia="zh-CN"/>
        </w:rPr>
        <w:t>9.</w:t>
      </w:r>
      <w:r>
        <w:rPr>
          <w:rFonts w:hint="eastAsia" w:ascii="宋体" w:hAnsi="宋体" w:cs="宋体"/>
          <w:szCs w:val="24"/>
          <w:highlight w:val="none"/>
        </w:rPr>
        <w:t>其他资料</w:t>
      </w:r>
    </w:p>
    <w:p w14:paraId="4417BA3F">
      <w:pPr>
        <w:spacing w:line="760" w:lineRule="exact"/>
        <w:ind w:firstLine="840" w:firstLineChars="400"/>
        <w:rPr>
          <w:rFonts w:hint="eastAsia" w:ascii="宋体" w:hAnsi="宋体" w:cs="宋体"/>
          <w:szCs w:val="24"/>
          <w:highlight w:val="none"/>
        </w:rPr>
      </w:pPr>
      <w:r>
        <w:rPr>
          <w:rFonts w:hint="eastAsia" w:ascii="宋体" w:hAnsi="宋体" w:cs="宋体"/>
          <w:szCs w:val="24"/>
          <w:highlight w:val="none"/>
        </w:rPr>
        <w:t>（1）供应商承诺书</w:t>
      </w:r>
    </w:p>
    <w:p w14:paraId="42E7B3E0">
      <w:pPr>
        <w:spacing w:line="760" w:lineRule="exact"/>
        <w:ind w:firstLine="840" w:firstLineChars="400"/>
        <w:rPr>
          <w:rFonts w:hint="eastAsia" w:ascii="宋体" w:hAnsi="宋体" w:cs="宋体"/>
          <w:szCs w:val="24"/>
          <w:highlight w:val="none"/>
        </w:rPr>
      </w:pPr>
      <w:r>
        <w:rPr>
          <w:rFonts w:hint="eastAsia" w:ascii="宋体" w:hAnsi="宋体" w:cs="宋体"/>
          <w:szCs w:val="24"/>
          <w:highlight w:val="none"/>
        </w:rPr>
        <w:t>（2）供应商认为有必要补充说明的事宜</w:t>
      </w:r>
    </w:p>
    <w:p w14:paraId="13DDA103">
      <w:pPr>
        <w:pStyle w:val="2"/>
        <w:pageBreakBefore w:val="0"/>
        <w:overflowPunct/>
        <w:bidi w:val="0"/>
        <w:spacing w:line="520" w:lineRule="exact"/>
        <w:rPr>
          <w:rFonts w:hint="eastAsia"/>
          <w:sz w:val="20"/>
          <w:szCs w:val="18"/>
          <w:highlight w:val="none"/>
          <w:lang w:val="en-US" w:eastAsia="zh-CN"/>
        </w:rPr>
      </w:pPr>
    </w:p>
    <w:p w14:paraId="082A5F7B">
      <w:pPr>
        <w:pStyle w:val="2"/>
        <w:pageBreakBefore w:val="0"/>
        <w:overflowPunct/>
        <w:bidi w:val="0"/>
        <w:spacing w:line="520" w:lineRule="exact"/>
        <w:rPr>
          <w:rFonts w:hint="eastAsia"/>
          <w:sz w:val="20"/>
          <w:szCs w:val="18"/>
          <w:highlight w:val="none"/>
          <w:lang w:val="en-US" w:eastAsia="zh-CN"/>
        </w:rPr>
      </w:pPr>
    </w:p>
    <w:p w14:paraId="227F576F">
      <w:pPr>
        <w:keepNext w:val="0"/>
        <w:keepLines w:val="0"/>
        <w:pageBreakBefore w:val="0"/>
        <w:widowControl w:val="0"/>
        <w:kinsoku/>
        <w:wordWrap/>
        <w:overflowPunct/>
        <w:topLinePunct w:val="0"/>
        <w:autoSpaceDE/>
        <w:autoSpaceDN/>
        <w:bidi w:val="0"/>
        <w:adjustRightInd w:val="0"/>
        <w:snapToGrid w:val="0"/>
        <w:spacing w:line="520" w:lineRule="exact"/>
        <w:ind w:firstLine="1400" w:firstLineChars="500"/>
        <w:textAlignment w:val="auto"/>
        <w:rPr>
          <w:rFonts w:hint="eastAsia" w:ascii="宋体" w:hAnsi="宋体" w:eastAsia="宋体" w:cs="宋体"/>
          <w:sz w:val="28"/>
          <w:szCs w:val="28"/>
          <w:highlight w:val="none"/>
        </w:rPr>
      </w:pPr>
    </w:p>
    <w:p w14:paraId="784801F9">
      <w:pPr>
        <w:pageBreakBefore w:val="0"/>
        <w:overflowPunct/>
        <w:bidi w:val="0"/>
        <w:spacing w:line="520" w:lineRule="exact"/>
        <w:jc w:val="center"/>
        <w:rPr>
          <w:rFonts w:hint="eastAsia" w:ascii="宋体" w:hAnsi="宋体" w:eastAsia="宋体" w:cs="宋体"/>
          <w:sz w:val="40"/>
          <w:szCs w:val="40"/>
          <w:highlight w:val="none"/>
        </w:rPr>
      </w:pPr>
    </w:p>
    <w:p w14:paraId="0695D700">
      <w:pPr>
        <w:pStyle w:val="2"/>
        <w:rPr>
          <w:rFonts w:hint="eastAsia" w:ascii="宋体" w:hAnsi="宋体" w:eastAsia="宋体" w:cs="宋体"/>
          <w:sz w:val="40"/>
          <w:szCs w:val="40"/>
          <w:highlight w:val="none"/>
        </w:rPr>
      </w:pPr>
    </w:p>
    <w:p w14:paraId="0AE827E2">
      <w:pPr>
        <w:pStyle w:val="2"/>
        <w:rPr>
          <w:rFonts w:hint="eastAsia" w:ascii="宋体" w:hAnsi="宋体" w:eastAsia="宋体" w:cs="宋体"/>
          <w:sz w:val="40"/>
          <w:szCs w:val="40"/>
          <w:highlight w:val="none"/>
        </w:rPr>
      </w:pPr>
    </w:p>
    <w:p w14:paraId="593E680F">
      <w:pPr>
        <w:pageBreakBefore w:val="0"/>
        <w:overflowPunct/>
        <w:bidi w:val="0"/>
        <w:spacing w:line="520" w:lineRule="exact"/>
        <w:jc w:val="center"/>
        <w:rPr>
          <w:rFonts w:hint="eastAsia" w:ascii="宋体" w:hAnsi="宋体" w:eastAsia="宋体" w:cs="宋体"/>
          <w:sz w:val="40"/>
          <w:szCs w:val="40"/>
          <w:highlight w:val="none"/>
        </w:rPr>
      </w:pPr>
    </w:p>
    <w:p w14:paraId="42CDC237">
      <w:pPr>
        <w:pageBreakBefore w:val="0"/>
        <w:overflowPunct/>
        <w:bidi w:val="0"/>
        <w:spacing w:line="520" w:lineRule="exact"/>
        <w:jc w:val="both"/>
        <w:rPr>
          <w:rFonts w:hint="eastAsia" w:ascii="宋体" w:hAnsi="宋体" w:eastAsia="宋体" w:cs="宋体"/>
          <w:sz w:val="40"/>
          <w:szCs w:val="40"/>
          <w:highlight w:val="none"/>
        </w:rPr>
      </w:pPr>
    </w:p>
    <w:p w14:paraId="07562B4C">
      <w:pPr>
        <w:pageBreakBefore w:val="0"/>
        <w:overflowPunct/>
        <w:bidi w:val="0"/>
        <w:spacing w:before="0" w:after="0" w:line="520" w:lineRule="exact"/>
        <w:jc w:val="center"/>
        <w:rPr>
          <w:rFonts w:ascii="宋体" w:hAnsi="宋体" w:eastAsia="宋体" w:cs="宋体"/>
          <w:b/>
          <w:color w:val="auto"/>
          <w:sz w:val="22"/>
          <w:szCs w:val="22"/>
          <w:highlight w:val="none"/>
        </w:rPr>
      </w:pPr>
      <w:bookmarkStart w:id="79" w:name="_Toc11816"/>
      <w:bookmarkStart w:id="80" w:name="_Toc25222"/>
      <w:bookmarkStart w:id="81" w:name="_Toc6687"/>
      <w:bookmarkStart w:id="82" w:name="_Toc648_WPSOffice_Level1"/>
      <w:bookmarkStart w:id="83" w:name="_Toc27097_WPSOffice_Level1"/>
      <w:bookmarkStart w:id="84" w:name="_Toc12463_WPSOffice_Level1"/>
      <w:bookmarkStart w:id="85" w:name="_Toc774"/>
      <w:bookmarkStart w:id="86" w:name="_Toc10796_WPSOffice_Level1"/>
      <w:r>
        <w:rPr>
          <w:rFonts w:hint="eastAsia" w:ascii="宋体" w:hAnsi="宋体" w:eastAsia="宋体" w:cs="宋体"/>
          <w:b/>
          <w:sz w:val="24"/>
          <w:szCs w:val="24"/>
          <w:highlight w:val="none"/>
        </w:rPr>
        <w:t>一</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rPr>
        <w:t>响应函</w:t>
      </w:r>
      <w:bookmarkEnd w:id="79"/>
      <w:bookmarkEnd w:id="80"/>
      <w:bookmarkEnd w:id="81"/>
      <w:bookmarkEnd w:id="82"/>
      <w:bookmarkEnd w:id="83"/>
      <w:bookmarkEnd w:id="84"/>
      <w:bookmarkEnd w:id="85"/>
      <w:bookmarkEnd w:id="86"/>
      <w:bookmarkStart w:id="87" w:name="_Toc4282_WPSOffice_Level1"/>
      <w:bookmarkStart w:id="88" w:name="_Toc20450_WPSOffice_Level1"/>
    </w:p>
    <w:p w14:paraId="1AE47C60">
      <w:pPr>
        <w:pageBreakBefore w:val="0"/>
        <w:overflowPunct/>
        <w:bidi w:val="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p w14:paraId="1A13B669">
      <w:pPr>
        <w:pageBreakBefore w:val="0"/>
        <w:overflowPunct/>
        <w:bidi w:val="0"/>
        <w:spacing w:line="52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我单位收到贵公司</w:t>
      </w:r>
      <w:r>
        <w:rPr>
          <w:rFonts w:hint="eastAsia" w:ascii="宋体" w:hAnsi="宋体" w:eastAsia="宋体" w:cs="Times New Roman"/>
          <w:sz w:val="24"/>
          <w:szCs w:val="24"/>
          <w:highlight w:val="none"/>
          <w:u w:val="single"/>
        </w:rPr>
        <w:t>（项目名称、项目编号）</w:t>
      </w:r>
      <w:r>
        <w:rPr>
          <w:rFonts w:hint="eastAsia" w:ascii="宋体" w:hAnsi="宋体" w:eastAsia="宋体" w:cs="Times New Roman"/>
          <w:sz w:val="24"/>
          <w:szCs w:val="24"/>
          <w:highlight w:val="none"/>
        </w:rPr>
        <w:t>谈判文件，经详细研究，决定参加本次谈判活动。为此，我方郑重声明以下几点，并愿负法律责任。</w:t>
      </w:r>
    </w:p>
    <w:p w14:paraId="452CD5D9">
      <w:pPr>
        <w:pageBreakBefore w:val="0"/>
        <w:overflowPunct/>
        <w:bidi w:val="0"/>
        <w:spacing w:line="52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1．按照谈判文件中的一切要求，提供完全满足采购需求的合格产品和全面技术、售后服务保障。</w:t>
      </w:r>
    </w:p>
    <w:p w14:paraId="0A6A141C">
      <w:pPr>
        <w:pageBreakBefore w:val="0"/>
        <w:overflowPunct/>
        <w:bidi w:val="0"/>
        <w:spacing w:line="520" w:lineRule="exact"/>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sz w:val="24"/>
          <w:szCs w:val="24"/>
          <w:highlight w:val="none"/>
        </w:rPr>
        <w:t>2．如若成交，将根据谈判文件</w:t>
      </w:r>
      <w:r>
        <w:rPr>
          <w:rFonts w:hint="eastAsia" w:ascii="宋体" w:hAnsi="宋体" w:eastAsia="宋体" w:cs="Times New Roman"/>
          <w:color w:val="auto"/>
          <w:sz w:val="24"/>
          <w:szCs w:val="24"/>
          <w:highlight w:val="none"/>
        </w:rPr>
        <w:t>的要求、谈判响应文件及承诺条件，全面签约并履行合同规定的责任和义务。</w:t>
      </w:r>
    </w:p>
    <w:p w14:paraId="2AF1C8BC">
      <w:pPr>
        <w:pageBreakBefore w:val="0"/>
        <w:overflowPunct/>
        <w:bidi w:val="0"/>
        <w:spacing w:line="520" w:lineRule="exact"/>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3．我方已详细阅读和核实谈判文件全部内容，完全理解并同意放弃提出含糊不清和误解问题的权力。</w:t>
      </w:r>
    </w:p>
    <w:p w14:paraId="2960B74B">
      <w:pPr>
        <w:pageBreakBefore w:val="0"/>
        <w:overflowPunct/>
        <w:bidi w:val="0"/>
        <w:spacing w:line="520" w:lineRule="exact"/>
        <w:ind w:firstLine="480" w:firstLineChars="20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．同意提供贵方要求的与本次谈判有关的任何证明资料。</w:t>
      </w:r>
    </w:p>
    <w:p w14:paraId="07A37ADA">
      <w:pPr>
        <w:keepNext w:val="0"/>
        <w:keepLines w:val="0"/>
        <w:pageBreakBefore w:val="0"/>
        <w:widowControl w:val="0"/>
        <w:kinsoku/>
        <w:wordWrap w:val="0"/>
        <w:overflowPunct/>
        <w:topLinePunct w:val="0"/>
        <w:autoSpaceDE/>
        <w:autoSpaceDN/>
        <w:bidi w:val="0"/>
        <w:adjustRightInd/>
        <w:snapToGrid/>
        <w:spacing w:line="520" w:lineRule="exact"/>
        <w:ind w:left="239" w:leftChars="114" w:firstLine="240" w:firstLineChars="100"/>
        <w:jc w:val="left"/>
        <w:textAlignment w:val="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 xml:space="preserve"> 我们同意在谈判有效期内（自谈判之日起</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none"/>
          <w:lang w:val="en-US" w:eastAsia="zh-CN"/>
        </w:rPr>
        <w:t>日历</w:t>
      </w:r>
      <w:r>
        <w:rPr>
          <w:rFonts w:hint="eastAsia" w:ascii="宋体" w:hAnsi="宋体" w:eastAsia="宋体" w:cs="Times New Roman"/>
          <w:color w:val="auto"/>
          <w:sz w:val="24"/>
          <w:szCs w:val="24"/>
          <w:highlight w:val="none"/>
          <w:u w:val="none"/>
          <w:lang w:val="en-US" w:eastAsia="zh-CN"/>
        </w:rPr>
        <w:t>天</w:t>
      </w:r>
      <w:r>
        <w:rPr>
          <w:rFonts w:hint="eastAsia" w:ascii="宋体" w:hAnsi="宋体" w:eastAsia="宋体" w:cs="Times New Roman"/>
          <w:color w:val="auto"/>
          <w:sz w:val="24"/>
          <w:szCs w:val="24"/>
          <w:highlight w:val="none"/>
          <w:lang w:val="en-US" w:eastAsia="zh-CN"/>
        </w:rPr>
        <w:t>内），本谈判响应函对我方具有约束力</w:t>
      </w:r>
      <w:r>
        <w:rPr>
          <w:rFonts w:hint="eastAsia" w:ascii="宋体" w:hAnsi="宋体" w:eastAsia="宋体" w:cs="Times New Roman"/>
          <w:color w:val="auto"/>
          <w:sz w:val="24"/>
          <w:szCs w:val="24"/>
          <w:highlight w:val="none"/>
        </w:rPr>
        <w:t>。</w:t>
      </w:r>
    </w:p>
    <w:p w14:paraId="59448F07">
      <w:pPr>
        <w:pageBreakBefore w:val="0"/>
        <w:tabs>
          <w:tab w:val="left" w:pos="2160"/>
        </w:tabs>
        <w:overflowPunct/>
        <w:bidi w:val="0"/>
        <w:spacing w:before="0" w:after="0" w:line="520" w:lineRule="exact"/>
        <w:ind w:firstLine="480" w:firstLineChars="200"/>
        <w:jc w:val="left"/>
        <w:rPr>
          <w:rFonts w:hint="eastAsia" w:ascii="宋体" w:hAnsi="宋体" w:eastAsia="宋体" w:cs="仿宋"/>
          <w:color w:val="auto"/>
          <w:spacing w:val="4"/>
          <w:sz w:val="24"/>
          <w:szCs w:val="24"/>
          <w:highlight w:val="none"/>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．所有关于本次谈判的函电，请按下列地址、方式联系：</w:t>
      </w:r>
    </w:p>
    <w:p w14:paraId="1EEBBBE2">
      <w:pPr>
        <w:pageBreakBefore w:val="0"/>
        <w:tabs>
          <w:tab w:val="left" w:pos="2160"/>
        </w:tabs>
        <w:overflowPunct/>
        <w:bidi w:val="0"/>
        <w:spacing w:before="0" w:after="0" w:line="520" w:lineRule="exact"/>
        <w:ind w:firstLine="496" w:firstLineChars="200"/>
        <w:jc w:val="left"/>
        <w:rPr>
          <w:rFonts w:hint="eastAsia" w:ascii="宋体" w:hAnsi="宋体" w:eastAsia="宋体" w:cs="仿宋"/>
          <w:color w:val="auto"/>
          <w:spacing w:val="4"/>
          <w:sz w:val="24"/>
          <w:szCs w:val="24"/>
          <w:highlight w:val="none"/>
        </w:rPr>
      </w:pPr>
    </w:p>
    <w:p w14:paraId="6E820589">
      <w:pPr>
        <w:pageBreakBefore w:val="0"/>
        <w:overflowPunct/>
        <w:bidi w:val="0"/>
        <w:spacing w:before="0" w:after="0" w:line="520" w:lineRule="exact"/>
        <w:ind w:firstLine="424" w:firstLineChars="171"/>
        <w:jc w:val="left"/>
        <w:rPr>
          <w:rFonts w:hint="eastAsia" w:ascii="宋体" w:hAnsi="宋体" w:eastAsia="宋体" w:cs="仿宋"/>
          <w:color w:val="auto"/>
          <w:spacing w:val="4"/>
          <w:sz w:val="24"/>
          <w:szCs w:val="24"/>
          <w:highlight w:val="none"/>
          <w:u w:val="single"/>
        </w:rPr>
      </w:pPr>
      <w:r>
        <w:rPr>
          <w:rFonts w:hint="eastAsia" w:ascii="宋体" w:hAnsi="宋体" w:eastAsia="宋体" w:cs="仿宋"/>
          <w:color w:val="auto"/>
          <w:spacing w:val="4"/>
          <w:sz w:val="24"/>
          <w:szCs w:val="24"/>
          <w:highlight w:val="none"/>
        </w:rPr>
        <w:t>联系地址：</w:t>
      </w:r>
      <w:r>
        <w:rPr>
          <w:rFonts w:hint="eastAsia" w:ascii="宋体" w:hAnsi="宋体" w:eastAsia="宋体" w:cs="仿宋"/>
          <w:color w:val="auto"/>
          <w:spacing w:val="4"/>
          <w:sz w:val="24"/>
          <w:szCs w:val="24"/>
          <w:highlight w:val="none"/>
          <w:u w:val="single"/>
        </w:rPr>
        <w:t xml:space="preserve">                            </w:t>
      </w:r>
    </w:p>
    <w:p w14:paraId="5116E9BC">
      <w:pPr>
        <w:pageBreakBefore w:val="0"/>
        <w:overflowPunct/>
        <w:bidi w:val="0"/>
        <w:spacing w:before="0" w:after="0" w:line="520" w:lineRule="exact"/>
        <w:ind w:firstLine="424" w:firstLineChars="171"/>
        <w:jc w:val="left"/>
        <w:rPr>
          <w:rFonts w:hint="eastAsia" w:ascii="宋体" w:hAnsi="宋体" w:eastAsia="宋体" w:cs="仿宋"/>
          <w:color w:val="auto"/>
          <w:spacing w:val="4"/>
          <w:sz w:val="24"/>
          <w:szCs w:val="24"/>
          <w:highlight w:val="none"/>
          <w:u w:val="single"/>
        </w:rPr>
      </w:pPr>
      <w:r>
        <w:rPr>
          <w:rFonts w:hint="eastAsia" w:ascii="宋体" w:hAnsi="宋体" w:eastAsia="宋体" w:cs="仿宋"/>
          <w:color w:val="auto"/>
          <w:spacing w:val="4"/>
          <w:sz w:val="24"/>
          <w:szCs w:val="24"/>
          <w:highlight w:val="none"/>
        </w:rPr>
        <w:t>邮政编码：</w:t>
      </w:r>
      <w:r>
        <w:rPr>
          <w:rFonts w:hint="eastAsia" w:ascii="宋体" w:hAnsi="宋体" w:eastAsia="宋体" w:cs="仿宋"/>
          <w:color w:val="auto"/>
          <w:spacing w:val="4"/>
          <w:sz w:val="24"/>
          <w:szCs w:val="24"/>
          <w:highlight w:val="none"/>
          <w:u w:val="single"/>
        </w:rPr>
        <w:t xml:space="preserve">                            </w:t>
      </w:r>
    </w:p>
    <w:p w14:paraId="01EED28C">
      <w:pPr>
        <w:pageBreakBefore w:val="0"/>
        <w:overflowPunct/>
        <w:bidi w:val="0"/>
        <w:spacing w:before="0" w:after="0" w:line="520" w:lineRule="exact"/>
        <w:ind w:firstLine="424" w:firstLineChars="171"/>
        <w:jc w:val="left"/>
        <w:rPr>
          <w:rFonts w:hint="eastAsia" w:ascii="宋体" w:hAnsi="宋体" w:eastAsia="宋体" w:cs="仿宋"/>
          <w:color w:val="auto"/>
          <w:spacing w:val="4"/>
          <w:sz w:val="24"/>
          <w:szCs w:val="24"/>
          <w:highlight w:val="none"/>
          <w:u w:val="single"/>
        </w:rPr>
      </w:pPr>
      <w:r>
        <w:rPr>
          <w:rFonts w:hint="eastAsia" w:ascii="宋体" w:hAnsi="宋体" w:eastAsia="宋体" w:cs="仿宋"/>
          <w:color w:val="auto"/>
          <w:spacing w:val="4"/>
          <w:sz w:val="24"/>
          <w:szCs w:val="24"/>
          <w:highlight w:val="none"/>
        </w:rPr>
        <w:t>电    话：</w:t>
      </w:r>
      <w:r>
        <w:rPr>
          <w:rFonts w:hint="eastAsia" w:ascii="宋体" w:hAnsi="宋体" w:eastAsia="宋体" w:cs="仿宋"/>
          <w:color w:val="auto"/>
          <w:spacing w:val="4"/>
          <w:sz w:val="24"/>
          <w:szCs w:val="24"/>
          <w:highlight w:val="none"/>
          <w:u w:val="single"/>
        </w:rPr>
        <w:t xml:space="preserve">                            </w:t>
      </w:r>
    </w:p>
    <w:p w14:paraId="7D4C70DE">
      <w:pPr>
        <w:pageBreakBefore w:val="0"/>
        <w:overflowPunct/>
        <w:bidi w:val="0"/>
        <w:spacing w:before="0" w:after="0" w:line="520" w:lineRule="exact"/>
        <w:ind w:firstLine="424" w:firstLineChars="171"/>
        <w:jc w:val="left"/>
        <w:rPr>
          <w:rFonts w:hint="eastAsia" w:ascii="宋体" w:hAnsi="宋体" w:eastAsia="宋体" w:cs="仿宋"/>
          <w:color w:val="auto"/>
          <w:spacing w:val="4"/>
          <w:sz w:val="24"/>
          <w:szCs w:val="24"/>
          <w:highlight w:val="none"/>
          <w:u w:val="single"/>
        </w:rPr>
      </w:pPr>
      <w:r>
        <w:rPr>
          <w:rFonts w:hint="eastAsia" w:ascii="宋体" w:hAnsi="宋体" w:eastAsia="宋体" w:cs="仿宋"/>
          <w:color w:val="auto"/>
          <w:spacing w:val="4"/>
          <w:sz w:val="24"/>
          <w:szCs w:val="24"/>
          <w:highlight w:val="none"/>
        </w:rPr>
        <w:t>传    真：</w:t>
      </w:r>
      <w:r>
        <w:rPr>
          <w:rFonts w:hint="eastAsia" w:ascii="宋体" w:hAnsi="宋体" w:eastAsia="宋体" w:cs="仿宋"/>
          <w:color w:val="auto"/>
          <w:spacing w:val="4"/>
          <w:sz w:val="24"/>
          <w:szCs w:val="24"/>
          <w:highlight w:val="none"/>
          <w:u w:val="single"/>
        </w:rPr>
        <w:t xml:space="preserve">                            </w:t>
      </w:r>
    </w:p>
    <w:p w14:paraId="2EC7164C">
      <w:pPr>
        <w:pageBreakBefore w:val="0"/>
        <w:overflowPunct/>
        <w:bidi w:val="0"/>
        <w:spacing w:before="0" w:after="0" w:line="520" w:lineRule="exact"/>
        <w:ind w:firstLine="410" w:firstLineChars="171"/>
        <w:jc w:val="left"/>
        <w:rPr>
          <w:rFonts w:hint="eastAsia" w:ascii="宋体" w:hAnsi="宋体" w:eastAsia="宋体" w:cs="宋体"/>
          <w:sz w:val="24"/>
          <w:szCs w:val="24"/>
          <w:highlight w:val="none"/>
          <w:u w:val="single"/>
        </w:rPr>
      </w:pPr>
      <w:r>
        <w:rPr>
          <w:rFonts w:hint="eastAsia" w:ascii="宋体" w:hAnsi="宋体" w:eastAsia="宋体" w:cs="宋体"/>
          <w:color w:val="auto"/>
          <w:sz w:val="24"/>
          <w:szCs w:val="24"/>
          <w:highlight w:val="none"/>
          <w:u w:val="none"/>
          <w:lang w:eastAsia="zh-CN"/>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（盖</w:t>
      </w:r>
      <w:r>
        <w:rPr>
          <w:rFonts w:hint="eastAsia" w:ascii="宋体" w:hAnsi="宋体" w:eastAsia="宋体" w:cs="宋体"/>
          <w:sz w:val="24"/>
          <w:szCs w:val="24"/>
          <w:highlight w:val="none"/>
          <w:u w:val="none"/>
        </w:rPr>
        <w:t>公章）</w:t>
      </w:r>
    </w:p>
    <w:p w14:paraId="3CB32473">
      <w:pPr>
        <w:pageBreakBefore w:val="0"/>
        <w:overflowPunct/>
        <w:bidi w:val="0"/>
        <w:spacing w:before="0" w:after="0" w:line="520" w:lineRule="exact"/>
        <w:ind w:firstLine="410" w:firstLineChars="171"/>
        <w:jc w:val="left"/>
        <w:rPr>
          <w:rFonts w:hint="eastAsia" w:ascii="宋体" w:hAnsi="宋体" w:eastAsia="宋体" w:cs="宋体"/>
          <w:b w:val="0"/>
          <w:bCs/>
          <w:sz w:val="24"/>
          <w:szCs w:val="24"/>
          <w:highlight w:val="none"/>
          <w:lang w:eastAsia="zh-CN"/>
        </w:rPr>
      </w:pPr>
      <w:r>
        <w:rPr>
          <w:rFonts w:hint="eastAsia" w:ascii="宋体" w:hAnsi="宋体" w:eastAsia="宋体" w:cs="宋体"/>
          <w:sz w:val="24"/>
          <w:szCs w:val="24"/>
          <w:highlight w:val="none"/>
          <w:u w:val="none"/>
          <w:lang w:eastAsia="zh-CN"/>
        </w:rPr>
        <w:t>法定代表人或</w:t>
      </w: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u w:val="none"/>
          <w:lang w:eastAsia="zh-CN"/>
        </w:rPr>
        <w:t>：</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u w:val="none"/>
          <w:lang w:eastAsia="zh-CN"/>
        </w:rPr>
        <w:t>（</w:t>
      </w:r>
      <w:r>
        <w:rPr>
          <w:rFonts w:hint="eastAsia" w:ascii="宋体" w:hAnsi="宋体" w:eastAsia="宋体" w:cs="宋体"/>
          <w:b w:val="0"/>
          <w:bCs/>
          <w:sz w:val="24"/>
          <w:szCs w:val="24"/>
          <w:highlight w:val="none"/>
        </w:rPr>
        <w:t>签字或盖章</w:t>
      </w:r>
      <w:r>
        <w:rPr>
          <w:rFonts w:hint="eastAsia" w:ascii="宋体" w:hAnsi="宋体" w:eastAsia="宋体" w:cs="宋体"/>
          <w:b w:val="0"/>
          <w:bCs/>
          <w:sz w:val="24"/>
          <w:szCs w:val="24"/>
          <w:highlight w:val="none"/>
          <w:lang w:eastAsia="zh-CN"/>
        </w:rPr>
        <w:t>）</w:t>
      </w:r>
    </w:p>
    <w:p w14:paraId="7E9FA46E">
      <w:pPr>
        <w:pageBreakBefore w:val="0"/>
        <w:overflowPunct/>
        <w:bidi w:val="0"/>
        <w:spacing w:before="0" w:after="0" w:line="520" w:lineRule="exact"/>
        <w:ind w:firstLine="410" w:firstLineChars="171"/>
        <w:jc w:val="left"/>
        <w:rPr>
          <w:rFonts w:hint="default" w:ascii="宋体" w:hAnsi="宋体" w:eastAsia="宋体" w:cs="仿宋"/>
          <w:color w:val="auto"/>
          <w:spacing w:val="4"/>
          <w:sz w:val="22"/>
          <w:szCs w:val="22"/>
          <w:highlight w:val="none"/>
          <w:lang w:val="en-US" w:eastAsia="zh-CN"/>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1321DCF1">
      <w:pPr>
        <w:pageBreakBefore w:val="0"/>
        <w:overflowPunct/>
        <w:bidi w:val="0"/>
        <w:spacing w:line="520" w:lineRule="exact"/>
        <w:rPr>
          <w:rFonts w:hint="eastAsia" w:ascii="宋体" w:hAnsi="宋体" w:eastAsia="宋体" w:cs="宋体"/>
          <w:b/>
          <w:sz w:val="22"/>
          <w:szCs w:val="28"/>
          <w:highlight w:val="none"/>
        </w:rPr>
      </w:pPr>
      <w:r>
        <w:rPr>
          <w:rFonts w:hint="eastAsia" w:ascii="宋体" w:hAnsi="宋体" w:eastAsia="宋体" w:cs="宋体"/>
          <w:b/>
          <w:color w:val="auto"/>
          <w:sz w:val="22"/>
          <w:szCs w:val="22"/>
          <w:highlight w:val="none"/>
        </w:rPr>
        <w:br w:type="page"/>
      </w:r>
      <w:bookmarkEnd w:id="87"/>
      <w:bookmarkEnd w:id="88"/>
    </w:p>
    <w:p w14:paraId="1D53613F">
      <w:pPr>
        <w:pageBreakBefore w:val="0"/>
        <w:overflowPunct/>
        <w:bidi w:val="0"/>
        <w:spacing w:line="520" w:lineRule="exact"/>
        <w:jc w:val="center"/>
        <w:outlineLvl w:val="1"/>
        <w:rPr>
          <w:rFonts w:hint="eastAsia" w:ascii="宋体" w:hAnsi="宋体" w:eastAsia="宋体" w:cs="宋体"/>
          <w:sz w:val="24"/>
          <w:szCs w:val="32"/>
          <w:highlight w:val="none"/>
        </w:rPr>
      </w:pPr>
      <w:bookmarkStart w:id="89" w:name="_Toc19513"/>
      <w:bookmarkStart w:id="90" w:name="_Toc3399_WPSOffice_Level1"/>
      <w:bookmarkStart w:id="91" w:name="_Toc21045"/>
      <w:bookmarkStart w:id="92" w:name="_Toc10623_WPSOffice_Level1"/>
      <w:bookmarkStart w:id="93" w:name="_Toc4456_WPSOffice_Level1"/>
      <w:bookmarkStart w:id="94" w:name="_Toc31894"/>
      <w:bookmarkStart w:id="95" w:name="_Toc32155"/>
      <w:r>
        <w:rPr>
          <w:rFonts w:hint="eastAsia" w:ascii="宋体" w:hAnsi="宋体" w:eastAsia="宋体" w:cs="宋体"/>
          <w:b/>
          <w:sz w:val="24"/>
          <w:szCs w:val="32"/>
          <w:highlight w:val="none"/>
          <w:lang w:eastAsia="zh-CN"/>
        </w:rPr>
        <w:t>二、</w:t>
      </w:r>
      <w:bookmarkEnd w:id="89"/>
      <w:bookmarkEnd w:id="90"/>
      <w:bookmarkEnd w:id="91"/>
      <w:bookmarkEnd w:id="92"/>
      <w:bookmarkEnd w:id="93"/>
      <w:bookmarkEnd w:id="94"/>
      <w:bookmarkEnd w:id="95"/>
      <w:r>
        <w:rPr>
          <w:rFonts w:hint="eastAsia" w:ascii="宋体" w:hAnsi="宋体" w:cs="宋体"/>
          <w:b/>
          <w:sz w:val="24"/>
          <w:szCs w:val="32"/>
          <w:highlight w:val="none"/>
        </w:rPr>
        <w:t>第一次</w:t>
      </w:r>
      <w:r>
        <w:rPr>
          <w:rFonts w:hint="eastAsia" w:ascii="宋体" w:hAnsi="宋体" w:cs="宋体"/>
          <w:b/>
          <w:sz w:val="24"/>
          <w:szCs w:val="32"/>
          <w:highlight w:val="none"/>
          <w:lang w:eastAsia="zh-CN"/>
        </w:rPr>
        <w:t>谈判</w:t>
      </w:r>
      <w:r>
        <w:rPr>
          <w:rFonts w:hint="eastAsia" w:ascii="宋体" w:hAnsi="宋体" w:cs="宋体"/>
          <w:b/>
          <w:sz w:val="24"/>
          <w:szCs w:val="32"/>
          <w:highlight w:val="none"/>
        </w:rPr>
        <w:t>报价表</w:t>
      </w:r>
    </w:p>
    <w:p w14:paraId="5160C36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宋体" w:cs="Times New Roman"/>
          <w:b/>
          <w:bCs w:val="0"/>
          <w:color w:val="auto"/>
          <w:sz w:val="22"/>
          <w:szCs w:val="28"/>
          <w:highlight w:val="none"/>
          <w:lang w:val="en-US" w:eastAsia="zh-CN"/>
        </w:rPr>
      </w:pPr>
      <w:r>
        <w:rPr>
          <w:rFonts w:hint="eastAsia" w:ascii="Times New Roman" w:hAnsi="Times New Roman" w:eastAsia="宋体" w:cs="Times New Roman"/>
          <w:b/>
          <w:bCs w:val="0"/>
          <w:color w:val="auto"/>
          <w:sz w:val="22"/>
          <w:szCs w:val="28"/>
          <w:highlight w:val="none"/>
          <w:lang w:val="en-US" w:eastAsia="zh-CN"/>
        </w:rPr>
        <w:t>1、</w:t>
      </w:r>
      <w:r>
        <w:rPr>
          <w:rFonts w:hint="eastAsia" w:cs="Times New Roman"/>
          <w:b/>
          <w:bCs w:val="0"/>
          <w:color w:val="auto"/>
          <w:sz w:val="22"/>
          <w:szCs w:val="28"/>
          <w:highlight w:val="none"/>
          <w:lang w:val="en-US" w:eastAsia="zh-CN"/>
        </w:rPr>
        <w:t>谈判</w:t>
      </w:r>
      <w:r>
        <w:rPr>
          <w:rFonts w:hint="eastAsia" w:ascii="Times New Roman" w:hAnsi="Times New Roman" w:eastAsia="宋体" w:cs="Times New Roman"/>
          <w:b/>
          <w:bCs w:val="0"/>
          <w:color w:val="auto"/>
          <w:sz w:val="22"/>
          <w:szCs w:val="28"/>
          <w:highlight w:val="none"/>
          <w:lang w:val="en-US" w:eastAsia="zh-CN"/>
        </w:rPr>
        <w:t>报价表</w:t>
      </w:r>
    </w:p>
    <w:p w14:paraId="55DA366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Times New Roman" w:hAnsi="Times New Roman" w:eastAsia="宋体" w:cs="Times New Roman"/>
          <w:bCs/>
          <w:color w:val="auto"/>
          <w:sz w:val="22"/>
          <w:szCs w:val="28"/>
          <w:highlight w:val="none"/>
        </w:rPr>
      </w:pPr>
    </w:p>
    <w:tbl>
      <w:tblPr>
        <w:tblStyle w:val="31"/>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4"/>
        <w:gridCol w:w="6852"/>
      </w:tblGrid>
      <w:tr w14:paraId="42C8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14" w:type="dxa"/>
            <w:noWrap w:val="0"/>
            <w:vAlign w:val="center"/>
          </w:tcPr>
          <w:p w14:paraId="64F8ACF8">
            <w:pPr>
              <w:pageBreakBefore w:val="0"/>
              <w:overflowPunct/>
              <w:bidi w:val="0"/>
              <w:spacing w:line="520" w:lineRule="exact"/>
              <w:jc w:val="center"/>
              <w:rPr>
                <w:rFonts w:ascii="宋体" w:hAnsi="宋体" w:eastAsia="宋体" w:cs="宋体"/>
                <w:sz w:val="22"/>
                <w:szCs w:val="22"/>
                <w:highlight w:val="none"/>
              </w:rPr>
            </w:pPr>
            <w:r>
              <w:rPr>
                <w:rFonts w:hint="eastAsia" w:ascii="宋体" w:hAnsi="宋体" w:eastAsia="宋体" w:cs="宋体"/>
                <w:sz w:val="22"/>
                <w:szCs w:val="22"/>
                <w:highlight w:val="none"/>
              </w:rPr>
              <w:t>项目名称</w:t>
            </w:r>
          </w:p>
        </w:tc>
        <w:tc>
          <w:tcPr>
            <w:tcW w:w="6852" w:type="dxa"/>
            <w:noWrap w:val="0"/>
            <w:vAlign w:val="center"/>
          </w:tcPr>
          <w:p w14:paraId="0614FEBC">
            <w:pPr>
              <w:pageBreakBefore w:val="0"/>
              <w:overflowPunct/>
              <w:bidi w:val="0"/>
              <w:spacing w:line="520" w:lineRule="exact"/>
              <w:jc w:val="center"/>
              <w:rPr>
                <w:rFonts w:ascii="宋体" w:hAnsi="宋体" w:eastAsia="宋体" w:cs="宋体"/>
                <w:sz w:val="22"/>
                <w:szCs w:val="22"/>
                <w:highlight w:val="none"/>
              </w:rPr>
            </w:pPr>
          </w:p>
        </w:tc>
      </w:tr>
      <w:tr w14:paraId="7DD71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14" w:type="dxa"/>
            <w:noWrap w:val="0"/>
            <w:vAlign w:val="center"/>
          </w:tcPr>
          <w:p w14:paraId="6DA450CB">
            <w:pPr>
              <w:pageBreakBefore w:val="0"/>
              <w:overflowPunct/>
              <w:bidi w:val="0"/>
              <w:spacing w:line="520" w:lineRule="exact"/>
              <w:jc w:val="center"/>
              <w:rPr>
                <w:rFonts w:ascii="宋体" w:hAnsi="宋体" w:eastAsia="宋体" w:cs="宋体"/>
                <w:sz w:val="22"/>
                <w:szCs w:val="22"/>
                <w:highlight w:val="none"/>
              </w:rPr>
            </w:pPr>
            <w:r>
              <w:rPr>
                <w:rFonts w:hint="eastAsia" w:ascii="宋体" w:hAnsi="宋体" w:eastAsia="宋体" w:cs="宋体"/>
                <w:sz w:val="22"/>
                <w:szCs w:val="22"/>
                <w:highlight w:val="none"/>
              </w:rPr>
              <w:t>项目编号</w:t>
            </w:r>
          </w:p>
        </w:tc>
        <w:tc>
          <w:tcPr>
            <w:tcW w:w="6852" w:type="dxa"/>
            <w:noWrap w:val="0"/>
            <w:vAlign w:val="center"/>
          </w:tcPr>
          <w:p w14:paraId="0DD577C4">
            <w:pPr>
              <w:pageBreakBefore w:val="0"/>
              <w:overflowPunct/>
              <w:bidi w:val="0"/>
              <w:spacing w:line="520" w:lineRule="exact"/>
              <w:jc w:val="center"/>
              <w:rPr>
                <w:rFonts w:ascii="宋体" w:hAnsi="宋体" w:eastAsia="宋体" w:cs="宋体"/>
                <w:sz w:val="22"/>
                <w:szCs w:val="22"/>
                <w:highlight w:val="none"/>
              </w:rPr>
            </w:pPr>
          </w:p>
        </w:tc>
      </w:tr>
      <w:tr w14:paraId="6C734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6" w:hRule="atLeast"/>
          <w:jc w:val="center"/>
        </w:trPr>
        <w:tc>
          <w:tcPr>
            <w:tcW w:w="1914" w:type="dxa"/>
            <w:noWrap w:val="0"/>
            <w:vAlign w:val="center"/>
          </w:tcPr>
          <w:p w14:paraId="516757D9">
            <w:pPr>
              <w:pageBreakBefore w:val="0"/>
              <w:overflowPunct/>
              <w:bidi w:val="0"/>
              <w:spacing w:line="520" w:lineRule="exact"/>
              <w:jc w:val="center"/>
              <w:rPr>
                <w:rFonts w:ascii="宋体" w:hAnsi="宋体" w:eastAsia="宋体" w:cs="宋体"/>
                <w:sz w:val="22"/>
                <w:szCs w:val="22"/>
                <w:highlight w:val="none"/>
              </w:rPr>
            </w:pPr>
            <w:r>
              <w:rPr>
                <w:rFonts w:hint="eastAsia" w:ascii="宋体" w:hAnsi="宋体" w:eastAsia="宋体" w:cs="宋体"/>
                <w:sz w:val="22"/>
                <w:szCs w:val="22"/>
                <w:highlight w:val="none"/>
                <w:lang w:eastAsia="zh-CN"/>
              </w:rPr>
              <w:t>谈判</w:t>
            </w:r>
            <w:r>
              <w:rPr>
                <w:rFonts w:hint="eastAsia" w:ascii="宋体" w:hAnsi="宋体" w:cs="宋体"/>
                <w:sz w:val="22"/>
                <w:szCs w:val="22"/>
                <w:highlight w:val="none"/>
                <w:lang w:val="en-US" w:eastAsia="zh-CN"/>
              </w:rPr>
              <w:t>总</w:t>
            </w:r>
            <w:r>
              <w:rPr>
                <w:rFonts w:hint="eastAsia" w:ascii="宋体" w:hAnsi="宋体" w:eastAsia="宋体" w:cs="宋体"/>
                <w:sz w:val="22"/>
                <w:szCs w:val="22"/>
                <w:highlight w:val="none"/>
              </w:rPr>
              <w:t>报价</w:t>
            </w:r>
          </w:p>
        </w:tc>
        <w:tc>
          <w:tcPr>
            <w:tcW w:w="6852" w:type="dxa"/>
            <w:noWrap w:val="0"/>
            <w:vAlign w:val="center"/>
          </w:tcPr>
          <w:p w14:paraId="78A59963">
            <w:pPr>
              <w:pageBreakBefore w:val="0"/>
              <w:overflowPunct/>
              <w:bidi w:val="0"/>
              <w:spacing w:line="520" w:lineRule="exact"/>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大写：</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p>
          <w:p w14:paraId="72816F69">
            <w:pPr>
              <w:pageBreakBefore w:val="0"/>
              <w:overflowPunct/>
              <w:bidi w:val="0"/>
              <w:spacing w:line="520" w:lineRule="exact"/>
              <w:jc w:val="both"/>
              <w:rPr>
                <w:rFonts w:ascii="宋体" w:hAnsi="宋体" w:eastAsia="宋体" w:cs="宋体"/>
                <w:sz w:val="22"/>
                <w:szCs w:val="22"/>
                <w:highlight w:val="none"/>
                <w:u w:val="single"/>
              </w:rPr>
            </w:pPr>
            <w:r>
              <w:rPr>
                <w:rFonts w:hint="eastAsia" w:ascii="宋体" w:hAnsi="宋体" w:eastAsia="宋体" w:cs="宋体"/>
                <w:sz w:val="22"/>
                <w:szCs w:val="22"/>
                <w:highlight w:val="none"/>
              </w:rPr>
              <w:t>小写：</w:t>
            </w:r>
            <w:r>
              <w:rPr>
                <w:rFonts w:hint="eastAsia" w:ascii="Times New Roman" w:hAnsi="Times New Roman" w:eastAsia="宋体" w:cs="Times New Roman"/>
                <w:sz w:val="22"/>
                <w:szCs w:val="24"/>
                <w:highlight w:val="none"/>
              </w:rPr>
              <w:t>￥</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Times New Roman" w:hAnsi="Times New Roman" w:eastAsia="宋体" w:cs="Times New Roman"/>
                <w:sz w:val="22"/>
                <w:szCs w:val="24"/>
                <w:highlight w:val="none"/>
              </w:rPr>
              <w:t>元</w:t>
            </w:r>
          </w:p>
        </w:tc>
      </w:tr>
      <w:tr w14:paraId="06C1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jc w:val="center"/>
        </w:trPr>
        <w:tc>
          <w:tcPr>
            <w:tcW w:w="1914" w:type="dxa"/>
            <w:noWrap w:val="0"/>
            <w:vAlign w:val="center"/>
          </w:tcPr>
          <w:p w14:paraId="2654279D">
            <w:pPr>
              <w:pageBreakBefore w:val="0"/>
              <w:overflowPunct/>
              <w:bidi w:val="0"/>
              <w:spacing w:line="520" w:lineRule="exact"/>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供货期</w:t>
            </w:r>
          </w:p>
        </w:tc>
        <w:tc>
          <w:tcPr>
            <w:tcW w:w="6852" w:type="dxa"/>
            <w:noWrap w:val="0"/>
            <w:vAlign w:val="center"/>
          </w:tcPr>
          <w:p w14:paraId="233E2507">
            <w:pPr>
              <w:pageBreakBefore w:val="0"/>
              <w:overflowPunct/>
              <w:bidi w:val="0"/>
              <w:spacing w:line="520" w:lineRule="exact"/>
              <w:jc w:val="center"/>
              <w:rPr>
                <w:rFonts w:ascii="宋体" w:hAnsi="宋体" w:eastAsia="宋体" w:cs="宋体"/>
                <w:b/>
                <w:sz w:val="22"/>
                <w:szCs w:val="22"/>
                <w:highlight w:val="none"/>
              </w:rPr>
            </w:pPr>
            <w:r>
              <w:rPr>
                <w:rFonts w:hint="eastAsia" w:ascii="宋体" w:hAnsi="宋体" w:eastAsia="宋体" w:cs="宋体"/>
                <w:sz w:val="22"/>
                <w:szCs w:val="22"/>
                <w:highlight w:val="none"/>
                <w:lang w:val="en-US" w:eastAsia="zh-CN"/>
              </w:rPr>
              <w:t>自合同签订之日起</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lang w:val="en-US" w:eastAsia="zh-CN"/>
              </w:rPr>
              <w:t>日历天</w:t>
            </w:r>
          </w:p>
        </w:tc>
      </w:tr>
      <w:tr w14:paraId="1A20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6" w:hRule="atLeast"/>
          <w:jc w:val="center"/>
        </w:trPr>
        <w:tc>
          <w:tcPr>
            <w:tcW w:w="1914" w:type="dxa"/>
            <w:noWrap w:val="0"/>
            <w:vAlign w:val="center"/>
          </w:tcPr>
          <w:p w14:paraId="7D7D6FD4">
            <w:pPr>
              <w:pageBreakBefore w:val="0"/>
              <w:overflowPunct/>
              <w:bidi w:val="0"/>
              <w:spacing w:line="520" w:lineRule="exact"/>
              <w:jc w:val="center"/>
              <w:rPr>
                <w:rFonts w:ascii="宋体" w:hAnsi="宋体" w:eastAsia="宋体" w:cs="宋体"/>
                <w:sz w:val="22"/>
                <w:szCs w:val="22"/>
                <w:highlight w:val="none"/>
              </w:rPr>
            </w:pPr>
            <w:r>
              <w:rPr>
                <w:rFonts w:hint="eastAsia" w:ascii="宋体" w:hAnsi="宋体" w:eastAsia="宋体" w:cs="宋体"/>
                <w:sz w:val="22"/>
                <w:szCs w:val="22"/>
                <w:highlight w:val="none"/>
              </w:rPr>
              <w:t>备注</w:t>
            </w:r>
          </w:p>
        </w:tc>
        <w:tc>
          <w:tcPr>
            <w:tcW w:w="6852" w:type="dxa"/>
            <w:noWrap w:val="0"/>
            <w:vAlign w:val="center"/>
          </w:tcPr>
          <w:p w14:paraId="4D8DE9AC">
            <w:pPr>
              <w:pageBreakBefore w:val="0"/>
              <w:overflowPunct/>
              <w:bidi w:val="0"/>
              <w:spacing w:line="520" w:lineRule="exact"/>
              <w:jc w:val="center"/>
              <w:rPr>
                <w:rFonts w:ascii="宋体" w:hAnsi="宋体" w:eastAsia="宋体" w:cs="宋体"/>
                <w:sz w:val="22"/>
                <w:szCs w:val="22"/>
                <w:highlight w:val="none"/>
              </w:rPr>
            </w:pPr>
          </w:p>
        </w:tc>
      </w:tr>
    </w:tbl>
    <w:p w14:paraId="6A91D2A1">
      <w:pPr>
        <w:keepNext w:val="0"/>
        <w:keepLines w:val="0"/>
        <w:pageBreakBefore w:val="0"/>
        <w:widowControl w:val="0"/>
        <w:kinsoku w:val="0"/>
        <w:wordWrap/>
        <w:overflowPunct/>
        <w:topLinePunct w:val="0"/>
        <w:autoSpaceDE/>
        <w:autoSpaceDN/>
        <w:bidi w:val="0"/>
        <w:adjustRightInd/>
        <w:snapToGrid/>
        <w:spacing w:line="520" w:lineRule="exact"/>
        <w:textAlignment w:val="auto"/>
        <w:rPr>
          <w:rFonts w:hint="eastAsia" w:ascii="宋体" w:hAnsi="宋体" w:eastAsia="宋体" w:cs="宋体"/>
          <w:sz w:val="22"/>
          <w:szCs w:val="28"/>
          <w:highlight w:val="none"/>
        </w:rPr>
      </w:pPr>
    </w:p>
    <w:p w14:paraId="1BB9A664">
      <w:pPr>
        <w:keepNext w:val="0"/>
        <w:keepLines w:val="0"/>
        <w:pageBreakBefore w:val="0"/>
        <w:widowControl w:val="0"/>
        <w:kinsoku w:val="0"/>
        <w:wordWrap/>
        <w:overflowPunct/>
        <w:topLinePunct w:val="0"/>
        <w:autoSpaceDE/>
        <w:autoSpaceDN/>
        <w:bidi w:val="0"/>
        <w:adjustRightInd/>
        <w:snapToGrid/>
        <w:spacing w:line="520" w:lineRule="exact"/>
        <w:textAlignment w:val="auto"/>
        <w:rPr>
          <w:rFonts w:hint="eastAsia" w:ascii="宋体" w:hAnsi="宋体" w:eastAsia="宋体" w:cs="宋体"/>
          <w:sz w:val="22"/>
          <w:szCs w:val="28"/>
          <w:highlight w:val="none"/>
        </w:rPr>
      </w:pPr>
      <w:r>
        <w:rPr>
          <w:rFonts w:hint="eastAsia" w:ascii="宋体" w:hAnsi="宋体" w:eastAsia="宋体" w:cs="宋体"/>
          <w:sz w:val="22"/>
          <w:szCs w:val="28"/>
          <w:highlight w:val="none"/>
          <w:lang w:val="en-US" w:eastAsia="zh-CN"/>
        </w:rPr>
        <w:t xml:space="preserve">      </w:t>
      </w:r>
      <w:r>
        <w:rPr>
          <w:rFonts w:hint="eastAsia" w:ascii="宋体" w:hAnsi="宋体" w:eastAsia="宋体" w:cs="宋体"/>
          <w:sz w:val="22"/>
          <w:szCs w:val="28"/>
          <w:highlight w:val="none"/>
        </w:rPr>
        <w:t>1、本报价中没有填写的项目费用，视为已包括在报价之中。</w:t>
      </w:r>
    </w:p>
    <w:p w14:paraId="6D566240">
      <w:pPr>
        <w:keepNext w:val="0"/>
        <w:keepLines w:val="0"/>
        <w:pageBreakBefore w:val="0"/>
        <w:widowControl w:val="0"/>
        <w:kinsoku w:val="0"/>
        <w:wordWrap/>
        <w:overflowPunct/>
        <w:topLinePunct w:val="0"/>
        <w:autoSpaceDE/>
        <w:autoSpaceDN/>
        <w:bidi w:val="0"/>
        <w:adjustRightInd/>
        <w:snapToGrid/>
        <w:spacing w:line="520" w:lineRule="exact"/>
        <w:ind w:firstLine="660" w:firstLineChars="300"/>
        <w:textAlignment w:val="auto"/>
        <w:rPr>
          <w:rFonts w:hint="eastAsia" w:ascii="宋体" w:hAnsi="宋体" w:eastAsia="宋体" w:cs="宋体"/>
          <w:sz w:val="22"/>
          <w:szCs w:val="28"/>
          <w:highlight w:val="none"/>
        </w:rPr>
      </w:pPr>
      <w:r>
        <w:rPr>
          <w:rFonts w:hint="eastAsia" w:ascii="宋体" w:hAnsi="宋体" w:eastAsia="宋体" w:cs="宋体"/>
          <w:sz w:val="22"/>
          <w:szCs w:val="28"/>
          <w:highlight w:val="none"/>
        </w:rPr>
        <w:t>2、本报价的币种为人民币</w:t>
      </w:r>
      <w:r>
        <w:rPr>
          <w:rFonts w:hint="eastAsia" w:ascii="宋体" w:hAnsi="宋体" w:eastAsia="宋体" w:cs="宋体"/>
          <w:sz w:val="22"/>
          <w:szCs w:val="28"/>
          <w:highlight w:val="none"/>
          <w:lang w:eastAsia="zh-CN"/>
        </w:rPr>
        <w:t>，</w:t>
      </w:r>
      <w:r>
        <w:rPr>
          <w:rFonts w:hint="eastAsia" w:ascii="宋体" w:hAnsi="宋体" w:eastAsia="宋体" w:cs="宋体"/>
          <w:sz w:val="22"/>
          <w:szCs w:val="28"/>
          <w:highlight w:val="none"/>
        </w:rPr>
        <w:t>表内报价内容以元为单位（如有小数，保留小数点后2位）。</w:t>
      </w:r>
    </w:p>
    <w:p w14:paraId="5B3B4B7F">
      <w:pPr>
        <w:pageBreakBefore w:val="0"/>
        <w:kinsoku w:val="0"/>
        <w:overflowPunct/>
        <w:bidi w:val="0"/>
        <w:spacing w:line="520" w:lineRule="exact"/>
        <w:ind w:firstLine="660" w:firstLineChars="300"/>
        <w:rPr>
          <w:rFonts w:hint="eastAsia" w:ascii="宋体" w:hAnsi="宋体" w:eastAsia="宋体" w:cs="宋体"/>
          <w:sz w:val="22"/>
          <w:szCs w:val="28"/>
          <w:highlight w:val="none"/>
        </w:rPr>
      </w:pPr>
      <w:bookmarkStart w:id="132" w:name="_GoBack"/>
      <w:bookmarkEnd w:id="132"/>
    </w:p>
    <w:p w14:paraId="2AD405CB">
      <w:pPr>
        <w:keepNext w:val="0"/>
        <w:keepLines w:val="0"/>
        <w:pageBreakBefore w:val="0"/>
        <w:widowControl w:val="0"/>
        <w:kinsoku/>
        <w:wordWrap/>
        <w:overflowPunct/>
        <w:topLinePunct w:val="0"/>
        <w:autoSpaceDE/>
        <w:autoSpaceDN/>
        <w:bidi w:val="0"/>
        <w:adjustRightInd w:val="0"/>
        <w:snapToGrid w:val="0"/>
        <w:spacing w:line="520" w:lineRule="exact"/>
        <w:ind w:right="0"/>
        <w:jc w:val="both"/>
        <w:textAlignment w:val="auto"/>
        <w:rPr>
          <w:rFonts w:hint="eastAsia" w:ascii="宋体" w:hAnsi="宋体" w:eastAsia="宋体" w:cs="宋体"/>
          <w:sz w:val="22"/>
          <w:szCs w:val="22"/>
          <w:highlight w:val="none"/>
          <w:u w:val="single"/>
        </w:rPr>
      </w:pPr>
      <w:r>
        <w:rPr>
          <w:rFonts w:hint="eastAsia" w:ascii="宋体" w:hAnsi="宋体" w:eastAsia="宋体" w:cs="宋体"/>
          <w:sz w:val="22"/>
          <w:szCs w:val="22"/>
          <w:highlight w:val="none"/>
          <w:u w:val="none"/>
          <w:lang w:eastAsia="zh-CN"/>
        </w:rPr>
        <w:t>供应商名称</w:t>
      </w:r>
      <w:r>
        <w:rPr>
          <w:rFonts w:hint="eastAsia" w:ascii="宋体" w:hAnsi="宋体" w:eastAsia="宋体" w:cs="宋体"/>
          <w:sz w:val="22"/>
          <w:szCs w:val="22"/>
          <w:highlight w:val="none"/>
        </w:rPr>
        <w:t>：</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none"/>
        </w:rPr>
        <w:t>（盖公章）</w:t>
      </w:r>
    </w:p>
    <w:p w14:paraId="6159291C">
      <w:pPr>
        <w:keepNext w:val="0"/>
        <w:keepLines w:val="0"/>
        <w:pageBreakBefore w:val="0"/>
        <w:widowControl w:val="0"/>
        <w:kinsoku/>
        <w:wordWrap/>
        <w:overflowPunct/>
        <w:topLinePunct w:val="0"/>
        <w:autoSpaceDE/>
        <w:autoSpaceDN/>
        <w:bidi w:val="0"/>
        <w:adjustRightInd w:val="0"/>
        <w:snapToGrid w:val="0"/>
        <w:spacing w:line="520" w:lineRule="exact"/>
        <w:jc w:val="both"/>
        <w:textAlignment w:val="auto"/>
        <w:rPr>
          <w:rFonts w:hint="eastAsia" w:ascii="宋体" w:hAnsi="宋体" w:eastAsia="宋体" w:cs="宋体"/>
          <w:sz w:val="22"/>
          <w:szCs w:val="22"/>
          <w:highlight w:val="none"/>
          <w:u w:val="none"/>
          <w:lang w:eastAsia="zh-CN"/>
        </w:rPr>
      </w:pPr>
    </w:p>
    <w:p w14:paraId="7BFE632C">
      <w:pPr>
        <w:keepNext w:val="0"/>
        <w:keepLines w:val="0"/>
        <w:pageBreakBefore w:val="0"/>
        <w:widowControl w:val="0"/>
        <w:kinsoku/>
        <w:wordWrap/>
        <w:overflowPunct/>
        <w:topLinePunct w:val="0"/>
        <w:autoSpaceDE/>
        <w:autoSpaceDN/>
        <w:bidi w:val="0"/>
        <w:adjustRightInd w:val="0"/>
        <w:snapToGrid w:val="0"/>
        <w:spacing w:line="520" w:lineRule="exact"/>
        <w:jc w:val="both"/>
        <w:textAlignment w:val="auto"/>
        <w:rPr>
          <w:rFonts w:hint="eastAsia" w:ascii="宋体" w:hAnsi="宋体" w:eastAsia="宋体" w:cs="宋体"/>
          <w:b w:val="0"/>
          <w:bCs/>
          <w:sz w:val="22"/>
          <w:szCs w:val="22"/>
          <w:highlight w:val="none"/>
          <w:lang w:eastAsia="zh-CN"/>
        </w:rPr>
      </w:pPr>
      <w:r>
        <w:rPr>
          <w:rFonts w:hint="eastAsia" w:ascii="宋体" w:hAnsi="宋体" w:eastAsia="宋体" w:cs="宋体"/>
          <w:sz w:val="22"/>
          <w:szCs w:val="22"/>
          <w:highlight w:val="none"/>
          <w:u w:val="none"/>
          <w:lang w:eastAsia="zh-CN"/>
        </w:rPr>
        <w:t>法定代表人或</w:t>
      </w:r>
      <w:r>
        <w:rPr>
          <w:rFonts w:hint="eastAsia" w:ascii="宋体" w:hAnsi="宋体" w:eastAsia="宋体" w:cs="宋体"/>
          <w:sz w:val="22"/>
          <w:szCs w:val="22"/>
          <w:highlight w:val="none"/>
        </w:rPr>
        <w:t>委托代理人</w:t>
      </w:r>
      <w:r>
        <w:rPr>
          <w:rFonts w:hint="eastAsia" w:ascii="宋体" w:hAnsi="宋体" w:eastAsia="宋体" w:cs="宋体"/>
          <w:sz w:val="22"/>
          <w:szCs w:val="22"/>
          <w:highlight w:val="none"/>
          <w:u w:val="none"/>
          <w:lang w:eastAsia="zh-CN"/>
        </w:rPr>
        <w:t>：</w:t>
      </w:r>
      <w:r>
        <w:rPr>
          <w:rFonts w:hint="eastAsia" w:ascii="宋体" w:hAnsi="宋体" w:eastAsia="宋体" w:cs="宋体"/>
          <w:b w:val="0"/>
          <w:bCs/>
          <w:sz w:val="22"/>
          <w:szCs w:val="22"/>
          <w:highlight w:val="none"/>
          <w:u w:val="single"/>
        </w:rPr>
        <w:t xml:space="preserve">     </w:t>
      </w:r>
      <w:r>
        <w:rPr>
          <w:rFonts w:hint="eastAsia" w:ascii="宋体" w:hAnsi="宋体" w:eastAsia="宋体" w:cs="宋体"/>
          <w:b w:val="0"/>
          <w:bCs/>
          <w:sz w:val="22"/>
          <w:szCs w:val="22"/>
          <w:highlight w:val="none"/>
          <w:u w:val="single"/>
          <w:lang w:val="en-US" w:eastAsia="zh-CN"/>
        </w:rPr>
        <w:t xml:space="preserve">    </w:t>
      </w:r>
      <w:r>
        <w:rPr>
          <w:rFonts w:hint="eastAsia" w:ascii="宋体" w:hAnsi="宋体" w:eastAsia="宋体" w:cs="宋体"/>
          <w:b w:val="0"/>
          <w:bCs/>
          <w:sz w:val="22"/>
          <w:szCs w:val="22"/>
          <w:highlight w:val="none"/>
          <w:u w:val="single"/>
        </w:rPr>
        <w:t xml:space="preserve">  </w:t>
      </w:r>
      <w:r>
        <w:rPr>
          <w:rFonts w:hint="eastAsia" w:ascii="宋体" w:hAnsi="宋体" w:eastAsia="宋体" w:cs="宋体"/>
          <w:b w:val="0"/>
          <w:bCs/>
          <w:sz w:val="22"/>
          <w:szCs w:val="22"/>
          <w:highlight w:val="none"/>
          <w:u w:val="none"/>
          <w:lang w:eastAsia="zh-CN"/>
        </w:rPr>
        <w:t>（</w:t>
      </w:r>
      <w:r>
        <w:rPr>
          <w:rFonts w:hint="eastAsia" w:ascii="宋体" w:hAnsi="宋体" w:eastAsia="宋体" w:cs="宋体"/>
          <w:b w:val="0"/>
          <w:bCs/>
          <w:sz w:val="22"/>
          <w:szCs w:val="22"/>
          <w:highlight w:val="none"/>
        </w:rPr>
        <w:t>签字或盖章</w:t>
      </w:r>
      <w:r>
        <w:rPr>
          <w:rFonts w:hint="eastAsia" w:ascii="宋体" w:hAnsi="宋体" w:eastAsia="宋体" w:cs="宋体"/>
          <w:b w:val="0"/>
          <w:bCs/>
          <w:sz w:val="22"/>
          <w:szCs w:val="22"/>
          <w:highlight w:val="none"/>
          <w:lang w:eastAsia="zh-CN"/>
        </w:rPr>
        <w:t>）</w:t>
      </w:r>
    </w:p>
    <w:p w14:paraId="48785A59">
      <w:pPr>
        <w:pageBreakBefore w:val="0"/>
        <w:overflowPunct/>
        <w:bidi w:val="0"/>
        <w:spacing w:line="520" w:lineRule="exact"/>
        <w:rPr>
          <w:rFonts w:hint="eastAsia" w:ascii="宋体" w:hAnsi="宋体" w:eastAsia="宋体" w:cs="宋体"/>
          <w:sz w:val="22"/>
          <w:szCs w:val="22"/>
          <w:highlight w:val="none"/>
        </w:rPr>
      </w:pPr>
    </w:p>
    <w:p w14:paraId="31BD2B73">
      <w:pPr>
        <w:keepNext w:val="0"/>
        <w:keepLines w:val="0"/>
        <w:pageBreakBefore w:val="0"/>
        <w:widowControl w:val="0"/>
        <w:kinsoku/>
        <w:overflowPunct/>
        <w:topLinePunct w:val="0"/>
        <w:autoSpaceDE/>
        <w:autoSpaceDN/>
        <w:bidi w:val="0"/>
        <w:adjustRightInd w:val="0"/>
        <w:snapToGrid w:val="0"/>
        <w:spacing w:line="520" w:lineRule="exact"/>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日     期：</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年</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月</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日</w:t>
      </w:r>
    </w:p>
    <w:p w14:paraId="722793AE">
      <w:pPr>
        <w:pageBreakBefore w:val="0"/>
        <w:overflowPunct/>
        <w:bidi w:val="0"/>
        <w:spacing w:line="5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br w:type="page"/>
      </w:r>
    </w:p>
    <w:p w14:paraId="62C77E16">
      <w:pPr>
        <w:pageBreakBefore w:val="0"/>
        <w:numPr>
          <w:ilvl w:val="0"/>
          <w:numId w:val="0"/>
        </w:numPr>
        <w:overflowPunct/>
        <w:bidi w:val="0"/>
        <w:spacing w:before="312" w:beforeLines="100" w:after="156" w:afterLines="50" w:line="520" w:lineRule="exact"/>
        <w:jc w:val="center"/>
        <w:rPr>
          <w:rFonts w:hint="default" w:ascii="宋体" w:hAnsi="宋体" w:eastAsia="宋体" w:cs="宋体"/>
          <w:b/>
          <w:sz w:val="32"/>
          <w:szCs w:val="32"/>
          <w:highlight w:val="none"/>
          <w:lang w:val="en-US"/>
        </w:rPr>
      </w:pPr>
      <w:bookmarkStart w:id="96" w:name="_Toc3219"/>
      <w:bookmarkStart w:id="97" w:name="_Toc5183"/>
      <w:r>
        <w:rPr>
          <w:rFonts w:hint="eastAsia" w:ascii="Times New Roman" w:hAnsi="Times New Roman" w:eastAsia="宋体" w:cs="Times New Roman"/>
          <w:b/>
          <w:bCs w:val="0"/>
          <w:color w:val="auto"/>
          <w:sz w:val="22"/>
          <w:szCs w:val="28"/>
          <w:highlight w:val="none"/>
          <w:lang w:val="en-US" w:eastAsia="zh-CN"/>
        </w:rPr>
        <w:t>2、</w:t>
      </w:r>
      <w:bookmarkEnd w:id="96"/>
      <w:bookmarkEnd w:id="97"/>
      <w:r>
        <w:rPr>
          <w:rFonts w:hint="eastAsia" w:cs="Times New Roman"/>
          <w:b/>
          <w:bCs w:val="0"/>
          <w:color w:val="auto"/>
          <w:sz w:val="22"/>
          <w:szCs w:val="28"/>
          <w:highlight w:val="none"/>
          <w:lang w:val="en-US" w:eastAsia="zh-CN"/>
        </w:rPr>
        <w:t>分项报价表</w:t>
      </w:r>
    </w:p>
    <w:p w14:paraId="46D5EAFE">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宋体" w:hAnsi="宋体" w:cs="宋体"/>
          <w:sz w:val="22"/>
          <w:szCs w:val="22"/>
          <w:highlight w:val="none"/>
          <w:lang w:eastAsia="zh-CN"/>
        </w:rPr>
      </w:pPr>
      <w:r>
        <w:rPr>
          <w:rFonts w:hint="eastAsia" w:ascii="宋体" w:hAnsi="宋体" w:eastAsia="宋体" w:cs="宋体"/>
          <w:sz w:val="22"/>
          <w:szCs w:val="22"/>
          <w:highlight w:val="none"/>
        </w:rPr>
        <w:t>项目名称：</w:t>
      </w:r>
    </w:p>
    <w:p w14:paraId="22325667">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项目编号：</w:t>
      </w:r>
    </w:p>
    <w:p w14:paraId="213136F1">
      <w:pPr>
        <w:pStyle w:val="20"/>
        <w:rPr>
          <w:rFonts w:hint="eastAsia" w:ascii="宋体" w:hAnsi="宋体" w:eastAsia="宋体" w:cs="宋体"/>
          <w:sz w:val="22"/>
          <w:szCs w:val="22"/>
          <w:highlight w:val="none"/>
        </w:rPr>
      </w:pPr>
    </w:p>
    <w:tbl>
      <w:tblPr>
        <w:tblStyle w:val="3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675"/>
        <w:gridCol w:w="528"/>
        <w:gridCol w:w="1535"/>
        <w:gridCol w:w="774"/>
        <w:gridCol w:w="621"/>
        <w:gridCol w:w="823"/>
        <w:gridCol w:w="1099"/>
        <w:gridCol w:w="657"/>
        <w:gridCol w:w="657"/>
        <w:gridCol w:w="657"/>
        <w:gridCol w:w="677"/>
      </w:tblGrid>
      <w:tr w14:paraId="7C000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C1FB5">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1497" w:type="pct"/>
            <w:gridSpan w:val="3"/>
            <w:tcBorders>
              <w:top w:val="single" w:color="000000" w:sz="4" w:space="0"/>
              <w:left w:val="single" w:color="000000" w:sz="4" w:space="0"/>
              <w:bottom w:val="single" w:color="000000" w:sz="4" w:space="0"/>
              <w:right w:val="single" w:color="auto" w:sz="4" w:space="0"/>
            </w:tcBorders>
            <w:shd w:val="clear" w:color="auto" w:fill="auto"/>
            <w:vAlign w:val="center"/>
          </w:tcPr>
          <w:p w14:paraId="1A48474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i w:val="0"/>
                <w:iCs w:val="0"/>
                <w:color w:val="000000"/>
                <w:kern w:val="0"/>
                <w:sz w:val="22"/>
                <w:szCs w:val="22"/>
                <w:highlight w:val="none"/>
                <w:u w:val="none"/>
                <w:lang w:val="en-US" w:eastAsia="zh-CN" w:bidi="ar"/>
              </w:rPr>
              <w:t>标的</w:t>
            </w:r>
            <w:r>
              <w:rPr>
                <w:rFonts w:hint="eastAsia" w:ascii="宋体" w:hAnsi="宋体" w:eastAsia="宋体" w:cs="宋体"/>
                <w:b/>
                <w:bCs/>
                <w:i w:val="0"/>
                <w:iCs w:val="0"/>
                <w:color w:val="000000"/>
                <w:kern w:val="0"/>
                <w:sz w:val="22"/>
                <w:szCs w:val="22"/>
                <w:highlight w:val="none"/>
                <w:u w:val="none"/>
                <w:lang w:val="en-US" w:eastAsia="zh-CN" w:bidi="ar"/>
              </w:rPr>
              <w:t>名称</w:t>
            </w:r>
          </w:p>
        </w:tc>
        <w:tc>
          <w:tcPr>
            <w:tcW w:w="42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8DBD8C">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生产厂家</w:t>
            </w:r>
          </w:p>
        </w:tc>
        <w:tc>
          <w:tcPr>
            <w:tcW w:w="33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1D7DF9">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cs="宋体"/>
                <w:b/>
                <w:bCs/>
                <w:i w:val="0"/>
                <w:iCs w:val="0"/>
                <w:color w:val="000000"/>
                <w:sz w:val="22"/>
                <w:szCs w:val="22"/>
                <w:highlight w:val="none"/>
                <w:u w:val="none"/>
                <w:lang w:val="en-US" w:eastAsia="zh-CN"/>
              </w:rPr>
              <w:t>品牌</w:t>
            </w:r>
          </w:p>
        </w:tc>
        <w:tc>
          <w:tcPr>
            <w:tcW w:w="4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A901E4">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cs="宋体"/>
                <w:b/>
                <w:bCs/>
                <w:i w:val="0"/>
                <w:iCs w:val="0"/>
                <w:color w:val="000000"/>
                <w:sz w:val="22"/>
                <w:szCs w:val="22"/>
                <w:highlight w:val="none"/>
                <w:u w:val="none"/>
                <w:lang w:val="en-US" w:eastAsia="zh-CN"/>
              </w:rPr>
              <w:t>型号/规格</w:t>
            </w:r>
          </w:p>
        </w:tc>
        <w:tc>
          <w:tcPr>
            <w:tcW w:w="60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8B8939">
            <w:pPr>
              <w:jc w:val="center"/>
              <w:rPr>
                <w:rFonts w:hint="eastAsia" w:ascii="宋体" w:hAnsi="宋体" w:cs="宋体"/>
                <w:b/>
                <w:bCs/>
                <w:i w:val="0"/>
                <w:iCs w:val="0"/>
                <w:color w:val="000000"/>
                <w:sz w:val="22"/>
                <w:szCs w:val="22"/>
                <w:highlight w:val="none"/>
                <w:u w:val="none"/>
                <w:lang w:val="en-US" w:eastAsia="zh-CN"/>
              </w:rPr>
            </w:pPr>
            <w:r>
              <w:rPr>
                <w:rFonts w:hint="eastAsia" w:ascii="宋体" w:hAnsi="宋体" w:cs="宋体"/>
                <w:b/>
                <w:bCs/>
                <w:i w:val="0"/>
                <w:iCs w:val="0"/>
                <w:color w:val="000000"/>
                <w:sz w:val="22"/>
                <w:szCs w:val="22"/>
                <w:highlight w:val="none"/>
                <w:u w:val="none"/>
                <w:lang w:val="en-US" w:eastAsia="zh-CN"/>
              </w:rPr>
              <w:t>是否</w:t>
            </w:r>
          </w:p>
          <w:p w14:paraId="620763DC">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cs="宋体"/>
                <w:b/>
                <w:bCs/>
                <w:i w:val="0"/>
                <w:iCs w:val="0"/>
                <w:color w:val="000000"/>
                <w:sz w:val="22"/>
                <w:szCs w:val="22"/>
                <w:highlight w:val="none"/>
                <w:u w:val="none"/>
                <w:lang w:val="en-US" w:eastAsia="zh-CN"/>
              </w:rPr>
              <w:t>本国产品</w:t>
            </w:r>
          </w:p>
        </w:tc>
        <w:tc>
          <w:tcPr>
            <w:tcW w:w="3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FA15A5">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单位</w:t>
            </w:r>
          </w:p>
        </w:tc>
        <w:tc>
          <w:tcPr>
            <w:tcW w:w="3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DAD045">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数量</w:t>
            </w:r>
          </w:p>
        </w:tc>
        <w:tc>
          <w:tcPr>
            <w:tcW w:w="3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5382ED">
            <w:pPr>
              <w:jc w:val="cente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单价</w:t>
            </w:r>
          </w:p>
        </w:tc>
        <w:tc>
          <w:tcPr>
            <w:tcW w:w="37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ECF1FF">
            <w:pPr>
              <w:rPr>
                <w:rFonts w:hint="eastAsia" w:ascii="宋体" w:hAnsi="宋体" w:eastAsia="宋体" w:cs="宋体"/>
                <w:b/>
                <w:bCs/>
                <w:i w:val="0"/>
                <w:iCs w:val="0"/>
                <w:color w:val="000000"/>
                <w:sz w:val="22"/>
                <w:szCs w:val="22"/>
                <w:highlight w:val="none"/>
                <w:u w:val="none"/>
                <w:lang w:eastAsia="zh-CN"/>
              </w:rPr>
            </w:pPr>
            <w:r>
              <w:rPr>
                <w:rFonts w:hint="eastAsia" w:ascii="宋体" w:hAnsi="宋体" w:eastAsia="宋体" w:cs="宋体"/>
                <w:b/>
                <w:bCs/>
                <w:i w:val="0"/>
                <w:iCs w:val="0"/>
                <w:color w:val="000000"/>
                <w:sz w:val="22"/>
                <w:szCs w:val="22"/>
                <w:highlight w:val="none"/>
                <w:u w:val="none"/>
                <w:lang w:eastAsia="zh-CN"/>
              </w:rPr>
              <w:t>合价</w:t>
            </w:r>
          </w:p>
        </w:tc>
      </w:tr>
      <w:tr w14:paraId="3982B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restart"/>
            <w:tcBorders>
              <w:top w:val="single" w:color="000000" w:sz="4" w:space="0"/>
              <w:left w:val="single" w:color="000000" w:sz="4" w:space="0"/>
              <w:right w:val="single" w:color="000000" w:sz="4" w:space="0"/>
            </w:tcBorders>
            <w:shd w:val="clear" w:color="auto" w:fill="auto"/>
            <w:vAlign w:val="center"/>
          </w:tcPr>
          <w:p w14:paraId="3E6955DF">
            <w:pPr>
              <w:jc w:val="center"/>
              <w:rPr>
                <w:rFonts w:hint="eastAsia" w:ascii="宋体" w:hAnsi="宋体" w:eastAsia="宋体" w:cs="宋体"/>
                <w:b/>
                <w:bCs/>
                <w:i w:val="0"/>
                <w:iCs w:val="0"/>
                <w:color w:val="000000"/>
                <w:sz w:val="22"/>
                <w:szCs w:val="22"/>
                <w:highlight w:val="none"/>
                <w:u w:val="none"/>
                <w:lang w:val="en-US" w:eastAsia="zh-CN"/>
              </w:rPr>
            </w:pPr>
            <w:r>
              <w:rPr>
                <w:rFonts w:hint="eastAsia" w:ascii="宋体" w:hAnsi="宋体" w:cs="宋体"/>
                <w:b w:val="0"/>
                <w:bCs w:val="0"/>
                <w:i w:val="0"/>
                <w:iCs w:val="0"/>
                <w:color w:val="000000"/>
                <w:sz w:val="22"/>
                <w:szCs w:val="22"/>
                <w:highlight w:val="none"/>
                <w:u w:val="none"/>
                <w:lang w:val="en-US" w:eastAsia="zh-CN"/>
              </w:rPr>
              <w:t>1</w:t>
            </w:r>
          </w:p>
        </w:tc>
        <w:tc>
          <w:tcPr>
            <w:tcW w:w="3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BD8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救护防护物资</w:t>
            </w: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8FA9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大型捕兽笼</w:t>
            </w:r>
          </w:p>
        </w:tc>
        <w:tc>
          <w:tcPr>
            <w:tcW w:w="423" w:type="pct"/>
            <w:tcBorders>
              <w:top w:val="single" w:color="auto" w:sz="4" w:space="0"/>
              <w:left w:val="single" w:color="000000" w:sz="4" w:space="0"/>
              <w:bottom w:val="single" w:color="000000" w:sz="4" w:space="0"/>
              <w:right w:val="single" w:color="000000" w:sz="4" w:space="0"/>
            </w:tcBorders>
            <w:shd w:val="clear" w:color="auto" w:fill="auto"/>
            <w:vAlign w:val="center"/>
          </w:tcPr>
          <w:p w14:paraId="534A398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auto" w:sz="4" w:space="0"/>
              <w:left w:val="single" w:color="000000" w:sz="4" w:space="0"/>
              <w:bottom w:val="single" w:color="000000" w:sz="4" w:space="0"/>
              <w:right w:val="single" w:color="000000" w:sz="4" w:space="0"/>
            </w:tcBorders>
            <w:shd w:val="clear" w:color="auto" w:fill="auto"/>
            <w:vAlign w:val="center"/>
          </w:tcPr>
          <w:p w14:paraId="768F19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auto" w:sz="4" w:space="0"/>
              <w:left w:val="single" w:color="000000" w:sz="4" w:space="0"/>
              <w:bottom w:val="single" w:color="000000" w:sz="4" w:space="0"/>
              <w:right w:val="single" w:color="000000" w:sz="4" w:space="0"/>
            </w:tcBorders>
            <w:shd w:val="clear" w:color="auto" w:fill="auto"/>
            <w:vAlign w:val="center"/>
          </w:tcPr>
          <w:p w14:paraId="30F1EB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auto" w:sz="4" w:space="0"/>
              <w:left w:val="single" w:color="000000" w:sz="4" w:space="0"/>
              <w:bottom w:val="single" w:color="000000" w:sz="4" w:space="0"/>
              <w:right w:val="single" w:color="000000" w:sz="4" w:space="0"/>
            </w:tcBorders>
            <w:shd w:val="clear" w:color="auto" w:fill="auto"/>
            <w:vAlign w:val="center"/>
          </w:tcPr>
          <w:p w14:paraId="5F3D87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auto" w:sz="4" w:space="0"/>
              <w:left w:val="single" w:color="000000" w:sz="4" w:space="0"/>
              <w:bottom w:val="single" w:color="000000" w:sz="4" w:space="0"/>
              <w:right w:val="single" w:color="000000" w:sz="4" w:space="0"/>
            </w:tcBorders>
            <w:shd w:val="clear" w:color="auto" w:fill="auto"/>
            <w:vAlign w:val="center"/>
          </w:tcPr>
          <w:p w14:paraId="6213CF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auto" w:sz="4" w:space="0"/>
              <w:left w:val="single" w:color="000000" w:sz="4" w:space="0"/>
              <w:bottom w:val="single" w:color="000000" w:sz="4" w:space="0"/>
              <w:right w:val="single" w:color="000000" w:sz="4" w:space="0"/>
            </w:tcBorders>
            <w:shd w:val="clear" w:color="auto" w:fill="auto"/>
            <w:vAlign w:val="center"/>
          </w:tcPr>
          <w:p w14:paraId="090D747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359" w:type="pct"/>
            <w:tcBorders>
              <w:top w:val="single" w:color="auto" w:sz="4" w:space="0"/>
              <w:left w:val="single" w:color="000000" w:sz="4" w:space="0"/>
              <w:bottom w:val="single" w:color="000000" w:sz="4" w:space="0"/>
              <w:right w:val="single" w:color="000000" w:sz="4" w:space="0"/>
            </w:tcBorders>
            <w:shd w:val="clear" w:color="auto" w:fill="auto"/>
            <w:vAlign w:val="center"/>
          </w:tcPr>
          <w:p w14:paraId="7190203C">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c>
          <w:tcPr>
            <w:tcW w:w="370" w:type="pct"/>
            <w:tcBorders>
              <w:top w:val="single" w:color="auto" w:sz="4" w:space="0"/>
              <w:left w:val="single" w:color="000000" w:sz="4" w:space="0"/>
              <w:bottom w:val="single" w:color="000000" w:sz="4" w:space="0"/>
              <w:right w:val="single" w:color="000000" w:sz="4" w:space="0"/>
            </w:tcBorders>
            <w:shd w:val="clear" w:color="auto" w:fill="auto"/>
            <w:vAlign w:val="center"/>
          </w:tcPr>
          <w:p w14:paraId="572D3BEF">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r>
      <w:tr w14:paraId="4B614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4B753">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5774F">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6E49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中型野生动物专用笼</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26CD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111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1FA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B1C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F3A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678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E03B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916A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6303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F93CD">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314B3">
            <w:pPr>
              <w:jc w:val="center"/>
              <w:rPr>
                <w:rFonts w:hint="eastAsia" w:ascii="宋体" w:hAnsi="宋体" w:eastAsia="宋体" w:cs="宋体"/>
                <w:i w:val="0"/>
                <w:iCs w:val="0"/>
                <w:color w:val="000000"/>
                <w:sz w:val="22"/>
                <w:szCs w:val="22"/>
                <w:highlight w:val="none"/>
                <w:u w:val="none"/>
              </w:rPr>
            </w:pPr>
          </w:p>
        </w:tc>
        <w:tc>
          <w:tcPr>
            <w:tcW w:w="2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5683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救护网</w:t>
            </w: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376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大型救护网</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D7C4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53E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E1B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9D3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EBF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B0C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69D5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D165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6377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8B4CD">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17EAE">
            <w:pPr>
              <w:jc w:val="center"/>
              <w:rPr>
                <w:rFonts w:hint="eastAsia" w:ascii="宋体" w:hAnsi="宋体" w:eastAsia="宋体" w:cs="宋体"/>
                <w:i w:val="0"/>
                <w:iCs w:val="0"/>
                <w:color w:val="000000"/>
                <w:sz w:val="22"/>
                <w:szCs w:val="22"/>
                <w:highlight w:val="none"/>
                <w:u w:val="none"/>
              </w:rPr>
            </w:pPr>
          </w:p>
        </w:tc>
        <w:tc>
          <w:tcPr>
            <w:tcW w:w="2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08985">
            <w:pPr>
              <w:jc w:val="center"/>
              <w:rPr>
                <w:rFonts w:hint="eastAsia" w:ascii="宋体" w:hAnsi="宋体" w:eastAsia="宋体" w:cs="宋体"/>
                <w:i w:val="0"/>
                <w:iCs w:val="0"/>
                <w:color w:val="000000"/>
                <w:sz w:val="22"/>
                <w:szCs w:val="22"/>
                <w:highlight w:val="none"/>
                <w:u w:val="none"/>
              </w:rPr>
            </w:pP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6C5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中型救护网</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BEB4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9F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1D2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DA7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968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EA8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5A11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10A4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00E2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50D10">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7D7B5">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A8C4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野生动物救护专用防护头盔</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A347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52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72C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169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2F0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A18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C7F8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24A7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901A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5DC9C">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CEED7">
            <w:pPr>
              <w:jc w:val="center"/>
              <w:rPr>
                <w:rFonts w:hint="eastAsia" w:ascii="宋体" w:hAnsi="宋体" w:eastAsia="宋体" w:cs="宋体"/>
                <w:i w:val="0"/>
                <w:iCs w:val="0"/>
                <w:color w:val="000000"/>
                <w:sz w:val="22"/>
                <w:szCs w:val="22"/>
                <w:highlight w:val="none"/>
                <w:u w:val="none"/>
              </w:rPr>
            </w:pPr>
          </w:p>
        </w:tc>
        <w:tc>
          <w:tcPr>
            <w:tcW w:w="2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4D56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防滑防水手套</w:t>
            </w: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05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轻型</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ADA8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098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915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DD9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638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D2B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34BD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78A7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8C4B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A7A01">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54810">
            <w:pPr>
              <w:jc w:val="center"/>
              <w:rPr>
                <w:rFonts w:hint="eastAsia" w:ascii="宋体" w:hAnsi="宋体" w:eastAsia="宋体" w:cs="宋体"/>
                <w:i w:val="0"/>
                <w:iCs w:val="0"/>
                <w:color w:val="000000"/>
                <w:sz w:val="22"/>
                <w:szCs w:val="22"/>
                <w:highlight w:val="none"/>
                <w:u w:val="none"/>
              </w:rPr>
            </w:pPr>
          </w:p>
        </w:tc>
        <w:tc>
          <w:tcPr>
            <w:tcW w:w="2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35C7E">
            <w:pPr>
              <w:jc w:val="center"/>
              <w:rPr>
                <w:rFonts w:hint="eastAsia" w:ascii="宋体" w:hAnsi="宋体" w:eastAsia="宋体" w:cs="宋体"/>
                <w:i w:val="0"/>
                <w:iCs w:val="0"/>
                <w:color w:val="000000"/>
                <w:sz w:val="22"/>
                <w:szCs w:val="22"/>
                <w:highlight w:val="none"/>
                <w:u w:val="none"/>
              </w:rPr>
            </w:pP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264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60BE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40C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2C5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C00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6C1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476F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EAB8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B6E57">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r>
      <w:tr w14:paraId="263E7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BE6A6">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7A017">
            <w:pPr>
              <w:jc w:val="center"/>
              <w:rPr>
                <w:rFonts w:hint="eastAsia" w:ascii="宋体" w:hAnsi="宋体" w:eastAsia="宋体" w:cs="宋体"/>
                <w:i w:val="0"/>
                <w:iCs w:val="0"/>
                <w:color w:val="000000"/>
                <w:sz w:val="22"/>
                <w:szCs w:val="22"/>
                <w:highlight w:val="none"/>
                <w:u w:val="none"/>
              </w:rPr>
            </w:pPr>
          </w:p>
        </w:tc>
        <w:tc>
          <w:tcPr>
            <w:tcW w:w="2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D70A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防咬手套</w:t>
            </w: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9E2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基础级</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CACE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FB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9F6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5AD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44F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5B74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A28E6">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69DCB">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r>
      <w:tr w14:paraId="04CC3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D527D">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C1AB0">
            <w:pPr>
              <w:jc w:val="center"/>
              <w:rPr>
                <w:rFonts w:hint="eastAsia" w:ascii="宋体" w:hAnsi="宋体" w:eastAsia="宋体" w:cs="宋体"/>
                <w:i w:val="0"/>
                <w:iCs w:val="0"/>
                <w:color w:val="000000"/>
                <w:sz w:val="22"/>
                <w:szCs w:val="22"/>
                <w:highlight w:val="none"/>
                <w:u w:val="none"/>
              </w:rPr>
            </w:pPr>
          </w:p>
        </w:tc>
        <w:tc>
          <w:tcPr>
            <w:tcW w:w="2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E2EE0">
            <w:pPr>
              <w:jc w:val="center"/>
              <w:rPr>
                <w:rFonts w:hint="eastAsia" w:ascii="宋体" w:hAnsi="宋体" w:eastAsia="宋体" w:cs="宋体"/>
                <w:i w:val="0"/>
                <w:iCs w:val="0"/>
                <w:color w:val="000000"/>
                <w:sz w:val="22"/>
                <w:szCs w:val="22"/>
                <w:highlight w:val="none"/>
                <w:u w:val="none"/>
              </w:rPr>
            </w:pP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CAB1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进阶级</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B472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825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332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B0D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2BB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DA6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9192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6524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D70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FB5F9">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78215">
            <w:pPr>
              <w:jc w:val="center"/>
              <w:rPr>
                <w:rFonts w:hint="eastAsia" w:ascii="宋体" w:hAnsi="宋体" w:eastAsia="宋体" w:cs="宋体"/>
                <w:i w:val="0"/>
                <w:iCs w:val="0"/>
                <w:color w:val="000000"/>
                <w:sz w:val="22"/>
                <w:szCs w:val="22"/>
                <w:highlight w:val="none"/>
                <w:u w:val="none"/>
              </w:rPr>
            </w:pPr>
          </w:p>
        </w:tc>
        <w:tc>
          <w:tcPr>
            <w:tcW w:w="2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A2B6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鸟笼</w:t>
            </w: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640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小型鸟类用笼</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AC84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3B4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38F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868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CE7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1F4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B61A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D345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6208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17D81">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6F9E0">
            <w:pPr>
              <w:jc w:val="center"/>
              <w:rPr>
                <w:rFonts w:hint="eastAsia" w:ascii="宋体" w:hAnsi="宋体" w:eastAsia="宋体" w:cs="宋体"/>
                <w:i w:val="0"/>
                <w:iCs w:val="0"/>
                <w:color w:val="000000"/>
                <w:sz w:val="22"/>
                <w:szCs w:val="22"/>
                <w:highlight w:val="none"/>
                <w:u w:val="none"/>
              </w:rPr>
            </w:pPr>
          </w:p>
        </w:tc>
        <w:tc>
          <w:tcPr>
            <w:tcW w:w="2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A6AD8">
            <w:pPr>
              <w:jc w:val="center"/>
              <w:rPr>
                <w:rFonts w:hint="eastAsia" w:ascii="宋体" w:hAnsi="宋体" w:eastAsia="宋体" w:cs="宋体"/>
                <w:i w:val="0"/>
                <w:iCs w:val="0"/>
                <w:color w:val="000000"/>
                <w:sz w:val="22"/>
                <w:szCs w:val="22"/>
                <w:highlight w:val="none"/>
                <w:u w:val="none"/>
              </w:rPr>
            </w:pP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02D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中型鸟类用笼</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74A3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1E5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F87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AB0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61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8EC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1D7D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842F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0925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FD0AE">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8F980">
            <w:pPr>
              <w:jc w:val="center"/>
              <w:rPr>
                <w:rFonts w:hint="eastAsia" w:ascii="宋体" w:hAnsi="宋体" w:eastAsia="宋体" w:cs="宋体"/>
                <w:i w:val="0"/>
                <w:iCs w:val="0"/>
                <w:color w:val="000000"/>
                <w:sz w:val="22"/>
                <w:szCs w:val="22"/>
                <w:highlight w:val="none"/>
                <w:u w:val="none"/>
              </w:rPr>
            </w:pPr>
          </w:p>
        </w:tc>
        <w:tc>
          <w:tcPr>
            <w:tcW w:w="2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95CB7">
            <w:pPr>
              <w:jc w:val="center"/>
              <w:rPr>
                <w:rFonts w:hint="eastAsia" w:ascii="宋体" w:hAnsi="宋体" w:eastAsia="宋体" w:cs="宋体"/>
                <w:i w:val="0"/>
                <w:iCs w:val="0"/>
                <w:color w:val="000000"/>
                <w:sz w:val="22"/>
                <w:szCs w:val="22"/>
                <w:highlight w:val="none"/>
                <w:u w:val="none"/>
              </w:rPr>
            </w:pPr>
          </w:p>
        </w:tc>
        <w:tc>
          <w:tcPr>
            <w:tcW w:w="8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FFD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大型鸟类用笼</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9687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D5B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19A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A50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A9F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F1E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93DE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AD63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553A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28F17">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E07C4">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947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充电式手电</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6A4F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89C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9EE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CC7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B6A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785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3AC1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C24D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4F05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254C3">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598A2">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AEBA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捕蛇夹</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FBAD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81C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246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B641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820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9B4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C9DA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5A4D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1F03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BE349">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71537">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B059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医用一次性手套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E7AD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5CF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80D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A58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DDB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550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AD0A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A946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1A0A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86A18">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11AB5">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F4D8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医用一次性防护服</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1C17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02F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39F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70F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4BC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2EF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7248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16BF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D1DC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FBF81">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5F2EE">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297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医用一次性头套</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801C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1F3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6F8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B7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6E7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0F9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82A9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CC2B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4442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3F6A5">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C41FA">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77DE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护目镜</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448B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0A1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ABB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BFB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9A4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F40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B126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B4BF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4214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3B37F">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79AF0">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ED4B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救护动物一次性食盒</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3D00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85C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6C4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733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74D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91C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56B3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77D3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3796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F60DC">
            <w:pPr>
              <w:jc w:val="center"/>
              <w:rPr>
                <w:rFonts w:hint="eastAsia" w:ascii="宋体" w:hAnsi="宋体" w:eastAsia="宋体" w:cs="宋体"/>
                <w:b/>
                <w:bCs/>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BD5D0">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ADF8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普通线手套</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0275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1E6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A49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038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23F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C5B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3D6A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14DA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837D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111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3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A276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救护医疗器具</w:t>
            </w: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D52A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手术台（含无影灯）</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9895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E3B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AAD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80E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6EF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FD8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CFD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2369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ED04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CE05D">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EFECD">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D60F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医疗器械柜</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6D74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572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892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909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AEA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A23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194C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DB5A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5C5D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BBF91">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1D15A">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B910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高温消毒柜</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AF5C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93F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BBF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9E9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530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F8E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7F5A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80C8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9C44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4121C">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6BA59">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20F0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加氧保温饲养箱</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E3A0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EB5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C10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6C6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58A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DBC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DECF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B38A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0AD5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9D3FC">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62B23">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98E4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兽药冷藏柜</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9C16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AEF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E9E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976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064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5C2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32BF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7B2F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0E58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3F095">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BE656">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4254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紫外线灯</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4786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9D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7CA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123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242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B4A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94F8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0539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1EA9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8E341">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23F44">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58A1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注射器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3010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22A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8F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181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6C9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E75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25B6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32B4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5108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31412">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1A010">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BB06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输液器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F03C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40C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E55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CED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EB2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223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4949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8505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41E3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678A7">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695E8">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5CA7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试剂管</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C298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189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D23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064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C35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236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C5D2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765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5911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621C6">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C4A7E">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B3F9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听诊器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2877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DD1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876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953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BBD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0AC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92BC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C632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0840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0AFB3">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AF47A">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9408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体温表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586E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396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5E0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7897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EB5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731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F478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E97F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6EC2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71871">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CC5B8">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8269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手术刀</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B2EE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660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70D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5A9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6EF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2F7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B982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CA07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E6D2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675B0">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0703">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C2FD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手术剪</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5145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409B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E2E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14C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A95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0DF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38BC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7362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A7C7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C72B2">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C5A00">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B76F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创巾布</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5EC6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F66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432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937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9E5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649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6940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91DC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D26D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9C055">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5DCA1">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4C95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创巾钳</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B47E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AD8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191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2D5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C43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C0D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29AD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D331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5D69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D0849">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0C3F8">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0CD0B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电磨机</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B7AC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4C9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156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1E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9B4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2FC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3A11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D4A5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D020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F9FC0">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2E777">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8FD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手术镊子</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8907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6FA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CF3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0F9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083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2F8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A87B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FA9B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6AB5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2209E">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DBC74">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3D5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止血钳</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D4C2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BA4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F96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629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CF5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798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29A8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0BAB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5E18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0BF5D">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DF5D9">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DB06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骨钳</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7A4F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DB3A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5D3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671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83D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5B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2CD6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B0D9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6887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DDCCC">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0B222">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DD1C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剪毛剪</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16C1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C1E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233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E4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026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FAB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3C1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E355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AB46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E674A">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FCDA9">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262B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持针器</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ED35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411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AC5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935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F18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D84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2006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D1F9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1F95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C41EF">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6DDA1">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B4E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一体式缝合线</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B35B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7BE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2B1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56D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AAA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C60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8075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6FEB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B06E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C8ABA">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34CC9">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D909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无菌纱布</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9640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213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48D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1E7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19D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DDB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BE26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5C43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7BFE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C31B1">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0BC75">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1A1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棉球</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09D2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EDB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50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50D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DBE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F6D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574A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B7EB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903C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8C73E">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F922F">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0B48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弹力绷带</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1DD3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073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087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2A1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EAA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210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489D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F4E5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B3F6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84A05">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06F28">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9335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高分子石膏绷带</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EE95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8F7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048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D6AD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B4D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473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AC5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0E0C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4A48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079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D6EC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救护药品</w:t>
            </w: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407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双氧水</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F44F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6D1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187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C4A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4D6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AE0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F81C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F35E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DDC1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FB824">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8B876">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E406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碘伏</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D309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BFD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7BC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AB1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77B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264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3110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B48D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71D4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74D2D">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E28A9">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6C43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酒精</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F34E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70F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28B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E02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170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9F8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56AC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100B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C861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3E1D7">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3C21C">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3755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太白老翁散</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7BDE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D53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0BD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893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45A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9BB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BE93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AB82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23B5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24393">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4A6E2">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E92B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红霉素软膏</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ADC0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3A7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676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AF21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FCB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CA8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DB85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8A54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0671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64729">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D076C">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DF40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鱼石脂软膏</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ED21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620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515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27B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33F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D0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9BCD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6F6E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5945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4861B">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19090">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5FD1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银离子消毒液</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9390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A9D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3CD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218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4AB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B6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20D0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A454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67BD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CE280">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8DFF1">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6C7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广谱抗生素、庆大霉素</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5F03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89F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52C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9F2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C29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CA0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E43E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5A87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231A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BF55B">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0396A">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37CF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恩诺沙星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8ABF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2CD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943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B60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262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2F5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AF4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2B06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2AA4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C0F89">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31D1C">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0001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头孢噻呋钠</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0F2B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B5D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C7C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B46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C8D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B1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765C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A8D0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E9D8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6B00F">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C7831">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EA5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头孢隆肟</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132D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E6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221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424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D50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6B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3F4B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4C3A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E185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6D6C4">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6DB78">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4EE5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磺胺嘧啶注射液</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3DC5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3FB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2EF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E90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FA6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BB1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441A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FF3C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2678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014A3">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A2776">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20A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注射青霉素</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172C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BDA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31A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164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6EC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F38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0F8B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5423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9F56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44A6B">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FC1F0">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84D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安痛定</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F6D1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983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13A7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3A3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920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13A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96B7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10B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D1DB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7615A">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4F08D">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810A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氟尼辛葡甲胺</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2CFA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4BC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15A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0A9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D8A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AD1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F4FE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508F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2E26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C0E64">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46663">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7854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酚磺乙胺</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5F70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074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271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010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388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02E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FA9E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BA59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6E8A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6BB24">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D6C6C">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CE39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碳酸氢钠注射液</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3CEA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F02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582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A51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5B7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D14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8AEA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260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061A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FC32D">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D9F38">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5FDD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50%葡萄糖</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3C78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3EE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128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6C0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378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9D8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4E8A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51C2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1745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7F05E">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817A6">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B840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5%葡萄糖</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4920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D08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555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7C4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3DDD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9DB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7916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1607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35A0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66FCE">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7047E">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970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0.9%氯化钠</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5CF6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575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FC0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A3C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3BE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84F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5EFE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8828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EEB2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3376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3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3297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救护诊疗设备</w:t>
            </w: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2B4B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DR数字X线机</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9A2F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85A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44B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3AB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4B2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129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117D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D95E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AEB0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867CD">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AFFBA">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A2F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B超机</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9E2C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746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2C8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E90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683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C53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3522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711E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51BC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8330A">
            <w:pPr>
              <w:jc w:val="center"/>
              <w:rPr>
                <w:rFonts w:hint="eastAsia" w:ascii="宋体" w:hAnsi="宋体" w:eastAsia="宋体" w:cs="宋体"/>
                <w:i w:val="0"/>
                <w:iCs w:val="0"/>
                <w:color w:val="000000"/>
                <w:sz w:val="22"/>
                <w:szCs w:val="22"/>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64D82">
            <w:pPr>
              <w:jc w:val="center"/>
              <w:rPr>
                <w:rFonts w:hint="eastAsia" w:ascii="宋体" w:hAnsi="宋体" w:eastAsia="宋体" w:cs="宋体"/>
                <w:i w:val="0"/>
                <w:iCs w:val="0"/>
                <w:color w:val="000000"/>
                <w:sz w:val="22"/>
                <w:szCs w:val="22"/>
                <w:highlight w:val="none"/>
                <w:u w:val="none"/>
              </w:rPr>
            </w:pP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98CA1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生物显微镜</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9D48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865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F05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5C6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2DC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6C8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9C38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E953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40E4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997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5</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62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救助动物饲料</w:t>
            </w: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C4E1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动物饲料</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582D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A5A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542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0CC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B65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34D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12B0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DFA7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6C87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457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6</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165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指示牌及标志牌</w:t>
            </w:r>
          </w:p>
        </w:tc>
        <w:tc>
          <w:tcPr>
            <w:tcW w:w="11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FEEF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制作、树立悬挂野生动物保护宣传及收容救助站标识</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5D98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9054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137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5D4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C43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71C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627F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4BDF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1A79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73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E94945">
            <w:pPr>
              <w:keepNext w:val="0"/>
              <w:keepLines w:val="0"/>
              <w:pageBreakBefore w:val="0"/>
              <w:widowControl/>
              <w:suppressLineNumbers w:val="0"/>
              <w:overflowPunct/>
              <w:bidi w:val="0"/>
              <w:spacing w:line="52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b/>
                <w:bCs/>
                <w:snapToGrid w:val="0"/>
                <w:color w:val="000000"/>
                <w:kern w:val="0"/>
                <w:sz w:val="28"/>
                <w:szCs w:val="28"/>
                <w:highlight w:val="none"/>
                <w:lang w:val="en-US" w:eastAsia="zh-CN"/>
              </w:rPr>
              <w:t>合计</w:t>
            </w:r>
          </w:p>
        </w:tc>
        <w:tc>
          <w:tcPr>
            <w:tcW w:w="3263"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7FF4006">
            <w:pPr>
              <w:keepNext w:val="0"/>
              <w:keepLines w:val="0"/>
              <w:pageBreakBefore w:val="0"/>
              <w:widowControl/>
              <w:suppressLineNumbers w:val="0"/>
              <w:overflowPunct/>
              <w:bidi w:val="0"/>
              <w:spacing w:line="520" w:lineRule="exact"/>
              <w:jc w:val="both"/>
              <w:textAlignment w:val="center"/>
              <w:rPr>
                <w:rFonts w:hint="eastAsia"/>
                <w:sz w:val="24"/>
                <w:szCs w:val="24"/>
                <w:highlight w:val="none"/>
                <w:lang w:eastAsia="zh-CN"/>
              </w:rPr>
            </w:pPr>
            <w:r>
              <w:rPr>
                <w:rFonts w:hint="eastAsia"/>
                <w:b/>
                <w:bCs/>
                <w:sz w:val="24"/>
                <w:szCs w:val="24"/>
                <w:highlight w:val="none"/>
                <w:lang w:eastAsia="zh-CN"/>
              </w:rPr>
              <w:t>大写：</w:t>
            </w:r>
          </w:p>
          <w:p w14:paraId="0684B28C">
            <w:pPr>
              <w:keepNext w:val="0"/>
              <w:keepLines w:val="0"/>
              <w:pageBreakBefore w:val="0"/>
              <w:widowControl/>
              <w:suppressLineNumbers w:val="0"/>
              <w:overflowPunct/>
              <w:bidi w:val="0"/>
              <w:spacing w:line="520" w:lineRule="exact"/>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b/>
                <w:bCs/>
                <w:sz w:val="24"/>
                <w:szCs w:val="24"/>
                <w:highlight w:val="none"/>
                <w:lang w:eastAsia="zh-CN"/>
              </w:rPr>
              <w:t>小写：</w:t>
            </w:r>
          </w:p>
        </w:tc>
      </w:tr>
    </w:tbl>
    <w:p w14:paraId="641949A5">
      <w:pPr>
        <w:pStyle w:val="20"/>
        <w:rPr>
          <w:rFonts w:hint="eastAsia" w:ascii="宋体" w:hAnsi="宋体" w:eastAsia="宋体" w:cs="宋体"/>
          <w:sz w:val="22"/>
          <w:szCs w:val="22"/>
          <w:highlight w:val="none"/>
        </w:rPr>
      </w:pPr>
    </w:p>
    <w:p w14:paraId="3B613CBB">
      <w:pPr>
        <w:pageBreakBefore w:val="0"/>
        <w:overflowPunct/>
        <w:bidi w:val="0"/>
        <w:spacing w:line="520" w:lineRule="exact"/>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注：</w:t>
      </w:r>
      <w:r>
        <w:rPr>
          <w:rFonts w:hint="eastAsia" w:ascii="宋体" w:hAnsi="宋体" w:eastAsia="宋体" w:cs="宋体"/>
          <w:sz w:val="22"/>
          <w:szCs w:val="22"/>
          <w:highlight w:val="none"/>
          <w:lang w:val="en-US" w:eastAsia="zh-CN"/>
        </w:rPr>
        <w:t>1</w:t>
      </w:r>
      <w:r>
        <w:rPr>
          <w:rFonts w:hint="eastAsia" w:ascii="宋体" w:hAnsi="宋体" w:cs="宋体"/>
          <w:sz w:val="22"/>
          <w:szCs w:val="22"/>
          <w:highlight w:val="none"/>
          <w:lang w:val="en-US" w:eastAsia="zh-CN"/>
        </w:rPr>
        <w:t>、</w:t>
      </w:r>
      <w:r>
        <w:rPr>
          <w:rFonts w:hint="eastAsia" w:ascii="宋体" w:hAnsi="宋体" w:eastAsia="宋体" w:cs="宋体"/>
          <w:sz w:val="22"/>
          <w:szCs w:val="22"/>
          <w:highlight w:val="none"/>
        </w:rPr>
        <w:t>本表中的“</w:t>
      </w:r>
      <w:r>
        <w:rPr>
          <w:rFonts w:hint="eastAsia" w:ascii="宋体" w:hAnsi="宋体" w:eastAsia="宋体" w:cs="宋体"/>
          <w:sz w:val="22"/>
          <w:szCs w:val="22"/>
          <w:highlight w:val="none"/>
          <w:lang w:val="en-US" w:eastAsia="zh-CN"/>
        </w:rPr>
        <w:t>合计</w:t>
      </w:r>
      <w:r>
        <w:rPr>
          <w:rFonts w:hint="eastAsia" w:ascii="宋体" w:hAnsi="宋体" w:eastAsia="宋体" w:cs="宋体"/>
          <w:sz w:val="22"/>
          <w:szCs w:val="22"/>
          <w:highlight w:val="none"/>
        </w:rPr>
        <w:t>”与“</w:t>
      </w:r>
      <w:r>
        <w:rPr>
          <w:rFonts w:hint="eastAsia" w:ascii="宋体" w:hAnsi="宋体" w:cs="宋体"/>
          <w:sz w:val="22"/>
          <w:szCs w:val="22"/>
          <w:highlight w:val="none"/>
          <w:lang w:val="en-US" w:eastAsia="zh-CN"/>
        </w:rPr>
        <w:t>首次报价表</w:t>
      </w:r>
      <w:r>
        <w:rPr>
          <w:rFonts w:hint="eastAsia" w:ascii="宋体" w:hAnsi="宋体" w:eastAsia="宋体" w:cs="宋体"/>
          <w:sz w:val="22"/>
          <w:szCs w:val="22"/>
          <w:highlight w:val="none"/>
        </w:rPr>
        <w:t>”</w:t>
      </w:r>
      <w:r>
        <w:rPr>
          <w:rFonts w:hint="eastAsia" w:ascii="宋体" w:hAnsi="宋体" w:cs="宋体"/>
          <w:sz w:val="22"/>
          <w:szCs w:val="22"/>
          <w:highlight w:val="none"/>
          <w:lang w:val="en-US" w:eastAsia="zh-CN"/>
        </w:rPr>
        <w:t>中的总价</w:t>
      </w:r>
      <w:r>
        <w:rPr>
          <w:rFonts w:hint="eastAsia" w:ascii="宋体" w:hAnsi="宋体" w:eastAsia="宋体" w:cs="宋体"/>
          <w:sz w:val="22"/>
          <w:szCs w:val="22"/>
          <w:highlight w:val="none"/>
        </w:rPr>
        <w:t>一致。</w:t>
      </w:r>
    </w:p>
    <w:p w14:paraId="576AA551">
      <w:pPr>
        <w:pageBreakBefore w:val="0"/>
        <w:overflowPunct/>
        <w:bidi w:val="0"/>
        <w:spacing w:line="520" w:lineRule="exact"/>
        <w:ind w:firstLine="440" w:firstLineChars="200"/>
        <w:rPr>
          <w:rFonts w:hint="eastAsia" w:ascii="宋体" w:hAnsi="宋体" w:cs="宋体"/>
          <w:sz w:val="22"/>
          <w:szCs w:val="22"/>
          <w:highlight w:val="none"/>
          <w:lang w:val="en-US" w:eastAsia="zh-CN"/>
        </w:rPr>
      </w:pPr>
      <w:r>
        <w:rPr>
          <w:rFonts w:hint="eastAsia" w:ascii="宋体" w:hAnsi="宋体" w:eastAsia="宋体" w:cs="宋体"/>
          <w:kern w:val="2"/>
          <w:sz w:val="22"/>
          <w:szCs w:val="22"/>
          <w:highlight w:val="none"/>
          <w:lang w:val="en-US" w:eastAsia="zh-CN" w:bidi="ar"/>
        </w:rPr>
        <w:t>2、本报价的币种为人民币</w:t>
      </w:r>
      <w:r>
        <w:rPr>
          <w:rFonts w:hint="eastAsia" w:ascii="宋体" w:hAnsi="宋体" w:eastAsia="宋体" w:cs="宋体"/>
          <w:sz w:val="22"/>
          <w:szCs w:val="28"/>
          <w:highlight w:val="none"/>
          <w:lang w:eastAsia="zh-CN"/>
        </w:rPr>
        <w:t>，</w:t>
      </w:r>
      <w:r>
        <w:rPr>
          <w:rFonts w:hint="eastAsia" w:ascii="宋体" w:hAnsi="宋体" w:eastAsia="宋体" w:cs="宋体"/>
          <w:sz w:val="22"/>
          <w:szCs w:val="28"/>
          <w:highlight w:val="none"/>
        </w:rPr>
        <w:t>表内报价内容以元为单位（如有小数，保留小数点后2位）。</w:t>
      </w:r>
    </w:p>
    <w:p w14:paraId="2C66AF32">
      <w:pPr>
        <w:pageBreakBefore w:val="0"/>
        <w:overflowPunct/>
        <w:bidi w:val="0"/>
        <w:spacing w:line="520" w:lineRule="exact"/>
        <w:ind w:firstLine="440" w:firstLineChars="200"/>
        <w:rPr>
          <w:rFonts w:hint="eastAsia" w:ascii="宋体" w:hAnsi="宋体" w:eastAsia="宋体" w:cs="宋体"/>
          <w:kern w:val="2"/>
          <w:sz w:val="22"/>
          <w:szCs w:val="22"/>
          <w:highlight w:val="none"/>
          <w:lang w:val="en-US" w:eastAsia="zh-CN" w:bidi="ar"/>
        </w:rPr>
      </w:pPr>
      <w:r>
        <w:rPr>
          <w:rFonts w:hint="eastAsia" w:ascii="宋体" w:hAnsi="宋体" w:cs="宋体"/>
          <w:sz w:val="22"/>
          <w:szCs w:val="22"/>
          <w:highlight w:val="none"/>
          <w:lang w:val="en-US" w:eastAsia="zh-CN"/>
        </w:rPr>
        <w:t>3、分项报价出现漏项或报价数量与谈判文件要求不符的，将被视为无效报价，按无效响应处理</w:t>
      </w:r>
      <w:r>
        <w:rPr>
          <w:rFonts w:hint="eastAsia" w:ascii="宋体" w:hAnsi="宋体" w:eastAsia="宋体" w:cs="宋体"/>
          <w:kern w:val="2"/>
          <w:sz w:val="22"/>
          <w:szCs w:val="22"/>
          <w:highlight w:val="none"/>
          <w:lang w:val="en-US" w:eastAsia="zh-CN" w:bidi="ar"/>
        </w:rPr>
        <w:t>。</w:t>
      </w:r>
    </w:p>
    <w:p w14:paraId="76490A30">
      <w:pPr>
        <w:pStyle w:val="20"/>
        <w:rPr>
          <w:rFonts w:hint="eastAsia"/>
          <w:highlight w:val="none"/>
          <w:lang w:eastAsia="zh-CN"/>
        </w:rPr>
      </w:pPr>
    </w:p>
    <w:p w14:paraId="0B48B5E5">
      <w:pPr>
        <w:keepNext w:val="0"/>
        <w:keepLines w:val="0"/>
        <w:pageBreakBefore w:val="0"/>
        <w:widowControl w:val="0"/>
        <w:kinsoku/>
        <w:wordWrap/>
        <w:overflowPunct/>
        <w:topLinePunct w:val="0"/>
        <w:autoSpaceDE/>
        <w:autoSpaceDN/>
        <w:bidi w:val="0"/>
        <w:adjustRightInd w:val="0"/>
        <w:snapToGrid w:val="0"/>
        <w:spacing w:line="480" w:lineRule="auto"/>
        <w:ind w:right="0"/>
        <w:jc w:val="both"/>
        <w:textAlignment w:val="auto"/>
        <w:rPr>
          <w:rFonts w:hint="eastAsia" w:ascii="宋体" w:hAnsi="宋体" w:eastAsia="宋体" w:cs="宋体"/>
          <w:sz w:val="22"/>
          <w:szCs w:val="22"/>
          <w:highlight w:val="none"/>
          <w:u w:val="none"/>
          <w:lang w:eastAsia="zh-CN"/>
        </w:rPr>
      </w:pPr>
      <w:r>
        <w:rPr>
          <w:rFonts w:hint="eastAsia" w:ascii="宋体" w:hAnsi="宋体" w:eastAsia="宋体" w:cs="宋体"/>
          <w:sz w:val="22"/>
          <w:szCs w:val="22"/>
          <w:highlight w:val="none"/>
          <w:u w:val="none"/>
          <w:lang w:eastAsia="zh-CN"/>
        </w:rPr>
        <w:t>供应商名称</w:t>
      </w:r>
      <w:r>
        <w:rPr>
          <w:rFonts w:hint="eastAsia" w:ascii="宋体" w:hAnsi="宋体" w:eastAsia="宋体" w:cs="宋体"/>
          <w:sz w:val="22"/>
          <w:szCs w:val="22"/>
          <w:highlight w:val="none"/>
        </w:rPr>
        <w:t>：</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none"/>
        </w:rPr>
        <w:t>（盖公章）</w:t>
      </w:r>
    </w:p>
    <w:p w14:paraId="19376CC5">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u w:val="none"/>
          <w:lang w:eastAsia="zh-CN"/>
        </w:rPr>
        <w:t>法定代表人或</w:t>
      </w:r>
      <w:r>
        <w:rPr>
          <w:rFonts w:hint="eastAsia" w:ascii="宋体" w:hAnsi="宋体" w:eastAsia="宋体" w:cs="宋体"/>
          <w:sz w:val="22"/>
          <w:szCs w:val="22"/>
          <w:highlight w:val="none"/>
        </w:rPr>
        <w:t>委托代理人</w:t>
      </w:r>
      <w:r>
        <w:rPr>
          <w:rFonts w:hint="eastAsia" w:ascii="宋体" w:hAnsi="宋体" w:eastAsia="宋体" w:cs="宋体"/>
          <w:sz w:val="22"/>
          <w:szCs w:val="22"/>
          <w:highlight w:val="none"/>
          <w:u w:val="none"/>
          <w:lang w:eastAsia="zh-CN"/>
        </w:rPr>
        <w:t>：</w:t>
      </w:r>
      <w:r>
        <w:rPr>
          <w:rFonts w:hint="eastAsia" w:ascii="宋体" w:hAnsi="宋体" w:eastAsia="宋体" w:cs="宋体"/>
          <w:b w:val="0"/>
          <w:bCs/>
          <w:sz w:val="22"/>
          <w:szCs w:val="22"/>
          <w:highlight w:val="none"/>
          <w:u w:val="single"/>
        </w:rPr>
        <w:t xml:space="preserve">     </w:t>
      </w:r>
      <w:r>
        <w:rPr>
          <w:rFonts w:hint="eastAsia" w:ascii="宋体" w:hAnsi="宋体" w:eastAsia="宋体" w:cs="宋体"/>
          <w:b w:val="0"/>
          <w:bCs/>
          <w:sz w:val="22"/>
          <w:szCs w:val="22"/>
          <w:highlight w:val="none"/>
          <w:u w:val="single"/>
          <w:lang w:val="en-US" w:eastAsia="zh-CN"/>
        </w:rPr>
        <w:t xml:space="preserve">    </w:t>
      </w:r>
      <w:r>
        <w:rPr>
          <w:rFonts w:hint="eastAsia" w:ascii="宋体" w:hAnsi="宋体" w:eastAsia="宋体" w:cs="宋体"/>
          <w:b w:val="0"/>
          <w:bCs/>
          <w:sz w:val="22"/>
          <w:szCs w:val="22"/>
          <w:highlight w:val="none"/>
          <w:u w:val="single"/>
        </w:rPr>
        <w:t xml:space="preserve">  </w:t>
      </w:r>
      <w:r>
        <w:rPr>
          <w:rFonts w:hint="eastAsia" w:ascii="宋体" w:hAnsi="宋体" w:eastAsia="宋体" w:cs="宋体"/>
          <w:b w:val="0"/>
          <w:bCs/>
          <w:sz w:val="22"/>
          <w:szCs w:val="22"/>
          <w:highlight w:val="none"/>
          <w:u w:val="none"/>
          <w:lang w:eastAsia="zh-CN"/>
        </w:rPr>
        <w:t>（</w:t>
      </w:r>
      <w:r>
        <w:rPr>
          <w:rFonts w:hint="eastAsia" w:ascii="宋体" w:hAnsi="宋体" w:eastAsia="宋体" w:cs="宋体"/>
          <w:b w:val="0"/>
          <w:bCs/>
          <w:sz w:val="22"/>
          <w:szCs w:val="22"/>
          <w:highlight w:val="none"/>
        </w:rPr>
        <w:t>签字或盖章</w:t>
      </w:r>
      <w:r>
        <w:rPr>
          <w:rFonts w:hint="eastAsia" w:ascii="宋体" w:hAnsi="宋体" w:eastAsia="宋体" w:cs="宋体"/>
          <w:b w:val="0"/>
          <w:bCs/>
          <w:sz w:val="22"/>
          <w:szCs w:val="22"/>
          <w:highlight w:val="none"/>
          <w:lang w:eastAsia="zh-CN"/>
        </w:rPr>
        <w:t>）</w:t>
      </w:r>
    </w:p>
    <w:p w14:paraId="51583E85">
      <w:pPr>
        <w:pStyle w:val="67"/>
        <w:pageBreakBefore w:val="0"/>
        <w:overflowPunct/>
        <w:bidi w:val="0"/>
        <w:spacing w:line="480" w:lineRule="auto"/>
        <w:ind w:left="0" w:leftChars="0" w:firstLine="0" w:firstLineChars="0"/>
        <w:rPr>
          <w:rFonts w:hint="eastAsia" w:ascii="宋体" w:hAnsi="宋体" w:eastAsia="宋体" w:cs="宋体"/>
          <w:sz w:val="22"/>
          <w:szCs w:val="22"/>
          <w:highlight w:val="none"/>
        </w:rPr>
      </w:pPr>
      <w:r>
        <w:rPr>
          <w:rFonts w:hint="eastAsia" w:ascii="宋体" w:hAnsi="宋体" w:eastAsia="宋体" w:cs="宋体"/>
          <w:sz w:val="22"/>
          <w:szCs w:val="22"/>
          <w:highlight w:val="none"/>
        </w:rPr>
        <w:t>日     期：</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年</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月</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日</w:t>
      </w:r>
    </w:p>
    <w:p w14:paraId="4DD90866">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21DC7F60">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37391D68">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4E4C17BE">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0C13C72E">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5D884844">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1FEA63D4">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04441C17">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p>
    <w:p w14:paraId="10BE63AF">
      <w:pPr>
        <w:keepNext w:val="0"/>
        <w:keepLines w:val="0"/>
        <w:pageBreakBefore w:val="0"/>
        <w:widowControl w:val="0"/>
        <w:kinsoku/>
        <w:wordWrap/>
        <w:overflowPunct/>
        <w:topLinePunct w:val="0"/>
        <w:autoSpaceDE/>
        <w:autoSpaceDN/>
        <w:bidi w:val="0"/>
        <w:adjustRightInd/>
        <w:snapToGrid/>
        <w:spacing w:before="196" w:beforeLines="50" w:after="196" w:afterLines="50" w:line="520" w:lineRule="exact"/>
        <w:ind w:left="0" w:leftChars="0" w:right="0" w:rightChars="0" w:firstLine="0" w:firstLineChars="0"/>
        <w:jc w:val="center"/>
        <w:textAlignment w:val="auto"/>
        <w:outlineLvl w:val="1"/>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三、相关资格证明文件</w:t>
      </w:r>
    </w:p>
    <w:p w14:paraId="0C9D0560">
      <w:pPr>
        <w:spacing w:line="408" w:lineRule="auto"/>
        <w:ind w:firstLine="440" w:firstLineChars="200"/>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eastAsia="zh-CN"/>
        </w:rPr>
        <w:t>按照竞争性谈判文件第二章“供应商须知前附表”第</w:t>
      </w:r>
      <w:r>
        <w:rPr>
          <w:rFonts w:hint="eastAsia" w:ascii="宋体" w:hAnsi="宋体" w:cs="宋体"/>
          <w:sz w:val="22"/>
          <w:szCs w:val="22"/>
          <w:highlight w:val="none"/>
          <w:lang w:val="en-US" w:eastAsia="zh-CN"/>
        </w:rPr>
        <w:t>1.4.1条“供应商资格要求及条件”的要求，提供相关证明文件的复印件并加盖公章。</w:t>
      </w:r>
    </w:p>
    <w:p w14:paraId="110C5C98">
      <w:pPr>
        <w:pStyle w:val="17"/>
        <w:spacing w:line="408" w:lineRule="auto"/>
        <w:rPr>
          <w:rFonts w:hint="eastAsia" w:hAnsi="宋体" w:cs="宋体"/>
          <w:b/>
          <w:szCs w:val="21"/>
          <w:highlight w:val="none"/>
        </w:rPr>
      </w:pPr>
      <w:r>
        <w:rPr>
          <w:rFonts w:hint="eastAsia" w:hAnsi="宋体" w:cs="宋体"/>
          <w:b/>
          <w:szCs w:val="21"/>
          <w:highlight w:val="none"/>
        </w:rPr>
        <w:t>注：竞争性</w:t>
      </w:r>
      <w:r>
        <w:rPr>
          <w:rFonts w:hint="eastAsia" w:hAnsi="宋体" w:cs="宋体"/>
          <w:b/>
          <w:szCs w:val="21"/>
          <w:highlight w:val="none"/>
          <w:lang w:eastAsia="zh-CN"/>
        </w:rPr>
        <w:t>谈判</w:t>
      </w:r>
      <w:r>
        <w:rPr>
          <w:rFonts w:hint="eastAsia" w:hAnsi="宋体" w:cs="宋体"/>
          <w:b/>
          <w:szCs w:val="21"/>
          <w:highlight w:val="none"/>
        </w:rPr>
        <w:t>响应文件须按要求提供上述相关证明文件复印件并加盖公章（后附有关格式，未提供的格式自拟）。</w:t>
      </w:r>
    </w:p>
    <w:p w14:paraId="23E74687">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r>
        <w:rPr>
          <w:rFonts w:hint="eastAsia" w:hAnsi="宋体" w:cs="宋体"/>
          <w:b/>
          <w:sz w:val="24"/>
          <w:szCs w:val="24"/>
          <w:highlight w:val="none"/>
        </w:rPr>
        <w:br w:type="page"/>
      </w:r>
    </w:p>
    <w:p w14:paraId="1EE7495A">
      <w:pPr>
        <w:widowControl w:val="0"/>
        <w:spacing w:line="360" w:lineRule="auto"/>
        <w:jc w:val="both"/>
        <w:rPr>
          <w:rFonts w:hint="eastAsia"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附件一：</w:t>
      </w:r>
      <w:r>
        <w:rPr>
          <w:rFonts w:hint="eastAsia" w:ascii="宋体" w:hAnsi="宋体" w:cs="宋体"/>
          <w:b/>
          <w:kern w:val="2"/>
          <w:sz w:val="21"/>
          <w:szCs w:val="21"/>
          <w:highlight w:val="none"/>
          <w:lang w:val="en-US" w:eastAsia="zh-CN" w:bidi="ar-SA"/>
        </w:rPr>
        <w:t>法定代表人</w:t>
      </w:r>
      <w:r>
        <w:rPr>
          <w:rFonts w:hint="eastAsia" w:ascii="宋体" w:hAnsi="宋体" w:eastAsia="宋体" w:cs="宋体"/>
          <w:b/>
          <w:kern w:val="2"/>
          <w:sz w:val="21"/>
          <w:szCs w:val="21"/>
          <w:highlight w:val="none"/>
          <w:lang w:val="en-US" w:eastAsia="zh-CN" w:bidi="ar-SA"/>
        </w:rPr>
        <w:t>身份证明书</w:t>
      </w:r>
      <w:r>
        <w:rPr>
          <w:rFonts w:hint="eastAsia" w:ascii="宋体" w:hAnsi="宋体" w:cs="宋体"/>
          <w:b/>
          <w:kern w:val="2"/>
          <w:sz w:val="21"/>
          <w:szCs w:val="21"/>
          <w:highlight w:val="none"/>
          <w:lang w:val="en-US" w:eastAsia="zh-CN" w:bidi="ar-SA"/>
        </w:rPr>
        <w:t>/法人</w:t>
      </w:r>
      <w:r>
        <w:rPr>
          <w:rFonts w:hint="eastAsia" w:ascii="宋体" w:hAnsi="宋体" w:eastAsia="宋体" w:cs="宋体"/>
          <w:b/>
          <w:kern w:val="2"/>
          <w:sz w:val="21"/>
          <w:szCs w:val="21"/>
          <w:highlight w:val="none"/>
          <w:lang w:val="en-US" w:eastAsia="zh-CN" w:bidi="ar-SA"/>
        </w:rPr>
        <w:t>授权委托书</w:t>
      </w:r>
    </w:p>
    <w:p w14:paraId="24510B29">
      <w:pPr>
        <w:tabs>
          <w:tab w:val="left" w:pos="210"/>
        </w:tabs>
        <w:spacing w:line="480" w:lineRule="auto"/>
        <w:jc w:val="center"/>
        <w:rPr>
          <w:rFonts w:hint="eastAsia" w:ascii="宋体" w:hAnsi="宋体" w:eastAsia="宋体" w:cs="宋体"/>
          <w:b/>
          <w:kern w:val="2"/>
          <w:sz w:val="21"/>
          <w:szCs w:val="21"/>
          <w:highlight w:val="none"/>
          <w:lang w:val="en-US" w:eastAsia="zh-CN" w:bidi="ar-SA"/>
        </w:rPr>
      </w:pPr>
      <w:r>
        <w:rPr>
          <w:rFonts w:hint="eastAsia" w:ascii="宋体" w:hAnsi="宋体" w:cs="宋体"/>
          <w:b/>
          <w:kern w:val="2"/>
          <w:sz w:val="21"/>
          <w:szCs w:val="21"/>
          <w:highlight w:val="none"/>
          <w:lang w:val="en-US" w:eastAsia="zh-CN" w:bidi="ar-SA"/>
        </w:rPr>
        <w:t>法定代表人</w:t>
      </w:r>
      <w:r>
        <w:rPr>
          <w:rFonts w:hint="eastAsia" w:ascii="宋体" w:hAnsi="宋体" w:eastAsia="宋体" w:cs="宋体"/>
          <w:b/>
          <w:kern w:val="2"/>
          <w:sz w:val="21"/>
          <w:szCs w:val="21"/>
          <w:highlight w:val="none"/>
          <w:lang w:val="en-US" w:eastAsia="zh-CN" w:bidi="ar-SA"/>
        </w:rPr>
        <w:t>身份证明书</w:t>
      </w:r>
    </w:p>
    <w:p w14:paraId="09096100">
      <w:pPr>
        <w:jc w:val="center"/>
        <w:rPr>
          <w:rFonts w:ascii="Times New Roman" w:hAnsi="Times New Roman" w:eastAsia="宋体" w:cs="Times New Roman"/>
          <w:szCs w:val="22"/>
          <w:highlight w:val="none"/>
        </w:rPr>
      </w:pPr>
    </w:p>
    <w:p w14:paraId="0506B5FB">
      <w:pPr>
        <w:spacing w:before="326" w:beforeLines="100" w:after="0" w:line="480" w:lineRule="auto"/>
        <w:ind w:firstLine="1470" w:firstLineChars="700"/>
        <w:rPr>
          <w:rFonts w:ascii="Times New Roman" w:hAnsi="Times New Roman" w:eastAsia="宋体" w:cs="Times New Roman"/>
          <w:szCs w:val="24"/>
          <w:highlight w:val="none"/>
          <w:u w:val="single"/>
        </w:rPr>
      </w:pPr>
      <w:r>
        <w:rPr>
          <w:rFonts w:hint="eastAsia" w:ascii="Times New Roman" w:hAnsi="Times New Roman" w:eastAsia="宋体" w:cs="Times New Roman"/>
          <w:szCs w:val="24"/>
          <w:highlight w:val="none"/>
        </w:rPr>
        <w:t>单位名称：</w:t>
      </w:r>
      <w:r>
        <w:rPr>
          <w:rFonts w:ascii="Times New Roman" w:hAnsi="Times New Roman" w:eastAsia="宋体" w:cs="Times New Roman"/>
          <w:szCs w:val="24"/>
          <w:highlight w:val="none"/>
          <w:u w:val="single"/>
        </w:rPr>
        <w:t xml:space="preserve">                                     </w:t>
      </w:r>
    </w:p>
    <w:p w14:paraId="1DB68584">
      <w:pPr>
        <w:spacing w:before="326" w:beforeLines="100" w:after="0" w:line="480" w:lineRule="auto"/>
        <w:ind w:firstLine="1470" w:firstLineChars="700"/>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单位性质：</w:t>
      </w:r>
      <w:r>
        <w:rPr>
          <w:rFonts w:ascii="Times New Roman" w:hAnsi="Times New Roman" w:eastAsia="宋体" w:cs="Times New Roman"/>
          <w:szCs w:val="24"/>
          <w:highlight w:val="none"/>
          <w:u w:val="single"/>
        </w:rPr>
        <w:t xml:space="preserve">                                     </w:t>
      </w:r>
    </w:p>
    <w:p w14:paraId="6427CD8D">
      <w:pPr>
        <w:spacing w:before="326" w:beforeLines="100" w:after="0" w:line="480" w:lineRule="auto"/>
        <w:ind w:firstLine="1470" w:firstLineChars="700"/>
        <w:rPr>
          <w:rFonts w:ascii="Times New Roman" w:hAnsi="Times New Roman" w:eastAsia="宋体" w:cs="Times New Roman"/>
          <w:szCs w:val="24"/>
          <w:highlight w:val="none"/>
          <w:u w:val="single"/>
        </w:rPr>
      </w:pPr>
      <w:r>
        <w:rPr>
          <w:rFonts w:hint="eastAsia" w:ascii="Times New Roman" w:hAnsi="Times New Roman" w:eastAsia="宋体" w:cs="Times New Roman"/>
          <w:szCs w:val="24"/>
          <w:highlight w:val="none"/>
        </w:rPr>
        <w:t>地</w:t>
      </w:r>
      <w:r>
        <w:rPr>
          <w:rFonts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rPr>
        <w:t>址：</w:t>
      </w:r>
      <w:r>
        <w:rPr>
          <w:rFonts w:ascii="Times New Roman" w:hAnsi="Times New Roman" w:eastAsia="宋体" w:cs="Times New Roman"/>
          <w:szCs w:val="24"/>
          <w:highlight w:val="none"/>
          <w:u w:val="single"/>
        </w:rPr>
        <w:t xml:space="preserve">                                     </w:t>
      </w:r>
    </w:p>
    <w:p w14:paraId="1C88C2C4">
      <w:pPr>
        <w:spacing w:before="326" w:beforeLines="100" w:after="0" w:line="480" w:lineRule="auto"/>
        <w:ind w:firstLine="1470" w:firstLineChars="700"/>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成立时间：</w:t>
      </w:r>
      <w:r>
        <w:rPr>
          <w:rFonts w:ascii="Times New Roman" w:hAnsi="Times New Roman" w:eastAsia="宋体" w:cs="Times New Roman"/>
          <w:szCs w:val="24"/>
          <w:highlight w:val="none"/>
          <w:u w:val="single"/>
        </w:rPr>
        <w:t xml:space="preserve">               </w:t>
      </w:r>
      <w:r>
        <w:rPr>
          <w:rFonts w:hint="eastAsia" w:ascii="Times New Roman" w:hAnsi="Times New Roman" w:eastAsia="宋体" w:cs="Times New Roman"/>
          <w:szCs w:val="24"/>
          <w:highlight w:val="none"/>
        </w:rPr>
        <w:t>年</w:t>
      </w:r>
      <w:r>
        <w:rPr>
          <w:rFonts w:ascii="Times New Roman" w:hAnsi="Times New Roman" w:eastAsia="宋体" w:cs="Times New Roman"/>
          <w:szCs w:val="24"/>
          <w:highlight w:val="none"/>
          <w:u w:val="single"/>
        </w:rPr>
        <w:t xml:space="preserve">         </w:t>
      </w:r>
      <w:r>
        <w:rPr>
          <w:rFonts w:hint="eastAsia" w:ascii="Times New Roman" w:hAnsi="Times New Roman" w:eastAsia="宋体" w:cs="Times New Roman"/>
          <w:szCs w:val="24"/>
          <w:highlight w:val="none"/>
        </w:rPr>
        <w:t>月</w:t>
      </w:r>
      <w:r>
        <w:rPr>
          <w:rFonts w:ascii="Times New Roman" w:hAnsi="Times New Roman" w:eastAsia="宋体" w:cs="Times New Roman"/>
          <w:szCs w:val="24"/>
          <w:highlight w:val="none"/>
          <w:u w:val="single"/>
        </w:rPr>
        <w:t xml:space="preserve">       </w:t>
      </w:r>
      <w:r>
        <w:rPr>
          <w:rFonts w:hint="eastAsia" w:ascii="Times New Roman" w:hAnsi="Times New Roman" w:eastAsia="宋体" w:cs="Times New Roman"/>
          <w:szCs w:val="24"/>
          <w:highlight w:val="none"/>
        </w:rPr>
        <w:t>日</w:t>
      </w:r>
    </w:p>
    <w:p w14:paraId="32B767AC">
      <w:pPr>
        <w:spacing w:before="326" w:beforeLines="100" w:after="0" w:line="480" w:lineRule="auto"/>
        <w:ind w:firstLine="1470" w:firstLineChars="700"/>
        <w:rPr>
          <w:rFonts w:ascii="Times New Roman" w:hAnsi="Times New Roman" w:eastAsia="宋体" w:cs="Times New Roman"/>
          <w:szCs w:val="24"/>
          <w:highlight w:val="none"/>
          <w:u w:val="single"/>
        </w:rPr>
      </w:pPr>
      <w:r>
        <w:rPr>
          <w:rFonts w:hint="eastAsia" w:ascii="Times New Roman" w:hAnsi="Times New Roman" w:eastAsia="宋体" w:cs="Times New Roman"/>
          <w:szCs w:val="24"/>
          <w:highlight w:val="none"/>
        </w:rPr>
        <w:t>经营期限：</w:t>
      </w:r>
      <w:r>
        <w:rPr>
          <w:rFonts w:ascii="Times New Roman" w:hAnsi="Times New Roman" w:eastAsia="宋体" w:cs="Times New Roman"/>
          <w:szCs w:val="24"/>
          <w:highlight w:val="none"/>
          <w:u w:val="single"/>
        </w:rPr>
        <w:t xml:space="preserve">                                     </w:t>
      </w:r>
    </w:p>
    <w:p w14:paraId="4646E914">
      <w:pPr>
        <w:spacing w:before="326" w:beforeLines="100" w:after="0" w:line="480" w:lineRule="auto"/>
        <w:ind w:firstLine="428" w:firstLineChars="204"/>
        <w:rPr>
          <w:rFonts w:ascii="Times New Roman" w:hAnsi="Times New Roman" w:eastAsia="宋体" w:cs="Times New Roman"/>
          <w:szCs w:val="24"/>
          <w:highlight w:val="none"/>
          <w:u w:val="single"/>
        </w:rPr>
      </w:pPr>
      <w:r>
        <w:rPr>
          <w:rFonts w:hint="eastAsia" w:ascii="Times New Roman" w:hAnsi="Times New Roman" w:eastAsia="宋体" w:cs="Times New Roman"/>
          <w:szCs w:val="24"/>
          <w:highlight w:val="none"/>
        </w:rPr>
        <w:t>姓</w:t>
      </w:r>
      <w:r>
        <w:rPr>
          <w:rFonts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rPr>
        <w:t>名：</w:t>
      </w:r>
      <w:r>
        <w:rPr>
          <w:rFonts w:ascii="Times New Roman" w:hAnsi="Times New Roman" w:eastAsia="宋体" w:cs="Times New Roman"/>
          <w:szCs w:val="24"/>
          <w:highlight w:val="none"/>
          <w:u w:val="single"/>
        </w:rPr>
        <w:t xml:space="preserve">     </w:t>
      </w:r>
      <w:r>
        <w:rPr>
          <w:rFonts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rPr>
        <w:t>性</w:t>
      </w:r>
      <w:r>
        <w:rPr>
          <w:rFonts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rPr>
        <w:t>别：</w:t>
      </w:r>
      <w:r>
        <w:rPr>
          <w:rFonts w:ascii="Times New Roman" w:hAnsi="Times New Roman" w:eastAsia="宋体" w:cs="Times New Roman"/>
          <w:szCs w:val="24"/>
          <w:highlight w:val="none"/>
          <w:u w:val="single"/>
        </w:rPr>
        <w:t xml:space="preserve">     </w:t>
      </w:r>
      <w:r>
        <w:rPr>
          <w:rFonts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rPr>
        <w:t>年</w:t>
      </w:r>
      <w:r>
        <w:rPr>
          <w:rFonts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rPr>
        <w:t>龄：</w:t>
      </w:r>
      <w:r>
        <w:rPr>
          <w:rFonts w:ascii="Times New Roman" w:hAnsi="Times New Roman" w:eastAsia="宋体" w:cs="Times New Roman"/>
          <w:szCs w:val="24"/>
          <w:highlight w:val="none"/>
          <w:u w:val="single"/>
        </w:rPr>
        <w:t xml:space="preserve">     </w:t>
      </w:r>
      <w:r>
        <w:rPr>
          <w:rFonts w:hint="eastAsia" w:ascii="Times New Roman" w:hAnsi="Times New Roman" w:eastAsia="宋体" w:cs="Times New Roman"/>
          <w:szCs w:val="24"/>
          <w:highlight w:val="none"/>
        </w:rPr>
        <w:t>职</w:t>
      </w:r>
      <w:r>
        <w:rPr>
          <w:rFonts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rPr>
        <w:t>务：</w:t>
      </w:r>
      <w:r>
        <w:rPr>
          <w:rFonts w:ascii="Times New Roman" w:hAnsi="Times New Roman" w:eastAsia="宋体" w:cs="Times New Roman"/>
          <w:szCs w:val="24"/>
          <w:highlight w:val="none"/>
          <w:u w:val="single"/>
        </w:rPr>
        <w:t xml:space="preserve">     </w:t>
      </w:r>
      <w:r>
        <w:rPr>
          <w:rFonts w:hint="eastAsia" w:ascii="Times New Roman" w:hAnsi="Times New Roman" w:eastAsia="宋体" w:cs="Times New Roman"/>
          <w:szCs w:val="24"/>
          <w:highlight w:val="none"/>
        </w:rPr>
        <w:t>系</w:t>
      </w:r>
      <w:r>
        <w:rPr>
          <w:rFonts w:ascii="Times New Roman" w:hAnsi="Times New Roman" w:eastAsia="宋体" w:cs="Times New Roman"/>
          <w:szCs w:val="24"/>
          <w:highlight w:val="none"/>
          <w:u w:val="single"/>
        </w:rPr>
        <w:t xml:space="preserve">  </w:t>
      </w:r>
      <w:r>
        <w:rPr>
          <w:rFonts w:hint="eastAsia" w:ascii="Times New Roman" w:hAnsi="Times New Roman" w:eastAsia="宋体" w:cs="Times New Roman"/>
          <w:szCs w:val="24"/>
          <w:highlight w:val="none"/>
          <w:u w:val="single"/>
          <w:lang w:val="en-US" w:eastAsia="zh-CN"/>
        </w:rPr>
        <w:t xml:space="preserve">   </w:t>
      </w:r>
      <w:r>
        <w:rPr>
          <w:rFonts w:hint="eastAsia" w:ascii="Times New Roman" w:hAnsi="Times New Roman" w:eastAsia="宋体" w:cs="Times New Roman"/>
          <w:szCs w:val="24"/>
          <w:highlight w:val="none"/>
          <w:u w:val="single"/>
        </w:rPr>
        <w:t>（供应商名称）</w:t>
      </w:r>
      <w:r>
        <w:rPr>
          <w:rFonts w:ascii="Times New Roman" w:hAnsi="Times New Roman" w:eastAsia="宋体" w:cs="Times New Roman"/>
          <w:szCs w:val="24"/>
          <w:highlight w:val="none"/>
          <w:u w:val="single"/>
        </w:rPr>
        <w:t xml:space="preserve">    </w:t>
      </w:r>
      <w:r>
        <w:rPr>
          <w:rFonts w:hint="eastAsia" w:ascii="Times New Roman" w:hAnsi="Times New Roman" w:eastAsia="宋体" w:cs="Times New Roman"/>
          <w:szCs w:val="24"/>
          <w:highlight w:val="none"/>
        </w:rPr>
        <w:t>的</w:t>
      </w:r>
      <w:r>
        <w:rPr>
          <w:rFonts w:hint="eastAsia" w:cs="Times New Roman"/>
          <w:szCs w:val="24"/>
          <w:highlight w:val="none"/>
          <w:lang w:eastAsia="zh-CN"/>
        </w:rPr>
        <w:t>法定代表人</w:t>
      </w:r>
      <w:r>
        <w:rPr>
          <w:rFonts w:hint="eastAsia" w:ascii="Times New Roman" w:hAnsi="Times New Roman" w:eastAsia="宋体" w:cs="Times New Roman"/>
          <w:szCs w:val="24"/>
          <w:highlight w:val="none"/>
        </w:rPr>
        <w:t>。</w:t>
      </w:r>
    </w:p>
    <w:p w14:paraId="1E578E96">
      <w:pPr>
        <w:spacing w:before="326" w:beforeLines="100" w:after="0"/>
        <w:ind w:firstLine="428" w:firstLineChars="204"/>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特此证明</w:t>
      </w:r>
    </w:p>
    <w:p w14:paraId="718B4075">
      <w:pPr>
        <w:spacing w:before="326" w:beforeLines="100" w:after="0" w:line="480" w:lineRule="auto"/>
        <w:ind w:firstLine="436" w:firstLineChars="200"/>
        <w:rPr>
          <w:rFonts w:ascii="Times New Roman" w:hAnsi="Times New Roman" w:eastAsia="宋体" w:cs="Times New Roman"/>
          <w:color w:val="FF0000"/>
          <w:szCs w:val="24"/>
          <w:highlight w:val="none"/>
        </w:rPr>
      </w:pPr>
      <w:r>
        <w:rPr>
          <w:rFonts w:hint="eastAsia" w:ascii="宋体" w:hAnsi="宋体" w:eastAsia="宋体" w:cs="宋体"/>
          <w:spacing w:val="4"/>
          <w:szCs w:val="21"/>
          <w:highlight w:val="none"/>
        </w:rPr>
        <w:t>附：</w:t>
      </w:r>
      <w:r>
        <w:rPr>
          <w:rFonts w:hint="eastAsia" w:ascii="宋体" w:hAnsi="宋体" w:cs="宋体"/>
          <w:spacing w:val="4"/>
          <w:szCs w:val="21"/>
          <w:highlight w:val="none"/>
          <w:lang w:eastAsia="zh-CN"/>
        </w:rPr>
        <w:t>法定代表人</w:t>
      </w:r>
      <w:r>
        <w:rPr>
          <w:rFonts w:hint="eastAsia" w:ascii="宋体" w:hAnsi="宋体" w:eastAsia="宋体" w:cs="宋体"/>
          <w:spacing w:val="4"/>
          <w:szCs w:val="21"/>
          <w:highlight w:val="none"/>
        </w:rPr>
        <w:t>身份证正反面复印件</w:t>
      </w:r>
    </w:p>
    <w:p w14:paraId="5E40E0A0">
      <w:pPr>
        <w:spacing w:before="326" w:beforeLines="100" w:after="0" w:line="480" w:lineRule="auto"/>
        <w:ind w:right="420" w:firstLine="428" w:firstLineChars="204"/>
        <w:jc w:val="center"/>
        <w:rPr>
          <w:rFonts w:hint="eastAsia" w:ascii="Times New Roman" w:hAnsi="Times New Roman" w:eastAsia="宋体" w:cs="Times New Roman"/>
          <w:szCs w:val="24"/>
          <w:highlight w:val="none"/>
          <w:u w:val="single"/>
          <w:lang w:eastAsia="zh-CN"/>
        </w:rPr>
      </w:pPr>
      <w:r>
        <w:rPr>
          <w:rFonts w:hint="eastAsia" w:ascii="Times New Roman" w:hAnsi="Times New Roman" w:eastAsia="宋体" w:cs="Times New Roman"/>
          <w:szCs w:val="24"/>
          <w:highlight w:val="none"/>
        </w:rPr>
        <w:t xml:space="preserve">                      </w:t>
      </w:r>
      <w:r>
        <w:rPr>
          <w:rFonts w:hint="eastAsia" w:ascii="Times New Roman" w:hAnsi="Times New Roman" w:eastAsia="宋体" w:cs="Times New Roman"/>
          <w:szCs w:val="24"/>
          <w:highlight w:val="none"/>
          <w:lang w:val="en-US" w:eastAsia="zh-CN"/>
        </w:rPr>
        <w:t xml:space="preserve">         供应商名称（公章）：</w:t>
      </w:r>
      <w:r>
        <w:rPr>
          <w:rFonts w:hint="eastAsia" w:ascii="宋体" w:hAnsi="宋体" w:eastAsia="宋体" w:cs="宋体"/>
          <w:spacing w:val="4"/>
          <w:szCs w:val="21"/>
          <w:highlight w:val="none"/>
          <w:u w:val="single"/>
        </w:rPr>
        <w:t xml:space="preserve">    </w:t>
      </w:r>
      <w:r>
        <w:rPr>
          <w:rFonts w:hint="eastAsia" w:ascii="宋体" w:hAnsi="宋体" w:eastAsia="宋体" w:cs="宋体"/>
          <w:spacing w:val="4"/>
          <w:szCs w:val="21"/>
          <w:highlight w:val="none"/>
          <w:u w:val="single"/>
          <w:lang w:val="en-US" w:eastAsia="zh-CN"/>
        </w:rPr>
        <w:t xml:space="preserve">         </w:t>
      </w:r>
    </w:p>
    <w:p w14:paraId="378FBF55">
      <w:pPr>
        <w:widowControl w:val="0"/>
        <w:tabs>
          <w:tab w:val="left" w:pos="5580"/>
        </w:tabs>
        <w:spacing w:line="360" w:lineRule="auto"/>
        <w:ind w:firstLine="5460" w:firstLineChars="2600"/>
        <w:jc w:val="left"/>
        <w:rPr>
          <w:rFonts w:hint="eastAsia" w:ascii="宋体" w:hAnsi="宋体" w:eastAsia="宋体" w:cs="宋体"/>
          <w:kern w:val="2"/>
          <w:sz w:val="21"/>
          <w:szCs w:val="21"/>
          <w:highlight w:val="none"/>
          <w:lang w:val="en-US" w:eastAsia="zh-CN" w:bidi="ar-SA"/>
        </w:rPr>
      </w:pPr>
      <w:r>
        <w:rPr>
          <w:rFonts w:hint="eastAsia" w:ascii="宋体" w:hAnsi="Courier New" w:eastAsia="宋体" w:cs="Times New Roman"/>
          <w:kern w:val="2"/>
          <w:sz w:val="21"/>
          <w:szCs w:val="22"/>
          <w:highlight w:val="none"/>
          <w:lang w:val="en-US" w:eastAsia="zh-CN" w:bidi="ar-SA"/>
        </w:rPr>
        <w:t>日</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期：</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年</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月</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日</w:t>
      </w:r>
    </w:p>
    <w:p w14:paraId="52E45F38">
      <w:pPr>
        <w:spacing w:line="360" w:lineRule="auto"/>
        <w:ind w:firstLine="480"/>
        <w:rPr>
          <w:rFonts w:hint="eastAsia" w:ascii="宋体" w:hAnsi="宋体" w:eastAsia="宋体" w:cs="宋体"/>
          <w:sz w:val="21"/>
          <w:szCs w:val="21"/>
          <w:highlight w:val="none"/>
        </w:rPr>
      </w:pPr>
    </w:p>
    <w:p w14:paraId="725B6E11">
      <w:pPr>
        <w:widowControl w:val="0"/>
        <w:tabs>
          <w:tab w:val="center" w:pos="4153"/>
          <w:tab w:val="right" w:pos="8306"/>
        </w:tabs>
        <w:adjustRightInd w:val="0"/>
        <w:spacing w:line="240" w:lineRule="atLeast"/>
        <w:jc w:val="left"/>
        <w:textAlignment w:val="baseline"/>
        <w:rPr>
          <w:rFonts w:hint="eastAsia" w:ascii="宋体" w:hAnsi="宋体" w:eastAsia="宋体" w:cs="宋体"/>
          <w:kern w:val="0"/>
          <w:sz w:val="21"/>
          <w:szCs w:val="21"/>
          <w:highlight w:val="none"/>
          <w:lang w:val="en-US" w:eastAsia="zh-CN" w:bidi="ar-SA"/>
        </w:rPr>
      </w:pPr>
    </w:p>
    <w:p w14:paraId="730092B5">
      <w:pPr>
        <w:widowControl w:val="0"/>
        <w:spacing w:after="120" w:afterLines="0"/>
        <w:jc w:val="both"/>
        <w:rPr>
          <w:rFonts w:hint="eastAsia" w:ascii="宋体" w:hAnsi="宋体" w:eastAsia="宋体" w:cs="宋体"/>
          <w:kern w:val="2"/>
          <w:sz w:val="21"/>
          <w:szCs w:val="21"/>
          <w:highlight w:val="none"/>
          <w:lang w:val="en-US" w:eastAsia="zh-CN" w:bidi="ar-SA"/>
        </w:rPr>
      </w:pPr>
    </w:p>
    <w:p w14:paraId="367BBF0F">
      <w:pPr>
        <w:rPr>
          <w:rFonts w:hint="eastAsia" w:ascii="宋体" w:hAnsi="宋体" w:eastAsia="宋体" w:cs="宋体"/>
          <w:sz w:val="21"/>
          <w:szCs w:val="21"/>
          <w:highlight w:val="none"/>
        </w:rPr>
      </w:pPr>
    </w:p>
    <w:p w14:paraId="61FFDDCB">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21"/>
          <w:szCs w:val="21"/>
          <w:highlight w:val="none"/>
          <w:lang w:val="en-US" w:eastAsia="zh-CN" w:bidi="ar-SA"/>
        </w:rPr>
      </w:pPr>
    </w:p>
    <w:p w14:paraId="3185A1CE">
      <w:pPr>
        <w:widowControl w:val="0"/>
        <w:spacing w:after="120" w:afterLines="0"/>
        <w:jc w:val="both"/>
        <w:rPr>
          <w:rFonts w:hint="eastAsia" w:ascii="Times New Roman" w:hAnsi="Times New Roman" w:eastAsia="宋体" w:cs="Times New Roman"/>
          <w:kern w:val="2"/>
          <w:sz w:val="21"/>
          <w:szCs w:val="21"/>
          <w:highlight w:val="none"/>
          <w:lang w:val="en-US" w:eastAsia="zh-CN" w:bidi="ar-SA"/>
        </w:rPr>
      </w:pPr>
    </w:p>
    <w:p w14:paraId="785F0E39">
      <w:pPr>
        <w:tabs>
          <w:tab w:val="left" w:pos="210"/>
        </w:tabs>
        <w:spacing w:line="480" w:lineRule="auto"/>
        <w:jc w:val="center"/>
        <w:rPr>
          <w:rFonts w:hint="eastAsia" w:ascii="宋体" w:hAnsi="宋体" w:eastAsia="宋体" w:cs="宋体"/>
          <w:sz w:val="21"/>
          <w:szCs w:val="21"/>
          <w:highlight w:val="none"/>
        </w:rPr>
      </w:pPr>
      <w:r>
        <w:rPr>
          <w:rFonts w:hint="eastAsia" w:ascii="宋体" w:hAnsi="宋体" w:eastAsia="宋体" w:cs="宋体"/>
          <w:b/>
          <w:szCs w:val="24"/>
          <w:highlight w:val="none"/>
        </w:rPr>
        <w:br w:type="page"/>
      </w:r>
      <w:r>
        <w:rPr>
          <w:rFonts w:hint="eastAsia" w:ascii="宋体" w:hAnsi="宋体" w:cs="宋体"/>
          <w:b/>
          <w:kern w:val="2"/>
          <w:sz w:val="21"/>
          <w:szCs w:val="21"/>
          <w:highlight w:val="none"/>
          <w:lang w:val="en-US" w:eastAsia="zh-CN" w:bidi="ar-SA"/>
        </w:rPr>
        <w:t>法人</w:t>
      </w:r>
      <w:r>
        <w:rPr>
          <w:rFonts w:hint="eastAsia" w:ascii="宋体" w:hAnsi="宋体" w:eastAsia="宋体" w:cs="宋体"/>
          <w:b/>
          <w:kern w:val="2"/>
          <w:sz w:val="21"/>
          <w:szCs w:val="21"/>
          <w:highlight w:val="none"/>
          <w:lang w:val="en-US" w:eastAsia="zh-CN" w:bidi="ar-SA"/>
        </w:rPr>
        <w:t>授权委托书</w:t>
      </w:r>
    </w:p>
    <w:p w14:paraId="0662F260">
      <w:pPr>
        <w:keepNext w:val="0"/>
        <w:keepLines w:val="0"/>
        <w:pageBreakBefore w:val="0"/>
        <w:widowControl w:val="0"/>
        <w:kinsoku/>
        <w:wordWrap w:val="0"/>
        <w:overflowPunct/>
        <w:topLinePunct w:val="0"/>
        <w:bidi w:val="0"/>
        <w:snapToGrid/>
        <w:spacing w:before="100" w:beforeAutospacing="1" w:after="100" w:afterAutospacing="1" w:line="360" w:lineRule="auto"/>
        <w:jc w:val="left"/>
        <w:textAlignment w:val="auto"/>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致：</w:t>
      </w:r>
      <w:r>
        <w:rPr>
          <w:rFonts w:hint="eastAsia" w:ascii="宋体" w:hAnsi="宋体" w:eastAsia="宋体" w:cs="宋体"/>
          <w:kern w:val="0"/>
          <w:sz w:val="21"/>
          <w:szCs w:val="21"/>
          <w:highlight w:val="none"/>
          <w:u w:val="single"/>
          <w:lang w:val="en-US" w:eastAsia="zh-CN" w:bidi="ar-SA"/>
        </w:rPr>
        <w:t xml:space="preserve">   （采购人名称）    </w:t>
      </w:r>
    </w:p>
    <w:p w14:paraId="19CFE3F4">
      <w:pPr>
        <w:keepNext w:val="0"/>
        <w:keepLines w:val="0"/>
        <w:pageBreakBefore w:val="0"/>
        <w:widowControl w:val="0"/>
        <w:tabs>
          <w:tab w:val="left" w:pos="5580"/>
        </w:tabs>
        <w:kinsoku/>
        <w:wordWrap w:val="0"/>
        <w:overflowPunct/>
        <w:topLinePunct w:val="0"/>
        <w:autoSpaceDE/>
        <w:autoSpaceDN/>
        <w:bidi w:val="0"/>
        <w:adjustRightInd/>
        <w:snapToGrid/>
        <w:spacing w:line="360" w:lineRule="auto"/>
        <w:ind w:firstLine="436" w:firstLineChars="200"/>
        <w:jc w:val="both"/>
        <w:textAlignment w:val="auto"/>
        <w:rPr>
          <w:rFonts w:hint="eastAsia" w:ascii="宋体" w:hAnsi="宋体" w:eastAsia="宋体" w:cs="宋体"/>
          <w:kern w:val="2"/>
          <w:sz w:val="21"/>
          <w:szCs w:val="21"/>
          <w:highlight w:val="none"/>
          <w:lang w:val="en-US" w:eastAsia="zh-CN" w:bidi="ar-SA"/>
        </w:rPr>
      </w:pPr>
      <w:r>
        <w:rPr>
          <w:rFonts w:ascii="宋体" w:hAnsi="宋体" w:eastAsia="宋体" w:cs="宋体"/>
          <w:spacing w:val="4"/>
          <w:kern w:val="2"/>
          <w:sz w:val="21"/>
          <w:szCs w:val="21"/>
          <w:highlight w:val="none"/>
          <w:u w:val="single"/>
          <w:lang w:val="en-US" w:eastAsia="zh-CN" w:bidi="ar-SA"/>
        </w:rPr>
        <w:t xml:space="preserve">            </w:t>
      </w:r>
      <w:r>
        <w:rPr>
          <w:rFonts w:hint="eastAsia" w:ascii="宋体" w:hAnsi="宋体" w:eastAsia="宋体" w:cs="宋体"/>
          <w:spacing w:val="4"/>
          <w:kern w:val="2"/>
          <w:sz w:val="21"/>
          <w:szCs w:val="21"/>
          <w:highlight w:val="none"/>
          <w:u w:val="single"/>
          <w:lang w:val="en-US" w:eastAsia="zh-CN" w:bidi="ar-SA"/>
        </w:rPr>
        <w:t xml:space="preserve">  </w:t>
      </w:r>
      <w:r>
        <w:rPr>
          <w:rFonts w:ascii="宋体" w:hAnsi="宋体" w:eastAsia="宋体" w:cs="宋体"/>
          <w:spacing w:val="4"/>
          <w:kern w:val="2"/>
          <w:sz w:val="21"/>
          <w:szCs w:val="21"/>
          <w:highlight w:val="none"/>
          <w:u w:val="single"/>
          <w:lang w:val="en-US" w:eastAsia="zh-CN" w:bidi="ar-SA"/>
        </w:rPr>
        <w:t xml:space="preserve">   </w:t>
      </w:r>
      <w:r>
        <w:rPr>
          <w:rFonts w:hint="eastAsia" w:ascii="宋体" w:hAnsi="宋体" w:eastAsia="宋体" w:cs="宋体"/>
          <w:spacing w:val="4"/>
          <w:kern w:val="2"/>
          <w:sz w:val="21"/>
          <w:szCs w:val="21"/>
          <w:highlight w:val="none"/>
          <w:u w:val="single"/>
          <w:lang w:val="en-US" w:eastAsia="zh-CN" w:bidi="ar-SA"/>
        </w:rPr>
        <w:t xml:space="preserve">(供应商名称) </w:t>
      </w:r>
      <w:r>
        <w:rPr>
          <w:rFonts w:hint="eastAsia" w:ascii="宋体" w:hAnsi="宋体" w:eastAsia="宋体" w:cs="宋体"/>
          <w:spacing w:val="4"/>
          <w:kern w:val="2"/>
          <w:sz w:val="21"/>
          <w:szCs w:val="21"/>
          <w:highlight w:val="none"/>
          <w:lang w:val="en-US" w:eastAsia="zh-CN" w:bidi="ar-SA"/>
        </w:rPr>
        <w:t>按中华人民共和国法律于</w:t>
      </w:r>
      <w:r>
        <w:rPr>
          <w:rFonts w:hint="eastAsia" w:ascii="宋体" w:hAnsi="宋体" w:eastAsia="宋体" w:cs="宋体"/>
          <w:spacing w:val="4"/>
          <w:kern w:val="2"/>
          <w:sz w:val="21"/>
          <w:szCs w:val="21"/>
          <w:highlight w:val="none"/>
          <w:u w:val="single"/>
          <w:lang w:val="en-US" w:eastAsia="zh-CN" w:bidi="ar-SA"/>
        </w:rPr>
        <w:t>（     年   月   日）</w:t>
      </w:r>
      <w:r>
        <w:rPr>
          <w:rFonts w:hint="eastAsia" w:ascii="宋体" w:hAnsi="宋体" w:eastAsia="宋体" w:cs="宋体"/>
          <w:spacing w:val="4"/>
          <w:kern w:val="2"/>
          <w:sz w:val="21"/>
          <w:szCs w:val="21"/>
          <w:highlight w:val="none"/>
          <w:lang w:val="en-US" w:eastAsia="zh-CN" w:bidi="ar-SA"/>
        </w:rPr>
        <w:t>成立。</w:t>
      </w:r>
      <w:r>
        <w:rPr>
          <w:rFonts w:ascii="宋体" w:hAnsi="宋体" w:eastAsia="宋体" w:cs="宋体"/>
          <w:spacing w:val="4"/>
          <w:kern w:val="2"/>
          <w:sz w:val="21"/>
          <w:szCs w:val="21"/>
          <w:highlight w:val="none"/>
          <w:u w:val="single"/>
          <w:lang w:val="en-US" w:eastAsia="zh-CN" w:bidi="ar-SA"/>
        </w:rPr>
        <w:t xml:space="preserve">      </w:t>
      </w:r>
      <w:r>
        <w:rPr>
          <w:rFonts w:hint="eastAsia" w:ascii="宋体" w:hAnsi="宋体" w:eastAsia="宋体" w:cs="宋体"/>
          <w:spacing w:val="4"/>
          <w:kern w:val="2"/>
          <w:sz w:val="21"/>
          <w:szCs w:val="21"/>
          <w:highlight w:val="none"/>
          <w:u w:val="single"/>
          <w:lang w:val="en-US" w:eastAsia="zh-CN" w:bidi="ar-SA"/>
        </w:rPr>
        <w:t xml:space="preserve"> </w:t>
      </w:r>
      <w:r>
        <w:rPr>
          <w:rFonts w:ascii="宋体" w:hAnsi="宋体" w:eastAsia="宋体" w:cs="宋体"/>
          <w:spacing w:val="4"/>
          <w:kern w:val="2"/>
          <w:sz w:val="21"/>
          <w:szCs w:val="21"/>
          <w:highlight w:val="none"/>
          <w:u w:val="single"/>
          <w:lang w:val="en-US" w:eastAsia="zh-CN" w:bidi="ar-SA"/>
        </w:rPr>
        <w:t xml:space="preserve">  </w:t>
      </w:r>
      <w:r>
        <w:rPr>
          <w:rFonts w:hint="eastAsia" w:ascii="宋体" w:hAnsi="宋体" w:eastAsia="宋体" w:cs="宋体"/>
          <w:spacing w:val="4"/>
          <w:kern w:val="2"/>
          <w:sz w:val="21"/>
          <w:szCs w:val="21"/>
          <w:highlight w:val="none"/>
          <w:u w:val="single"/>
          <w:lang w:val="en-US" w:eastAsia="zh-CN" w:bidi="ar-SA"/>
        </w:rPr>
        <w:t>(</w:t>
      </w:r>
      <w:r>
        <w:rPr>
          <w:rFonts w:hint="eastAsia" w:ascii="宋体" w:hAnsi="宋体" w:cs="宋体"/>
          <w:spacing w:val="4"/>
          <w:kern w:val="2"/>
          <w:sz w:val="21"/>
          <w:szCs w:val="21"/>
          <w:highlight w:val="none"/>
          <w:u w:val="single"/>
          <w:lang w:val="en-US" w:eastAsia="zh-CN" w:bidi="ar-SA"/>
        </w:rPr>
        <w:t>法定代表人</w:t>
      </w:r>
      <w:r>
        <w:rPr>
          <w:rFonts w:hint="eastAsia" w:ascii="宋体" w:hAnsi="宋体" w:eastAsia="宋体" w:cs="宋体"/>
          <w:spacing w:val="4"/>
          <w:kern w:val="2"/>
          <w:sz w:val="21"/>
          <w:szCs w:val="21"/>
          <w:highlight w:val="none"/>
          <w:u w:val="single"/>
          <w:lang w:val="en-US" w:eastAsia="zh-CN" w:bidi="ar-SA"/>
        </w:rPr>
        <w:t>姓名)</w:t>
      </w:r>
      <w:r>
        <w:rPr>
          <w:rFonts w:hint="eastAsia" w:ascii="宋体" w:hAnsi="宋体" w:eastAsia="宋体" w:cs="宋体"/>
          <w:spacing w:val="4"/>
          <w:kern w:val="2"/>
          <w:sz w:val="21"/>
          <w:szCs w:val="21"/>
          <w:highlight w:val="none"/>
          <w:lang w:val="en-US" w:eastAsia="zh-CN" w:bidi="ar-SA"/>
        </w:rPr>
        <w:t>特授权</w:t>
      </w:r>
      <w:r>
        <w:rPr>
          <w:rFonts w:ascii="宋体" w:hAnsi="宋体" w:eastAsia="宋体" w:cs="宋体"/>
          <w:spacing w:val="4"/>
          <w:kern w:val="2"/>
          <w:sz w:val="21"/>
          <w:szCs w:val="21"/>
          <w:highlight w:val="none"/>
          <w:u w:val="single"/>
          <w:lang w:val="en-US" w:eastAsia="zh-CN" w:bidi="ar-SA"/>
        </w:rPr>
        <w:t xml:space="preserve">           </w:t>
      </w:r>
      <w:r>
        <w:rPr>
          <w:rFonts w:hint="eastAsia" w:ascii="宋体" w:hAnsi="宋体" w:eastAsia="宋体" w:cs="宋体"/>
          <w:spacing w:val="4"/>
          <w:kern w:val="2"/>
          <w:sz w:val="21"/>
          <w:szCs w:val="21"/>
          <w:highlight w:val="none"/>
          <w:u w:val="single"/>
          <w:lang w:val="en-US" w:eastAsia="zh-CN" w:bidi="ar-SA"/>
        </w:rPr>
        <w:t>（委托代理人姓名）</w:t>
      </w:r>
      <w:r>
        <w:rPr>
          <w:rFonts w:hint="eastAsia" w:ascii="宋体" w:hAnsi="宋体" w:eastAsia="宋体" w:cs="宋体"/>
          <w:spacing w:val="4"/>
          <w:kern w:val="2"/>
          <w:sz w:val="21"/>
          <w:szCs w:val="21"/>
          <w:highlight w:val="none"/>
          <w:lang w:val="en-US" w:eastAsia="zh-CN" w:bidi="ar-SA"/>
        </w:rPr>
        <w:t xml:space="preserve">代表我公司全权办理针对本次政府采购 </w:t>
      </w:r>
      <w:r>
        <w:rPr>
          <w:rFonts w:hint="eastAsia" w:ascii="宋体" w:hAnsi="宋体" w:eastAsia="宋体" w:cs="宋体"/>
          <w:spacing w:val="4"/>
          <w:kern w:val="2"/>
          <w:sz w:val="21"/>
          <w:szCs w:val="21"/>
          <w:highlight w:val="none"/>
          <w:u w:val="single"/>
          <w:lang w:val="en-US" w:eastAsia="zh-CN" w:bidi="ar-SA"/>
        </w:rPr>
        <w:t xml:space="preserve"> </w:t>
      </w:r>
      <w:r>
        <w:rPr>
          <w:rFonts w:ascii="宋体" w:hAnsi="宋体" w:eastAsia="宋体" w:cs="宋体"/>
          <w:spacing w:val="4"/>
          <w:kern w:val="2"/>
          <w:sz w:val="21"/>
          <w:szCs w:val="21"/>
          <w:highlight w:val="none"/>
          <w:u w:val="single"/>
          <w:lang w:val="en-US" w:eastAsia="zh-CN" w:bidi="ar-SA"/>
        </w:rPr>
        <w:t xml:space="preserve">         </w:t>
      </w:r>
      <w:r>
        <w:rPr>
          <w:rFonts w:hint="eastAsia" w:ascii="宋体" w:hAnsi="宋体" w:eastAsia="宋体" w:cs="宋体"/>
          <w:spacing w:val="4"/>
          <w:kern w:val="2"/>
          <w:sz w:val="21"/>
          <w:szCs w:val="21"/>
          <w:highlight w:val="none"/>
          <w:u w:val="single"/>
          <w:lang w:val="en-US" w:eastAsia="zh-CN" w:bidi="ar-SA"/>
        </w:rPr>
        <w:t xml:space="preserve"> </w:t>
      </w:r>
      <w:r>
        <w:rPr>
          <w:rFonts w:ascii="宋体" w:hAnsi="宋体" w:eastAsia="宋体" w:cs="宋体"/>
          <w:spacing w:val="4"/>
          <w:kern w:val="2"/>
          <w:sz w:val="21"/>
          <w:szCs w:val="21"/>
          <w:highlight w:val="none"/>
          <w:u w:val="single"/>
          <w:lang w:val="en-US" w:eastAsia="zh-CN" w:bidi="ar-SA"/>
        </w:rPr>
        <w:t xml:space="preserve">  </w:t>
      </w:r>
      <w:r>
        <w:rPr>
          <w:rFonts w:hint="eastAsia" w:ascii="宋体" w:hAnsi="宋体" w:eastAsia="宋体" w:cs="宋体"/>
          <w:spacing w:val="4"/>
          <w:kern w:val="2"/>
          <w:sz w:val="21"/>
          <w:szCs w:val="21"/>
          <w:highlight w:val="none"/>
          <w:u w:val="single"/>
          <w:lang w:val="en-US" w:eastAsia="zh-CN" w:bidi="ar-SA"/>
        </w:rPr>
        <w:t>（项目名称和项目编号）</w:t>
      </w:r>
      <w:r>
        <w:rPr>
          <w:rFonts w:hint="eastAsia" w:ascii="宋体" w:hAnsi="宋体" w:eastAsia="宋体" w:cs="宋体"/>
          <w:spacing w:val="4"/>
          <w:kern w:val="2"/>
          <w:sz w:val="21"/>
          <w:szCs w:val="21"/>
          <w:highlight w:val="none"/>
          <w:lang w:val="en-US" w:eastAsia="zh-CN" w:bidi="ar-SA"/>
        </w:rPr>
        <w:t>项目的谈判、报价、签约等具体工作，并签署全部有关的文件、协议及合同。</w:t>
      </w:r>
    </w:p>
    <w:p w14:paraId="14B94F95">
      <w:pPr>
        <w:keepNext w:val="0"/>
        <w:keepLines w:val="0"/>
        <w:pageBreakBefore w:val="0"/>
        <w:widowControl w:val="0"/>
        <w:kinsoku/>
        <w:overflowPunct/>
        <w:topLinePunct w:val="0"/>
        <w:bidi w:val="0"/>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本授权有效期：自竞争性</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响应文件递交截止之日起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日历天。</w:t>
      </w:r>
    </w:p>
    <w:p w14:paraId="4E577306">
      <w:pPr>
        <w:keepNext w:val="0"/>
        <w:keepLines w:val="0"/>
        <w:pageBreakBefore w:val="0"/>
        <w:widowControl w:val="0"/>
        <w:tabs>
          <w:tab w:val="left" w:pos="5580"/>
        </w:tabs>
        <w:kinsoku/>
        <w:overflowPunct/>
        <w:topLinePunct w:val="0"/>
        <w:bidi w:val="0"/>
        <w:snapToGrid/>
        <w:spacing w:line="360" w:lineRule="auto"/>
        <w:ind w:firstLine="420" w:firstLineChars="200"/>
        <w:jc w:val="both"/>
        <w:textAlignment w:val="auto"/>
        <w:rPr>
          <w:rFonts w:hint="eastAsia" w:ascii="宋体" w:hAnsi="宋体" w:eastAsia="宋体" w:cs="宋体"/>
          <w:kern w:val="2"/>
          <w:sz w:val="21"/>
          <w:szCs w:val="21"/>
          <w:highlight w:val="none"/>
          <w:lang w:val="en-US" w:eastAsia="zh-CN" w:bidi="ar-SA"/>
        </w:rPr>
      </w:pPr>
    </w:p>
    <w:p w14:paraId="4C00E586">
      <w:pPr>
        <w:keepNext w:val="0"/>
        <w:keepLines w:val="0"/>
        <w:pageBreakBefore w:val="0"/>
        <w:widowControl w:val="0"/>
        <w:tabs>
          <w:tab w:val="left" w:pos="5580"/>
        </w:tabs>
        <w:kinsoku/>
        <w:overflowPunct/>
        <w:topLinePunct w:val="0"/>
        <w:bidi w:val="0"/>
        <w:snapToGrid/>
        <w:spacing w:line="360" w:lineRule="auto"/>
        <w:ind w:firstLine="420" w:firstLineChars="200"/>
        <w:jc w:val="both"/>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zh-CN" w:eastAsia="zh-CN" w:bidi="ar-SA"/>
        </w:rPr>
        <w:t>附：委托代理人姓名：</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zh-CN" w:eastAsia="zh-CN" w:bidi="ar-SA"/>
        </w:rPr>
        <w:t>性别：</w:t>
      </w: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zh-CN" w:eastAsia="zh-CN" w:bidi="ar-SA"/>
        </w:rPr>
        <w:t>年龄：</w:t>
      </w:r>
      <w:r>
        <w:rPr>
          <w:rFonts w:hint="eastAsia" w:ascii="宋体" w:hAnsi="宋体" w:eastAsia="宋体" w:cs="宋体"/>
          <w:kern w:val="2"/>
          <w:sz w:val="21"/>
          <w:szCs w:val="21"/>
          <w:highlight w:val="none"/>
          <w:u w:val="single"/>
          <w:lang w:val="en-US" w:eastAsia="zh-CN" w:bidi="ar-SA"/>
        </w:rPr>
        <w:t xml:space="preserve">          </w:t>
      </w:r>
    </w:p>
    <w:p w14:paraId="63EA161E">
      <w:pPr>
        <w:keepNext w:val="0"/>
        <w:keepLines w:val="0"/>
        <w:pageBreakBefore w:val="0"/>
        <w:widowControl w:val="0"/>
        <w:kinsoku/>
        <w:overflowPunct/>
        <w:topLinePunct w:val="0"/>
        <w:autoSpaceDE w:val="0"/>
        <w:autoSpaceDN w:val="0"/>
        <w:bidi w:val="0"/>
        <w:adjustRightInd w:val="0"/>
        <w:snapToGrid/>
        <w:spacing w:line="360" w:lineRule="auto"/>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职务：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zh-CN"/>
        </w:rPr>
        <w:t>身份证号码：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14:paraId="12825751">
      <w:pPr>
        <w:keepNext w:val="0"/>
        <w:keepLines w:val="0"/>
        <w:pageBreakBefore w:val="0"/>
        <w:widowControl w:val="0"/>
        <w:kinsoku/>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通讯地址：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71E5A0A4">
      <w:pPr>
        <w:keepNext w:val="0"/>
        <w:keepLines w:val="0"/>
        <w:pageBreakBefore w:val="0"/>
        <w:widowControl w:val="0"/>
        <w:kinsoku/>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zh-CN"/>
        </w:rPr>
        <w:t>邮政编码：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14:paraId="73F917E2">
      <w:pPr>
        <w:autoSpaceDE w:val="0"/>
        <w:autoSpaceDN w:val="0"/>
        <w:adjustRightInd w:val="0"/>
        <w:spacing w:line="360" w:lineRule="auto"/>
        <w:ind w:firstLine="315" w:firstLineChars="150"/>
        <w:jc w:val="center"/>
        <w:rPr>
          <w:rFonts w:hint="eastAsia" w:ascii="宋体" w:hAnsi="宋体" w:eastAsia="宋体" w:cs="宋体"/>
          <w:sz w:val="21"/>
          <w:szCs w:val="21"/>
          <w:highlight w:val="none"/>
        </w:rPr>
      </w:pPr>
      <w:r>
        <w:rPr>
          <w:rFonts w:hint="eastAsia" w:ascii="宋体" w:hAnsi="宋体" w:cs="宋体"/>
          <w:sz w:val="21"/>
          <w:szCs w:val="21"/>
          <w:highlight w:val="none"/>
          <w:lang w:eastAsia="zh-CN"/>
        </w:rPr>
        <w:t>法定代表人</w:t>
      </w:r>
      <w:r>
        <w:rPr>
          <w:rFonts w:hint="eastAsia" w:ascii="宋体" w:hAnsi="宋体" w:eastAsia="宋体" w:cs="宋体"/>
          <w:sz w:val="21"/>
          <w:szCs w:val="21"/>
          <w:highlight w:val="none"/>
        </w:rPr>
        <w:t>及</w:t>
      </w:r>
      <w:r>
        <w:rPr>
          <w:rFonts w:hint="eastAsia" w:ascii="宋体" w:hAnsi="宋体" w:eastAsia="宋体" w:cs="宋体"/>
          <w:sz w:val="21"/>
          <w:szCs w:val="21"/>
          <w:highlight w:val="none"/>
          <w:lang w:val="zh-CN"/>
        </w:rPr>
        <w:t>委托代理人身份证复印件</w:t>
      </w:r>
    </w:p>
    <w:tbl>
      <w:tblPr>
        <w:tblStyle w:val="31"/>
        <w:tblW w:w="0" w:type="auto"/>
        <w:tblInd w:w="166" w:type="dxa"/>
        <w:tblLayout w:type="fixed"/>
        <w:tblCellMar>
          <w:top w:w="0" w:type="dxa"/>
          <w:left w:w="108" w:type="dxa"/>
          <w:bottom w:w="0" w:type="dxa"/>
          <w:right w:w="108" w:type="dxa"/>
        </w:tblCellMar>
      </w:tblPr>
      <w:tblGrid>
        <w:gridCol w:w="4562"/>
        <w:gridCol w:w="4723"/>
      </w:tblGrid>
      <w:tr w14:paraId="66A23075">
        <w:trPr>
          <w:trHeight w:val="3505" w:hRule="atLeast"/>
        </w:trPr>
        <w:tc>
          <w:tcPr>
            <w:tcW w:w="4562" w:type="dxa"/>
            <w:tcBorders>
              <w:top w:val="single" w:color="auto" w:sz="6" w:space="0"/>
              <w:left w:val="single" w:color="auto" w:sz="6" w:space="0"/>
              <w:bottom w:val="single" w:color="auto" w:sz="6" w:space="0"/>
              <w:right w:val="single" w:color="auto" w:sz="6" w:space="0"/>
            </w:tcBorders>
            <w:noWrap w:val="0"/>
            <w:vAlign w:val="center"/>
          </w:tcPr>
          <w:p w14:paraId="75E292C9">
            <w:pPr>
              <w:autoSpaceDE w:val="0"/>
              <w:autoSpaceDN w:val="0"/>
              <w:adjustRightInd w:val="0"/>
              <w:spacing w:line="360" w:lineRule="auto"/>
              <w:jc w:val="center"/>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法定代表人</w:t>
            </w:r>
            <w:r>
              <w:rPr>
                <w:rFonts w:hint="eastAsia" w:ascii="宋体" w:hAnsi="宋体" w:eastAsia="宋体" w:cs="宋体"/>
                <w:sz w:val="21"/>
                <w:szCs w:val="21"/>
                <w:highlight w:val="none"/>
                <w:lang w:val="zh-CN"/>
              </w:rPr>
              <w:t>身份证复印件（正反面）</w:t>
            </w:r>
          </w:p>
        </w:tc>
        <w:tc>
          <w:tcPr>
            <w:tcW w:w="4723" w:type="dxa"/>
            <w:tcBorders>
              <w:top w:val="single" w:color="auto" w:sz="6" w:space="0"/>
              <w:left w:val="single" w:color="auto" w:sz="6" w:space="0"/>
              <w:bottom w:val="single" w:color="auto" w:sz="6" w:space="0"/>
              <w:right w:val="single" w:color="auto" w:sz="6" w:space="0"/>
            </w:tcBorders>
            <w:noWrap w:val="0"/>
            <w:vAlign w:val="center"/>
          </w:tcPr>
          <w:p w14:paraId="13D6111B">
            <w:pPr>
              <w:autoSpaceDE w:val="0"/>
              <w:autoSpaceDN w:val="0"/>
              <w:adjustRightInd w:val="0"/>
              <w:spacing w:line="360" w:lineRule="auto"/>
              <w:jc w:val="center"/>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委托代理人身份证复印件（正反面）</w:t>
            </w:r>
          </w:p>
        </w:tc>
      </w:tr>
    </w:tbl>
    <w:p w14:paraId="72AF3A03">
      <w:pPr>
        <w:adjustRightInd w:val="0"/>
        <w:snapToGrid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2C4D3ACB">
      <w:pPr>
        <w:spacing w:after="480" w:line="240" w:lineRule="auto"/>
        <w:ind w:firstLine="3150" w:firstLineChars="15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公章</w:t>
      </w:r>
      <w:r>
        <w:rPr>
          <w:rFonts w:hint="eastAsia" w:ascii="宋体" w:hAnsi="宋体" w:eastAsia="宋体" w:cs="宋体"/>
          <w:color w:val="000000"/>
          <w:sz w:val="21"/>
          <w:szCs w:val="21"/>
          <w:highlight w:val="none"/>
        </w:rPr>
        <w:t>）</w:t>
      </w:r>
    </w:p>
    <w:p w14:paraId="40858DC2">
      <w:pPr>
        <w:spacing w:after="480" w:line="240" w:lineRule="auto"/>
        <w:ind w:firstLine="3150" w:firstLineChars="1500"/>
        <w:jc w:val="left"/>
        <w:rPr>
          <w:rFonts w:hint="eastAsia" w:ascii="宋体" w:hAnsi="宋体" w:eastAsia="宋体" w:cs="宋体"/>
          <w:color w:val="000000"/>
          <w:sz w:val="21"/>
          <w:szCs w:val="21"/>
          <w:highlight w:val="none"/>
          <w:u w:val="single"/>
        </w:rPr>
      </w:pPr>
      <w:r>
        <w:rPr>
          <w:rFonts w:hint="eastAsia" w:ascii="宋体" w:hAnsi="宋体" w:cs="宋体"/>
          <w:sz w:val="21"/>
          <w:szCs w:val="21"/>
          <w:highlight w:val="none"/>
          <w:lang w:eastAsia="zh-CN"/>
        </w:rPr>
        <w:t>法定代表人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eastAsia="zh-CN"/>
        </w:rPr>
        <w:t>签字或盖章</w:t>
      </w:r>
      <w:r>
        <w:rPr>
          <w:rFonts w:hint="eastAsia" w:ascii="宋体" w:hAnsi="宋体" w:eastAsia="宋体" w:cs="宋体"/>
          <w:color w:val="000000"/>
          <w:kern w:val="0"/>
          <w:sz w:val="21"/>
          <w:szCs w:val="21"/>
          <w:highlight w:val="none"/>
        </w:rPr>
        <w:t>)</w:t>
      </w:r>
    </w:p>
    <w:p w14:paraId="7B2B5042">
      <w:pPr>
        <w:widowControl w:val="0"/>
        <w:spacing w:after="120" w:afterLines="0" w:line="240" w:lineRule="auto"/>
        <w:ind w:firstLine="3150" w:firstLineChars="1500"/>
        <w:jc w:val="both"/>
        <w:rPr>
          <w:rFonts w:hint="eastAsia" w:ascii="宋体" w:hAnsi="宋体" w:eastAsia="宋体" w:cs="宋体"/>
          <w:kern w:val="2"/>
          <w:sz w:val="21"/>
          <w:szCs w:val="21"/>
          <w:highlight w:val="none"/>
          <w:u w:val="single"/>
          <w:lang w:val="en-US" w:eastAsia="zh-CN" w:bidi="ar-SA"/>
        </w:rPr>
      </w:pPr>
      <w:r>
        <w:rPr>
          <w:rFonts w:hint="eastAsia" w:ascii="宋体" w:hAnsi="宋体" w:eastAsia="宋体" w:cs="宋体"/>
          <w:kern w:val="2"/>
          <w:sz w:val="21"/>
          <w:szCs w:val="21"/>
          <w:highlight w:val="none"/>
          <w:lang w:val="en-US" w:eastAsia="zh-CN" w:bidi="ar-SA"/>
        </w:rPr>
        <w:t>委托代理人</w:t>
      </w:r>
      <w:r>
        <w:rPr>
          <w:rFonts w:hint="eastAsia" w:ascii="宋体" w:hAnsi="宋体" w:eastAsia="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(签字)</w:t>
      </w:r>
    </w:p>
    <w:p w14:paraId="4FA0F197">
      <w:pPr>
        <w:widowControl w:val="0"/>
        <w:tabs>
          <w:tab w:val="left" w:pos="5580"/>
        </w:tabs>
        <w:spacing w:line="360" w:lineRule="auto"/>
        <w:ind w:firstLine="3150" w:firstLineChars="1500"/>
        <w:jc w:val="left"/>
        <w:rPr>
          <w:rFonts w:hint="eastAsia" w:ascii="宋体" w:hAnsi="宋体" w:eastAsia="宋体" w:cs="宋体"/>
          <w:kern w:val="2"/>
          <w:sz w:val="21"/>
          <w:szCs w:val="21"/>
          <w:highlight w:val="none"/>
          <w:lang w:val="en-US" w:eastAsia="zh-CN" w:bidi="ar-SA"/>
        </w:rPr>
      </w:pPr>
      <w:r>
        <w:rPr>
          <w:rFonts w:hint="eastAsia" w:ascii="宋体" w:hAnsi="Courier New" w:eastAsia="宋体" w:cs="Times New Roman"/>
          <w:kern w:val="2"/>
          <w:sz w:val="21"/>
          <w:szCs w:val="22"/>
          <w:highlight w:val="none"/>
          <w:lang w:val="en-US" w:eastAsia="zh-CN" w:bidi="ar-SA"/>
        </w:rPr>
        <w:t>日</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期：</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年</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月</w:t>
      </w:r>
      <w:r>
        <w:rPr>
          <w:rFonts w:ascii="宋体" w:hAnsi="Courier New" w:eastAsia="宋体" w:cs="Times New Roman"/>
          <w:kern w:val="2"/>
          <w:sz w:val="21"/>
          <w:szCs w:val="22"/>
          <w:highlight w:val="none"/>
          <w:lang w:val="en-US" w:eastAsia="zh-CN" w:bidi="ar-SA"/>
        </w:rPr>
        <w:t xml:space="preserve">    </w:t>
      </w:r>
      <w:r>
        <w:rPr>
          <w:rFonts w:hint="eastAsia" w:ascii="宋体" w:hAnsi="Courier New" w:eastAsia="宋体" w:cs="Times New Roman"/>
          <w:kern w:val="2"/>
          <w:sz w:val="21"/>
          <w:szCs w:val="22"/>
          <w:highlight w:val="none"/>
          <w:lang w:val="en-US" w:eastAsia="zh-CN" w:bidi="ar-SA"/>
        </w:rPr>
        <w:t>日</w:t>
      </w:r>
    </w:p>
    <w:p w14:paraId="24FBCECC">
      <w:pP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br w:type="page"/>
      </w:r>
      <w:r>
        <w:rPr>
          <w:rFonts w:hint="eastAsia" w:ascii="宋体" w:hAnsi="宋体" w:eastAsia="宋体" w:cs="宋体"/>
          <w:b/>
          <w:sz w:val="21"/>
          <w:szCs w:val="21"/>
          <w:highlight w:val="none"/>
        </w:rPr>
        <w:t>附件二：</w:t>
      </w:r>
    </w:p>
    <w:p w14:paraId="022E6942">
      <w:pPr>
        <w:tabs>
          <w:tab w:val="left" w:pos="210"/>
        </w:tabs>
        <w:spacing w:line="360" w:lineRule="auto"/>
        <w:jc w:val="center"/>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书面声明</w:t>
      </w:r>
    </w:p>
    <w:p w14:paraId="0DDEC831">
      <w:pPr>
        <w:tabs>
          <w:tab w:val="left" w:pos="210"/>
        </w:tabs>
        <w:spacing w:line="360" w:lineRule="auto"/>
        <w:jc w:val="center"/>
        <w:rPr>
          <w:rFonts w:hint="eastAsia" w:ascii="宋体" w:hAnsi="宋体" w:eastAsia="宋体" w:cs="宋体"/>
          <w:b/>
          <w:sz w:val="21"/>
          <w:szCs w:val="21"/>
          <w:highlight w:val="none"/>
        </w:rPr>
      </w:pPr>
    </w:p>
    <w:p w14:paraId="0CEBEE0D">
      <w:pPr>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jc w:val="left"/>
        <w:textAlignment w:val="auto"/>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致：</w:t>
      </w:r>
      <w:r>
        <w:rPr>
          <w:rFonts w:hint="eastAsia" w:ascii="宋体" w:hAnsi="宋体" w:eastAsia="宋体" w:cs="宋体"/>
          <w:kern w:val="0"/>
          <w:sz w:val="21"/>
          <w:szCs w:val="21"/>
          <w:highlight w:val="none"/>
          <w:u w:val="single"/>
          <w:lang w:val="en-US" w:eastAsia="zh-CN" w:bidi="ar-SA"/>
        </w:rPr>
        <w:t xml:space="preserve">   （采购人名称）    </w:t>
      </w:r>
    </w:p>
    <w:p w14:paraId="6B3A8ACD">
      <w:pPr>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420"/>
        <w:jc w:val="lef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我公司作为参与项目名称：</w:t>
      </w:r>
      <w:r>
        <w:rPr>
          <w:rFonts w:hint="eastAsia" w:ascii="宋体" w:hAnsi="宋体" w:eastAsia="宋体" w:cs="宋体"/>
          <w:kern w:val="0"/>
          <w:sz w:val="21"/>
          <w:szCs w:val="21"/>
          <w:highlight w:val="none"/>
          <w:u w:val="single"/>
          <w:shd w:val="clear" w:color="auto" w:fill="FFFFFF"/>
          <w:lang w:val="en-US" w:eastAsia="zh-CN" w:bidi="ar-SA"/>
        </w:rPr>
        <w:t xml:space="preserve">           </w:t>
      </w:r>
      <w:r>
        <w:rPr>
          <w:rFonts w:hint="eastAsia" w:ascii="宋体" w:hAnsi="宋体" w:eastAsia="宋体" w:cs="宋体"/>
          <w:kern w:val="0"/>
          <w:sz w:val="21"/>
          <w:szCs w:val="21"/>
          <w:highlight w:val="none"/>
          <w:shd w:val="clear" w:color="auto" w:fill="FFFFFF"/>
          <w:lang w:val="en-US" w:eastAsia="zh-CN" w:bidi="ar-SA"/>
        </w:rPr>
        <w:t>项目编号：</w:t>
      </w:r>
      <w:r>
        <w:rPr>
          <w:rFonts w:hint="eastAsia" w:ascii="宋体" w:hAnsi="宋体" w:eastAsia="宋体" w:cs="宋体"/>
          <w:kern w:val="0"/>
          <w:sz w:val="21"/>
          <w:szCs w:val="21"/>
          <w:highlight w:val="none"/>
          <w:u w:val="single"/>
          <w:shd w:val="clear" w:color="auto" w:fill="FFFFFF"/>
          <w:lang w:val="en-US" w:eastAsia="zh-CN" w:bidi="ar-SA"/>
        </w:rPr>
        <w:t xml:space="preserve">        </w:t>
      </w:r>
      <w:r>
        <w:rPr>
          <w:rFonts w:hint="eastAsia" w:ascii="宋体" w:hAnsi="宋体" w:eastAsia="宋体" w:cs="宋体"/>
          <w:kern w:val="0"/>
          <w:sz w:val="21"/>
          <w:szCs w:val="21"/>
          <w:highlight w:val="none"/>
          <w:shd w:val="clear" w:color="auto" w:fill="FFFFFF"/>
          <w:lang w:val="en-US" w:eastAsia="zh-CN" w:bidi="ar-SA"/>
        </w:rPr>
        <w:t>的供应商，在此郑重声明：</w:t>
      </w:r>
    </w:p>
    <w:p w14:paraId="3EE6363C">
      <w:pPr>
        <w:pStyle w:val="27"/>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1、在参加本次政府采购活动前3年内，在经营活动中</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填（“没有”或“有”）重大违法记录。</w:t>
      </w:r>
    </w:p>
    <w:p w14:paraId="3464E8FE">
      <w:pPr>
        <w:pStyle w:val="27"/>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2、我公司</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（填“未被列入”或“被列入”）失信被执行人名单。</w:t>
      </w:r>
    </w:p>
    <w:p w14:paraId="35D5A371">
      <w:pPr>
        <w:pStyle w:val="27"/>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3、我公司</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（填“未被列入”或“被列入”）</w:t>
      </w:r>
      <w:r>
        <w:rPr>
          <w:rFonts w:hint="eastAsia" w:cs="宋体"/>
          <w:color w:val="auto"/>
          <w:sz w:val="21"/>
          <w:szCs w:val="21"/>
          <w:highlight w:val="none"/>
          <w:shd w:val="clear" w:color="auto" w:fill="FFFFFF"/>
          <w:lang w:eastAsia="zh-CN"/>
        </w:rPr>
        <w:t>重大税收违法失信主体</w:t>
      </w:r>
      <w:r>
        <w:rPr>
          <w:rFonts w:hint="eastAsia" w:ascii="宋体" w:hAnsi="宋体" w:cs="宋体"/>
          <w:color w:val="auto"/>
          <w:sz w:val="21"/>
          <w:szCs w:val="21"/>
          <w:highlight w:val="none"/>
          <w:shd w:val="clear" w:color="auto" w:fill="FFFFFF"/>
        </w:rPr>
        <w:t>。</w:t>
      </w:r>
    </w:p>
    <w:p w14:paraId="35AAB0ED">
      <w:pPr>
        <w:pStyle w:val="27"/>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42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4、我公司</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（填“未被列入”或“被列入”）政府采购严重违法失信行为记录名单。</w:t>
      </w:r>
    </w:p>
    <w:p w14:paraId="3EE88AAE">
      <w:pPr>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420"/>
        <w:jc w:val="lef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以上声明如有不实，我公司自愿接受依据政府采购相关法律法规及本项目谈判文件的相关要求的处理结果。</w:t>
      </w:r>
    </w:p>
    <w:p w14:paraId="1568F2B1">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jc w:val="lef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特此声明。</w:t>
      </w:r>
    </w:p>
    <w:p w14:paraId="4AF6413D">
      <w:pPr>
        <w:spacing w:after="480" w:line="360" w:lineRule="auto"/>
        <w:ind w:firstLine="2940" w:firstLineChars="14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（公章）</w:t>
      </w:r>
    </w:p>
    <w:p w14:paraId="458FC7ED">
      <w:pPr>
        <w:spacing w:after="480" w:line="360" w:lineRule="auto"/>
        <w:ind w:firstLine="2940" w:firstLineChars="1400"/>
        <w:jc w:val="left"/>
        <w:rPr>
          <w:rFonts w:hint="eastAsia" w:ascii="宋体" w:hAnsi="宋体" w:eastAsia="宋体" w:cs="宋体"/>
          <w:color w:val="000000"/>
          <w:sz w:val="21"/>
          <w:szCs w:val="21"/>
          <w:highlight w:val="none"/>
        </w:rPr>
      </w:pPr>
      <w:r>
        <w:rPr>
          <w:rFonts w:hint="eastAsia" w:ascii="宋体" w:hAnsi="宋体" w:cs="宋体"/>
          <w:sz w:val="21"/>
          <w:szCs w:val="21"/>
          <w:highlight w:val="none"/>
          <w:lang w:eastAsia="zh-CN"/>
        </w:rPr>
        <w:t>法定代表人</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eastAsia="zh-CN"/>
        </w:rPr>
        <w:t>委托代理人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eastAsia="zh-CN"/>
        </w:rPr>
        <w:t>签字或盖章</w:t>
      </w:r>
      <w:r>
        <w:rPr>
          <w:rFonts w:hint="eastAsia" w:ascii="宋体" w:hAnsi="宋体" w:eastAsia="宋体" w:cs="宋体"/>
          <w:color w:val="000000"/>
          <w:kern w:val="0"/>
          <w:sz w:val="21"/>
          <w:szCs w:val="21"/>
          <w:highlight w:val="none"/>
        </w:rPr>
        <w:t>)</w:t>
      </w:r>
    </w:p>
    <w:p w14:paraId="3CBE5EA5">
      <w:pPr>
        <w:spacing w:before="480" w:line="360" w:lineRule="auto"/>
        <w:ind w:firstLine="2940" w:firstLineChars="14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026BC4D3">
      <w:pPr>
        <w:spacing w:line="360" w:lineRule="auto"/>
        <w:rPr>
          <w:rFonts w:hint="eastAsia" w:ascii="宋体" w:hAnsi="宋体" w:eastAsia="宋体" w:cs="宋体"/>
          <w:sz w:val="21"/>
          <w:szCs w:val="21"/>
          <w:highlight w:val="none"/>
        </w:rPr>
      </w:pPr>
    </w:p>
    <w:p w14:paraId="0968DF92">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1"/>
          <w:szCs w:val="21"/>
          <w:highlight w:val="none"/>
        </w:rPr>
        <w:t>注：供应商在参加政府采购活动前3年内因违法经营被禁止在一定期限内参加政府采购活动，期限届满的，可以参加政府采购活动，但应提供相关证明材料。</w:t>
      </w:r>
      <w:r>
        <w:rPr>
          <w:rFonts w:hint="eastAsia" w:ascii="宋体" w:hAnsi="宋体" w:eastAsia="宋体" w:cs="宋体"/>
          <w:sz w:val="24"/>
          <w:szCs w:val="24"/>
          <w:highlight w:val="none"/>
          <w:lang w:val="en-US" w:eastAsia="zh-CN"/>
        </w:rPr>
        <w:t xml:space="preserve">   </w:t>
      </w:r>
    </w:p>
    <w:p w14:paraId="0D2A9340">
      <w:pPr>
        <w:spacing w:line="360" w:lineRule="auto"/>
        <w:rPr>
          <w:rFonts w:hint="eastAsia" w:ascii="宋体" w:hAnsi="宋体" w:eastAsia="宋体" w:cs="宋体"/>
          <w:b/>
          <w:sz w:val="21"/>
          <w:szCs w:val="21"/>
          <w:highlight w:val="none"/>
        </w:rPr>
      </w:pPr>
      <w:r>
        <w:rPr>
          <w:rFonts w:hint="eastAsia" w:ascii="宋体" w:hAnsi="宋体" w:eastAsia="宋体" w:cs="宋体"/>
          <w:b/>
          <w:szCs w:val="24"/>
          <w:highlight w:val="none"/>
        </w:rPr>
        <w:br w:type="page"/>
      </w:r>
      <w:r>
        <w:rPr>
          <w:rFonts w:hint="eastAsia" w:ascii="宋体" w:hAnsi="宋体" w:eastAsia="宋体" w:cs="宋体"/>
          <w:b/>
          <w:sz w:val="21"/>
          <w:szCs w:val="21"/>
          <w:highlight w:val="none"/>
        </w:rPr>
        <w:t>附件三：</w:t>
      </w:r>
    </w:p>
    <w:p w14:paraId="68B93087">
      <w:pPr>
        <w:widowControl w:val="0"/>
        <w:adjustRightInd w:val="0"/>
        <w:snapToGrid w:val="0"/>
        <w:spacing w:line="600" w:lineRule="auto"/>
        <w:jc w:val="center"/>
        <w:rPr>
          <w:rFonts w:hint="eastAsia" w:ascii="宋体" w:hAnsi="宋体" w:eastAsia="宋体" w:cs="宋体"/>
          <w:b/>
          <w:bCs/>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承诺声明</w:t>
      </w:r>
    </w:p>
    <w:p w14:paraId="3BCA3597">
      <w:pPr>
        <w:widowControl w:val="0"/>
        <w:adjustRightInd w:val="0"/>
        <w:snapToGrid w:val="0"/>
        <w:spacing w:line="48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val="en-US" w:eastAsia="zh-CN" w:bidi="ar-SA"/>
        </w:rPr>
        <w:t>致：</w:t>
      </w:r>
      <w:r>
        <w:rPr>
          <w:rFonts w:hint="eastAsia" w:ascii="宋体" w:hAnsi="宋体" w:eastAsia="宋体" w:cs="宋体"/>
          <w:kern w:val="2"/>
          <w:sz w:val="21"/>
          <w:szCs w:val="21"/>
          <w:highlight w:val="none"/>
          <w:u w:val="single"/>
          <w:lang w:val="en-US" w:eastAsia="zh-CN" w:bidi="ar-SA"/>
        </w:rPr>
        <w:t xml:space="preserve">   （采购人名称）    </w:t>
      </w:r>
    </w:p>
    <w:p w14:paraId="05D0445F">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jc w:val="both"/>
        <w:textAlignment w:val="auto"/>
        <w:rPr>
          <w:rFonts w:hint="eastAsia" w:ascii="宋体" w:hAnsi="宋体" w:eastAsia="宋体" w:cs="宋体"/>
          <w:spacing w:val="4"/>
          <w:kern w:val="2"/>
          <w:sz w:val="21"/>
          <w:szCs w:val="21"/>
          <w:highlight w:val="none"/>
          <w:lang w:val="en-US" w:eastAsia="zh-CN" w:bidi="ar-SA"/>
        </w:rPr>
      </w:pPr>
      <w:r>
        <w:rPr>
          <w:rFonts w:hint="eastAsia" w:ascii="宋体" w:hAnsi="宋体" w:eastAsia="宋体" w:cs="宋体"/>
          <w:kern w:val="2"/>
          <w:sz w:val="21"/>
          <w:szCs w:val="21"/>
          <w:highlight w:val="none"/>
          <w:shd w:val="clear" w:color="auto" w:fill="FFFFFF"/>
          <w:lang w:val="en-US" w:eastAsia="zh-CN" w:bidi="ar-SA"/>
        </w:rPr>
        <w:t>我公司作为参与项目名称：</w:t>
      </w:r>
      <w:r>
        <w:rPr>
          <w:rFonts w:hint="eastAsia" w:ascii="宋体" w:hAnsi="宋体" w:eastAsia="宋体" w:cs="宋体"/>
          <w:kern w:val="2"/>
          <w:sz w:val="21"/>
          <w:szCs w:val="21"/>
          <w:highlight w:val="none"/>
          <w:u w:val="single"/>
          <w:shd w:val="clear" w:color="auto" w:fill="FFFFFF"/>
          <w:lang w:val="en-US" w:eastAsia="zh-CN" w:bidi="ar-SA"/>
        </w:rPr>
        <w:t xml:space="preserve">           </w:t>
      </w:r>
      <w:r>
        <w:rPr>
          <w:rFonts w:hint="eastAsia" w:ascii="宋体" w:hAnsi="宋体" w:eastAsia="宋体" w:cs="宋体"/>
          <w:kern w:val="2"/>
          <w:sz w:val="21"/>
          <w:szCs w:val="21"/>
          <w:highlight w:val="none"/>
          <w:shd w:val="clear" w:color="auto" w:fill="FFFFFF"/>
          <w:lang w:val="en-US" w:eastAsia="zh-CN" w:bidi="ar-SA"/>
        </w:rPr>
        <w:t>项目编号：</w:t>
      </w:r>
      <w:r>
        <w:rPr>
          <w:rFonts w:hint="eastAsia" w:ascii="宋体" w:hAnsi="宋体" w:eastAsia="宋体" w:cs="宋体"/>
          <w:kern w:val="2"/>
          <w:sz w:val="21"/>
          <w:szCs w:val="21"/>
          <w:highlight w:val="none"/>
          <w:u w:val="single"/>
          <w:shd w:val="clear" w:color="auto" w:fill="FFFFFF"/>
          <w:lang w:val="en-US" w:eastAsia="zh-CN" w:bidi="ar-SA"/>
        </w:rPr>
        <w:t xml:space="preserve">        </w:t>
      </w:r>
      <w:r>
        <w:rPr>
          <w:rFonts w:hint="eastAsia" w:ascii="宋体" w:hAnsi="宋体" w:eastAsia="宋体" w:cs="宋体"/>
          <w:kern w:val="2"/>
          <w:sz w:val="21"/>
          <w:szCs w:val="21"/>
          <w:highlight w:val="none"/>
          <w:shd w:val="clear" w:color="auto" w:fill="FFFFFF"/>
          <w:lang w:val="en-US" w:eastAsia="zh-CN" w:bidi="ar-SA"/>
        </w:rPr>
        <w:t>的供应商，在此</w:t>
      </w:r>
      <w:r>
        <w:rPr>
          <w:rFonts w:hint="eastAsia" w:ascii="宋体" w:hAnsi="宋体" w:eastAsia="宋体" w:cs="宋体"/>
          <w:spacing w:val="4"/>
          <w:kern w:val="2"/>
          <w:sz w:val="21"/>
          <w:szCs w:val="21"/>
          <w:highlight w:val="none"/>
          <w:lang w:val="en-US" w:eastAsia="zh-CN" w:bidi="ar-SA"/>
        </w:rPr>
        <w:t>郑重承诺：</w:t>
      </w:r>
    </w:p>
    <w:p w14:paraId="53020019">
      <w:pPr>
        <w:keepNext w:val="0"/>
        <w:keepLines w:val="0"/>
        <w:pageBreakBefore w:val="0"/>
        <w:widowControl w:val="0"/>
        <w:tabs>
          <w:tab w:val="left" w:pos="1180"/>
        </w:tabs>
        <w:kinsoku/>
        <w:wordWrap/>
        <w:overflowPunct/>
        <w:topLinePunct w:val="0"/>
        <w:autoSpaceDE/>
        <w:autoSpaceDN/>
        <w:bidi w:val="0"/>
        <w:spacing w:line="480" w:lineRule="auto"/>
        <w:textAlignment w:val="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我公司具有履行合同所必需的设备和专业技术能力</w:t>
      </w:r>
      <w:r>
        <w:rPr>
          <w:rFonts w:hint="eastAsia" w:ascii="宋体" w:hAnsi="宋体" w:eastAsia="宋体" w:cs="宋体"/>
          <w:kern w:val="0"/>
          <w:sz w:val="21"/>
          <w:szCs w:val="21"/>
          <w:highlight w:val="none"/>
        </w:rPr>
        <w:t>。</w:t>
      </w:r>
    </w:p>
    <w:p w14:paraId="601489E5">
      <w:pPr>
        <w:keepNext w:val="0"/>
        <w:keepLines w:val="0"/>
        <w:pageBreakBefore w:val="0"/>
        <w:widowControl w:val="0"/>
        <w:tabs>
          <w:tab w:val="left" w:pos="1180"/>
        </w:tabs>
        <w:kinsoku/>
        <w:wordWrap/>
        <w:overflowPunct/>
        <w:topLinePunct w:val="0"/>
        <w:autoSpaceDE/>
        <w:autoSpaceDN/>
        <w:bidi w:val="0"/>
        <w:adjustRightInd/>
        <w:snapToGrid/>
        <w:spacing w:line="480" w:lineRule="auto"/>
        <w:ind w:firstLine="420" w:firstLineChars="200"/>
        <w:textAlignment w:val="auto"/>
        <w:rPr>
          <w:rFonts w:hint="eastAsia" w:ascii="Times New Roman" w:hAnsi="宋体" w:eastAsia="宋体" w:cs="宋体"/>
          <w:spacing w:val="4"/>
          <w:sz w:val="21"/>
          <w:szCs w:val="21"/>
          <w:highlight w:val="none"/>
        </w:rPr>
      </w:pPr>
      <w:r>
        <w:rPr>
          <w:rFonts w:hint="eastAsia" w:ascii="宋体" w:hAnsi="宋体" w:eastAsia="宋体" w:cs="宋体"/>
          <w:sz w:val="21"/>
          <w:szCs w:val="21"/>
          <w:highlight w:val="none"/>
          <w:shd w:val="clear" w:color="auto" w:fill="FFFFFF"/>
          <w:lang w:eastAsia="zh-CN"/>
        </w:rPr>
        <w:t>以上</w:t>
      </w:r>
      <w:r>
        <w:rPr>
          <w:rFonts w:hint="eastAsia" w:ascii="Times New Roman" w:hAnsi="宋体" w:eastAsia="宋体" w:cs="宋体"/>
          <w:spacing w:val="4"/>
          <w:sz w:val="21"/>
          <w:szCs w:val="21"/>
          <w:highlight w:val="none"/>
        </w:rPr>
        <w:t>承诺</w:t>
      </w:r>
      <w:r>
        <w:rPr>
          <w:rFonts w:hint="eastAsia" w:ascii="宋体" w:hAnsi="宋体" w:eastAsia="宋体" w:cs="宋体"/>
          <w:sz w:val="21"/>
          <w:szCs w:val="21"/>
          <w:highlight w:val="none"/>
          <w:shd w:val="clear" w:color="auto" w:fill="FFFFFF"/>
        </w:rPr>
        <w:t>如有不实，</w:t>
      </w:r>
      <w:r>
        <w:rPr>
          <w:rFonts w:hint="eastAsia" w:ascii="Times New Roman" w:hAnsi="宋体" w:eastAsia="宋体" w:cs="宋体"/>
          <w:spacing w:val="4"/>
          <w:sz w:val="21"/>
          <w:szCs w:val="21"/>
          <w:highlight w:val="none"/>
        </w:rPr>
        <w:t>我公司</w:t>
      </w:r>
      <w:r>
        <w:rPr>
          <w:rFonts w:hint="eastAsia" w:ascii="Times New Roman" w:hAnsi="宋体" w:eastAsia="宋体" w:cs="宋体"/>
          <w:spacing w:val="4"/>
          <w:sz w:val="21"/>
          <w:szCs w:val="21"/>
          <w:highlight w:val="none"/>
          <w:lang w:eastAsia="zh-CN"/>
        </w:rPr>
        <w:t>自愿</w:t>
      </w:r>
      <w:r>
        <w:rPr>
          <w:rFonts w:hint="eastAsia" w:ascii="Times New Roman" w:hAnsi="宋体" w:eastAsia="宋体" w:cs="宋体"/>
          <w:spacing w:val="4"/>
          <w:sz w:val="21"/>
          <w:szCs w:val="21"/>
          <w:highlight w:val="none"/>
        </w:rPr>
        <w:t>承担由此带来的</w:t>
      </w:r>
      <w:r>
        <w:rPr>
          <w:rFonts w:hint="eastAsia" w:ascii="Times New Roman" w:hAnsi="宋体" w:eastAsia="宋体" w:cs="宋体"/>
          <w:spacing w:val="4"/>
          <w:sz w:val="21"/>
          <w:szCs w:val="21"/>
          <w:highlight w:val="none"/>
          <w:lang w:eastAsia="zh-CN"/>
        </w:rPr>
        <w:t>不利</w:t>
      </w:r>
      <w:r>
        <w:rPr>
          <w:rFonts w:hint="eastAsia" w:ascii="Times New Roman" w:hAnsi="宋体" w:eastAsia="宋体" w:cs="宋体"/>
          <w:spacing w:val="4"/>
          <w:sz w:val="21"/>
          <w:szCs w:val="21"/>
          <w:highlight w:val="none"/>
        </w:rPr>
        <w:t>后果。</w:t>
      </w:r>
    </w:p>
    <w:p w14:paraId="4489B1F5">
      <w:pPr>
        <w:widowControl w:val="0"/>
        <w:adjustRightInd w:val="0"/>
        <w:snapToGrid w:val="0"/>
        <w:spacing w:line="480" w:lineRule="auto"/>
        <w:ind w:firstLine="436" w:firstLineChars="200"/>
        <w:jc w:val="both"/>
        <w:rPr>
          <w:rFonts w:hint="eastAsia" w:ascii="宋体" w:hAnsi="宋体" w:eastAsia="宋体" w:cs="宋体"/>
          <w:spacing w:val="4"/>
          <w:kern w:val="2"/>
          <w:sz w:val="21"/>
          <w:szCs w:val="21"/>
          <w:highlight w:val="none"/>
          <w:lang w:val="en-US" w:eastAsia="zh-CN" w:bidi="ar-SA"/>
        </w:rPr>
      </w:pPr>
    </w:p>
    <w:p w14:paraId="4E27EB77">
      <w:pPr>
        <w:widowControl w:val="0"/>
        <w:adjustRightInd w:val="0"/>
        <w:snapToGrid w:val="0"/>
        <w:spacing w:line="480" w:lineRule="auto"/>
        <w:ind w:firstLine="436" w:firstLineChars="200"/>
        <w:jc w:val="both"/>
        <w:rPr>
          <w:rFonts w:hint="eastAsia" w:ascii="宋体" w:hAnsi="宋体" w:eastAsia="宋体" w:cs="宋体"/>
          <w:spacing w:val="4"/>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特此承诺。</w:t>
      </w:r>
    </w:p>
    <w:p w14:paraId="447DC0CF">
      <w:pPr>
        <w:spacing w:before="240" w:beforeLines="100" w:after="120" w:afterLines="50" w:line="480" w:lineRule="auto"/>
        <w:rPr>
          <w:rFonts w:hint="eastAsia" w:ascii="宋体" w:hAnsi="宋体" w:eastAsia="宋体" w:cs="宋体"/>
          <w:spacing w:val="4"/>
          <w:sz w:val="21"/>
          <w:szCs w:val="21"/>
          <w:highlight w:val="none"/>
        </w:rPr>
      </w:pPr>
    </w:p>
    <w:p w14:paraId="035437C7">
      <w:pPr>
        <w:widowControl w:val="0"/>
        <w:tabs>
          <w:tab w:val="center" w:pos="4153"/>
          <w:tab w:val="right" w:pos="8306"/>
        </w:tabs>
        <w:adjustRightInd w:val="0"/>
        <w:spacing w:line="360" w:lineRule="auto"/>
        <w:jc w:val="left"/>
        <w:textAlignment w:val="baseline"/>
        <w:rPr>
          <w:rFonts w:hint="eastAsia" w:ascii="宋体" w:hAnsi="宋体" w:eastAsia="宋体" w:cs="宋体"/>
          <w:kern w:val="0"/>
          <w:sz w:val="21"/>
          <w:szCs w:val="21"/>
          <w:highlight w:val="none"/>
          <w:lang w:val="en-US" w:eastAsia="zh-CN" w:bidi="ar-SA"/>
        </w:rPr>
      </w:pPr>
    </w:p>
    <w:p w14:paraId="40DE60C7">
      <w:pPr>
        <w:spacing w:after="480" w:line="360" w:lineRule="auto"/>
        <w:ind w:firstLine="3150" w:firstLineChars="15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（公章）</w:t>
      </w:r>
    </w:p>
    <w:p w14:paraId="5D76BFFA">
      <w:pPr>
        <w:spacing w:after="480" w:line="360" w:lineRule="auto"/>
        <w:ind w:firstLine="3150" w:firstLineChars="1500"/>
        <w:jc w:val="left"/>
        <w:rPr>
          <w:rFonts w:hint="eastAsia" w:ascii="宋体" w:hAnsi="宋体" w:eastAsia="宋体" w:cs="宋体"/>
          <w:color w:val="000000"/>
          <w:sz w:val="21"/>
          <w:szCs w:val="21"/>
          <w:highlight w:val="none"/>
        </w:rPr>
      </w:pPr>
      <w:r>
        <w:rPr>
          <w:rFonts w:hint="eastAsia" w:ascii="宋体" w:hAnsi="宋体" w:cs="宋体"/>
          <w:sz w:val="21"/>
          <w:szCs w:val="21"/>
          <w:highlight w:val="none"/>
          <w:lang w:eastAsia="zh-CN"/>
        </w:rPr>
        <w:t>法定代表人</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eastAsia="zh-CN"/>
        </w:rPr>
        <w:t>委托代理人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eastAsia="zh-CN"/>
        </w:rPr>
        <w:t>签字</w:t>
      </w:r>
      <w:r>
        <w:rPr>
          <w:rFonts w:hint="eastAsia" w:ascii="宋体" w:hAnsi="宋体" w:eastAsia="宋体" w:cs="宋体"/>
          <w:color w:val="000000"/>
          <w:kern w:val="0"/>
          <w:sz w:val="21"/>
          <w:szCs w:val="21"/>
          <w:highlight w:val="none"/>
        </w:rPr>
        <w:t>)</w:t>
      </w:r>
    </w:p>
    <w:p w14:paraId="1DBEB791">
      <w:pPr>
        <w:spacing w:before="480" w:line="360" w:lineRule="auto"/>
        <w:ind w:firstLine="3150" w:firstLineChars="1500"/>
        <w:jc w:val="left"/>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7F793034">
      <w:pPr>
        <w:spacing w:line="360" w:lineRule="auto"/>
        <w:rPr>
          <w:rFonts w:hint="eastAsia" w:ascii="宋体" w:hAnsi="宋体" w:eastAsia="宋体" w:cs="宋体"/>
          <w:sz w:val="21"/>
          <w:szCs w:val="21"/>
          <w:highlight w:val="none"/>
        </w:rPr>
      </w:pPr>
      <w:r>
        <w:rPr>
          <w:rFonts w:hint="eastAsia" w:ascii="宋体" w:hAnsi="宋体" w:eastAsia="宋体" w:cs="宋体"/>
          <w:sz w:val="24"/>
          <w:szCs w:val="24"/>
          <w:highlight w:val="none"/>
        </w:rPr>
        <w:br w:type="page"/>
      </w:r>
      <w:r>
        <w:rPr>
          <w:rFonts w:hint="eastAsia" w:ascii="宋体" w:hAnsi="宋体" w:eastAsia="宋体" w:cs="宋体"/>
          <w:b/>
          <w:sz w:val="21"/>
          <w:szCs w:val="21"/>
          <w:highlight w:val="none"/>
        </w:rPr>
        <w:t>附件四：</w:t>
      </w:r>
    </w:p>
    <w:p w14:paraId="1D97E1EB">
      <w:pPr>
        <w:tabs>
          <w:tab w:val="left" w:pos="210"/>
        </w:tabs>
        <w:spacing w:line="320" w:lineRule="exact"/>
        <w:jc w:val="center"/>
        <w:outlineLvl w:val="9"/>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zh-CN"/>
        </w:rPr>
        <w:t>供应商控股、管理关系声明</w:t>
      </w:r>
    </w:p>
    <w:p w14:paraId="0097CD0A">
      <w:pPr>
        <w:widowControl w:val="0"/>
        <w:spacing w:after="120" w:afterLines="0" w:line="240" w:lineRule="auto"/>
        <w:ind w:left="420" w:leftChars="200" w:firstLine="480"/>
        <w:jc w:val="both"/>
        <w:rPr>
          <w:rFonts w:hint="eastAsia" w:ascii="宋体" w:hAnsi="Times New Roman" w:eastAsia="宋体" w:cs="宋体"/>
          <w:kern w:val="2"/>
          <w:sz w:val="21"/>
          <w:szCs w:val="21"/>
          <w:highlight w:val="none"/>
          <w:lang w:val="en-US" w:eastAsia="zh-CN" w:bidi="ar-SA"/>
        </w:rPr>
      </w:pPr>
    </w:p>
    <w:p w14:paraId="226F3EAA">
      <w:pPr>
        <w:autoSpaceDE w:val="0"/>
        <w:autoSpaceDN w:val="0"/>
        <w:adjustRightInd w:val="0"/>
        <w:snapToGri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依据《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我方在此</w:t>
      </w:r>
      <w:r>
        <w:rPr>
          <w:rFonts w:hint="eastAsia" w:ascii="Times New Roman" w:hAnsi="宋体" w:eastAsia="宋体" w:cs="宋体"/>
          <w:spacing w:val="4"/>
          <w:sz w:val="21"/>
          <w:szCs w:val="21"/>
          <w:highlight w:val="none"/>
        </w:rPr>
        <w:t>郑重</w:t>
      </w:r>
      <w:r>
        <w:rPr>
          <w:rFonts w:hint="eastAsia" w:ascii="宋体" w:hAnsi="宋体" w:eastAsia="宋体" w:cs="宋体"/>
          <w:sz w:val="21"/>
          <w:szCs w:val="21"/>
          <w:highlight w:val="none"/>
          <w:lang w:eastAsia="zh-CN"/>
        </w:rPr>
        <w:t>声明：</w:t>
      </w:r>
    </w:p>
    <w:p w14:paraId="10EF794F">
      <w:pPr>
        <w:snapToGrid w:val="0"/>
        <w:spacing w:line="360" w:lineRule="auto"/>
        <w:ind w:firstLine="420" w:firstLineChars="200"/>
        <w:rPr>
          <w:rFonts w:hint="eastAsia" w:ascii="宋体" w:hAnsi="宋体" w:eastAsia="宋体" w:cs="宋体"/>
          <w:sz w:val="21"/>
          <w:szCs w:val="21"/>
          <w:highlight w:val="none"/>
        </w:rPr>
      </w:pPr>
      <w:bookmarkStart w:id="98" w:name="_Toc18329_WPSOffice_Level1"/>
      <w:r>
        <w:rPr>
          <w:rFonts w:hint="eastAsia" w:ascii="宋体" w:hAnsi="宋体" w:eastAsia="宋体" w:cs="宋体"/>
          <w:sz w:val="21"/>
          <w:szCs w:val="21"/>
          <w:highlight w:val="none"/>
        </w:rPr>
        <w:t>1、管理关系说明：</w:t>
      </w:r>
      <w:bookmarkEnd w:id="98"/>
    </w:p>
    <w:p w14:paraId="02C4E121">
      <w:pPr>
        <w:snapToGrid w:val="0"/>
        <w:spacing w:line="360" w:lineRule="auto"/>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我</w:t>
      </w:r>
      <w:r>
        <w:rPr>
          <w:rFonts w:hint="eastAsia" w:ascii="宋体" w:hAnsi="宋体" w:eastAsia="宋体" w:cs="宋体"/>
          <w:sz w:val="21"/>
          <w:szCs w:val="21"/>
          <w:highlight w:val="none"/>
          <w:lang w:eastAsia="zh-CN"/>
        </w:rPr>
        <w:t>方</w:t>
      </w:r>
      <w:r>
        <w:rPr>
          <w:rFonts w:hint="eastAsia" w:ascii="宋体" w:hAnsi="宋体" w:eastAsia="宋体" w:cs="宋体"/>
          <w:sz w:val="21"/>
          <w:szCs w:val="21"/>
          <w:highlight w:val="none"/>
        </w:rPr>
        <w:t>管理的具有独立法人的下属单位有：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9BD1913">
      <w:pPr>
        <w:snapToGrid w:val="0"/>
        <w:spacing w:line="360" w:lineRule="auto"/>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我</w:t>
      </w:r>
      <w:r>
        <w:rPr>
          <w:rFonts w:hint="eastAsia" w:ascii="宋体" w:hAnsi="宋体" w:eastAsia="宋体" w:cs="宋体"/>
          <w:sz w:val="21"/>
          <w:szCs w:val="21"/>
          <w:highlight w:val="none"/>
          <w:lang w:eastAsia="zh-CN"/>
        </w:rPr>
        <w:t>方</w:t>
      </w:r>
      <w:r>
        <w:rPr>
          <w:rFonts w:hint="eastAsia" w:ascii="宋体" w:hAnsi="宋体" w:eastAsia="宋体" w:cs="宋体"/>
          <w:sz w:val="21"/>
          <w:szCs w:val="21"/>
          <w:highlight w:val="none"/>
        </w:rPr>
        <w:t>的上级管理单位有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751FE68">
      <w:pPr>
        <w:snapToGrid w:val="0"/>
        <w:spacing w:line="360" w:lineRule="auto"/>
        <w:ind w:firstLine="420" w:firstLineChars="200"/>
        <w:rPr>
          <w:rFonts w:hint="eastAsia" w:ascii="宋体" w:hAnsi="宋体" w:eastAsia="宋体" w:cs="宋体"/>
          <w:sz w:val="21"/>
          <w:szCs w:val="21"/>
          <w:highlight w:val="none"/>
        </w:rPr>
      </w:pPr>
      <w:bookmarkStart w:id="99" w:name="_Toc24832_WPSOffice_Level1"/>
      <w:r>
        <w:rPr>
          <w:rFonts w:hint="eastAsia" w:ascii="宋体" w:hAnsi="宋体" w:eastAsia="宋体" w:cs="宋体"/>
          <w:sz w:val="21"/>
          <w:szCs w:val="21"/>
          <w:highlight w:val="none"/>
        </w:rPr>
        <w:t>2、股权关系说明：</w:t>
      </w:r>
      <w:bookmarkEnd w:id="99"/>
    </w:p>
    <w:p w14:paraId="0859F77B">
      <w:pPr>
        <w:snapToGrid w:val="0"/>
        <w:spacing w:line="360" w:lineRule="auto"/>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我</w:t>
      </w:r>
      <w:r>
        <w:rPr>
          <w:rFonts w:hint="eastAsia" w:ascii="宋体" w:hAnsi="宋体" w:eastAsia="宋体" w:cs="宋体"/>
          <w:sz w:val="21"/>
          <w:szCs w:val="21"/>
          <w:highlight w:val="none"/>
          <w:lang w:eastAsia="zh-CN"/>
        </w:rPr>
        <w:t>方</w:t>
      </w:r>
      <w:r>
        <w:rPr>
          <w:rFonts w:hint="eastAsia" w:ascii="宋体" w:hAnsi="宋体" w:eastAsia="宋体" w:cs="宋体"/>
          <w:sz w:val="21"/>
          <w:szCs w:val="21"/>
          <w:highlight w:val="none"/>
        </w:rPr>
        <w:t>控股的单位有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AA79EDC">
      <w:pPr>
        <w:snapToGrid w:val="0"/>
        <w:spacing w:line="360" w:lineRule="auto"/>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我</w:t>
      </w:r>
      <w:r>
        <w:rPr>
          <w:rFonts w:hint="eastAsia" w:ascii="宋体" w:hAnsi="宋体" w:eastAsia="宋体" w:cs="宋体"/>
          <w:sz w:val="21"/>
          <w:szCs w:val="21"/>
          <w:highlight w:val="none"/>
          <w:lang w:eastAsia="zh-CN"/>
        </w:rPr>
        <w:t>方</w:t>
      </w:r>
      <w:r>
        <w:rPr>
          <w:rFonts w:hint="eastAsia" w:ascii="宋体" w:hAnsi="宋体" w:eastAsia="宋体" w:cs="宋体"/>
          <w:sz w:val="21"/>
          <w:szCs w:val="21"/>
          <w:highlight w:val="none"/>
        </w:rPr>
        <w:t>被</w:t>
      </w:r>
      <w:r>
        <w:rPr>
          <w:rFonts w:hint="eastAsia" w:ascii="宋体" w:hAnsi="宋体" w:eastAsia="宋体" w:cs="宋体"/>
          <w:i/>
          <w:sz w:val="21"/>
          <w:szCs w:val="21"/>
          <w:highlight w:val="none"/>
          <w:u w:val="single"/>
        </w:rPr>
        <w:t xml:space="preserve">           </w:t>
      </w:r>
      <w:r>
        <w:rPr>
          <w:rFonts w:hint="eastAsia" w:ascii="宋体" w:hAnsi="宋体" w:eastAsia="宋体" w:cs="宋体"/>
          <w:i/>
          <w:sz w:val="21"/>
          <w:szCs w:val="21"/>
          <w:highlight w:val="none"/>
          <w:u w:val="single"/>
          <w:lang w:val="en-US" w:eastAsia="zh-CN"/>
        </w:rPr>
        <w:t xml:space="preserve">                               </w:t>
      </w:r>
      <w:r>
        <w:rPr>
          <w:rFonts w:hint="eastAsia" w:ascii="宋体" w:hAnsi="宋体" w:eastAsia="宋体" w:cs="宋体"/>
          <w:i/>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单位控股。</w:t>
      </w:r>
    </w:p>
    <w:p w14:paraId="5A1C2799">
      <w:pPr>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w:t>
      </w:r>
      <w:r>
        <w:rPr>
          <w:rFonts w:hint="eastAsia" w:ascii="宋体" w:hAnsi="宋体" w:cs="宋体"/>
          <w:color w:val="auto"/>
          <w:sz w:val="21"/>
          <w:szCs w:val="21"/>
          <w:highlight w:val="none"/>
          <w:u w:val="none"/>
          <w:lang w:eastAsia="zh-CN"/>
        </w:rPr>
        <w:t>我方</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（是或否）</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eastAsia="zh-CN"/>
        </w:rPr>
        <w:t>本</w:t>
      </w:r>
      <w:r>
        <w:rPr>
          <w:rFonts w:hint="eastAsia" w:ascii="宋体" w:hAnsi="宋体" w:cs="宋体"/>
          <w:color w:val="auto"/>
          <w:sz w:val="21"/>
          <w:szCs w:val="21"/>
          <w:highlight w:val="none"/>
        </w:rPr>
        <w:t>项目提供过整体设计、规范编制或者项目管理、监理、检测等服务的供应商。</w:t>
      </w:r>
    </w:p>
    <w:p w14:paraId="4E0F24AE">
      <w:pPr>
        <w:autoSpaceDE w:val="0"/>
        <w:autoSpaceDN w:val="0"/>
        <w:adjustRightInd w:val="0"/>
        <w:snapToGrid w:val="0"/>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4、我方单位负责人与其他投标人单位负责人</w:t>
      </w:r>
      <w:r>
        <w:rPr>
          <w:rFonts w:hint="eastAsia" w:ascii="宋体" w:hAnsi="宋体" w:cs="宋体"/>
          <w:color w:val="auto"/>
          <w:sz w:val="21"/>
          <w:szCs w:val="21"/>
          <w:highlight w:val="none"/>
          <w:u w:val="single"/>
          <w:lang w:val="en-US" w:eastAsia="zh-CN"/>
        </w:rPr>
        <w:t xml:space="preserve">   （是或不是）    </w:t>
      </w:r>
      <w:r>
        <w:rPr>
          <w:rFonts w:hint="eastAsia" w:ascii="宋体" w:hAnsi="宋体" w:cs="宋体"/>
          <w:color w:val="auto"/>
          <w:sz w:val="21"/>
          <w:szCs w:val="21"/>
          <w:highlight w:val="none"/>
          <w:lang w:val="en-US" w:eastAsia="zh-CN"/>
        </w:rPr>
        <w:t>为同一人。</w:t>
      </w:r>
    </w:p>
    <w:p w14:paraId="47A5F471">
      <w:pPr>
        <w:autoSpaceDE w:val="0"/>
        <w:autoSpaceDN w:val="0"/>
        <w:adjustRightInd w:val="0"/>
        <w:snapToGrid w:val="0"/>
        <w:spacing w:line="360"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、其他与本项目有关的利害关系说明：</w:t>
      </w:r>
    </w:p>
    <w:p w14:paraId="3E56433F">
      <w:pPr>
        <w:autoSpaceDE w:val="0"/>
        <w:autoSpaceDN w:val="0"/>
        <w:adjustRightInd w:val="0"/>
        <w:spacing w:line="360" w:lineRule="auto"/>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w:t>
      </w:r>
    </w:p>
    <w:p w14:paraId="7AEC7133">
      <w:pPr>
        <w:widowControl/>
        <w:wordWrap w:val="0"/>
        <w:spacing w:before="100" w:beforeAutospacing="1" w:after="100" w:afterAutospacing="1" w:line="360" w:lineRule="auto"/>
        <w:ind w:firstLine="420"/>
        <w:jc w:val="left"/>
        <w:rPr>
          <w:rFonts w:hint="eastAsia" w:ascii="宋体" w:hAnsi="宋体" w:eastAsia="宋体" w:cs="宋体"/>
          <w:kern w:val="0"/>
          <w:sz w:val="21"/>
          <w:szCs w:val="21"/>
          <w:highlight w:val="none"/>
          <w:shd w:val="clear" w:color="auto" w:fill="FFFFFF"/>
          <w:lang w:val="en-US" w:eastAsia="zh-CN" w:bidi="ar-SA"/>
        </w:rPr>
      </w:pPr>
    </w:p>
    <w:p w14:paraId="42E80B67">
      <w:pPr>
        <w:widowControl/>
        <w:wordWrap w:val="0"/>
        <w:spacing w:before="100" w:beforeAutospacing="1" w:after="100" w:afterAutospacing="1" w:line="360" w:lineRule="auto"/>
        <w:ind w:firstLine="420"/>
        <w:jc w:val="left"/>
        <w:rPr>
          <w:rFonts w:hint="eastAsia" w:ascii="宋体" w:hAnsi="宋体" w:eastAsia="宋体" w:cs="宋体"/>
          <w:b/>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特此声明。</w:t>
      </w:r>
    </w:p>
    <w:p w14:paraId="1028982E">
      <w:pPr>
        <w:widowControl w:val="0"/>
        <w:spacing w:line="360" w:lineRule="auto"/>
        <w:jc w:val="both"/>
        <w:rPr>
          <w:rFonts w:hint="eastAsia" w:ascii="宋体" w:hAnsi="宋体" w:eastAsia="宋体" w:cs="宋体"/>
          <w:b/>
          <w:kern w:val="2"/>
          <w:sz w:val="21"/>
          <w:szCs w:val="21"/>
          <w:highlight w:val="none"/>
          <w:lang w:val="en-US" w:eastAsia="zh-CN" w:bidi="ar-SA"/>
        </w:rPr>
      </w:pPr>
    </w:p>
    <w:p w14:paraId="00E426D9">
      <w:pPr>
        <w:rPr>
          <w:rFonts w:hint="eastAsia" w:ascii="Times New Roman" w:hAnsi="宋体" w:eastAsia="宋体" w:cs="宋体"/>
          <w:b/>
          <w:sz w:val="21"/>
          <w:szCs w:val="21"/>
          <w:highlight w:val="none"/>
        </w:rPr>
      </w:pPr>
    </w:p>
    <w:p w14:paraId="5D9D0D29">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kern w:val="0"/>
          <w:sz w:val="21"/>
          <w:szCs w:val="21"/>
          <w:highlight w:val="none"/>
          <w:lang w:val="en-US" w:eastAsia="zh-CN" w:bidi="ar-SA"/>
        </w:rPr>
      </w:pPr>
    </w:p>
    <w:p w14:paraId="1AF03AD1">
      <w:pPr>
        <w:spacing w:after="480" w:line="360" w:lineRule="auto"/>
        <w:ind w:firstLine="3360" w:firstLineChars="16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（公章）</w:t>
      </w:r>
    </w:p>
    <w:p w14:paraId="30BD200F">
      <w:pPr>
        <w:spacing w:before="480" w:line="360" w:lineRule="auto"/>
        <w:ind w:firstLine="3360" w:firstLineChars="1600"/>
        <w:jc w:val="left"/>
        <w:rPr>
          <w:rFonts w:hint="eastAsia" w:ascii="宋体" w:hAnsi="宋体" w:eastAsia="宋体" w:cs="宋体"/>
          <w:color w:val="000000"/>
          <w:sz w:val="21"/>
          <w:szCs w:val="21"/>
          <w:highlight w:val="none"/>
          <w:u w:val="single"/>
        </w:rPr>
      </w:pPr>
      <w:r>
        <w:rPr>
          <w:rFonts w:hint="eastAsia" w:ascii="宋体" w:hAnsi="宋体" w:cs="宋体"/>
          <w:sz w:val="21"/>
          <w:szCs w:val="21"/>
          <w:highlight w:val="none"/>
          <w:lang w:eastAsia="zh-CN"/>
        </w:rPr>
        <w:t>法定代表人</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eastAsia="zh-CN"/>
        </w:rPr>
        <w:t>委托代理人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eastAsia="zh-CN"/>
        </w:rPr>
        <w:t>签字或盖章</w:t>
      </w:r>
      <w:r>
        <w:rPr>
          <w:rFonts w:hint="eastAsia" w:ascii="宋体" w:hAnsi="宋体" w:eastAsia="宋体" w:cs="宋体"/>
          <w:color w:val="000000"/>
          <w:kern w:val="0"/>
          <w:sz w:val="21"/>
          <w:szCs w:val="21"/>
          <w:highlight w:val="none"/>
        </w:rPr>
        <w:t>)</w:t>
      </w:r>
    </w:p>
    <w:p w14:paraId="146E7983">
      <w:pPr>
        <w:spacing w:before="480" w:line="360" w:lineRule="auto"/>
        <w:ind w:firstLine="3360" w:firstLineChars="1600"/>
        <w:jc w:val="left"/>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572507C9">
      <w:pPr>
        <w:pStyle w:val="67"/>
        <w:pageBreakBefore w:val="0"/>
        <w:overflowPunct/>
        <w:bidi w:val="0"/>
        <w:spacing w:line="520" w:lineRule="exact"/>
        <w:ind w:left="0" w:leftChars="0" w:firstLine="0" w:firstLineChars="0"/>
        <w:rPr>
          <w:rFonts w:hint="eastAsia" w:ascii="宋体" w:hAnsi="宋体" w:eastAsia="宋体" w:cs="宋体"/>
          <w:sz w:val="22"/>
          <w:szCs w:val="22"/>
          <w:highlight w:val="none"/>
        </w:rPr>
      </w:pPr>
      <w:r>
        <w:rPr>
          <w:rFonts w:hint="eastAsia" w:ascii="Times New Roman" w:hAnsi="宋体" w:eastAsia="宋体" w:cs="宋体"/>
          <w:b/>
          <w:sz w:val="24"/>
          <w:szCs w:val="24"/>
          <w:highlight w:val="none"/>
        </w:rPr>
        <w:br w:type="page"/>
      </w:r>
    </w:p>
    <w:p w14:paraId="544E3912">
      <w:pPr>
        <w:pStyle w:val="6"/>
        <w:keepNext/>
        <w:keepLines/>
        <w:pageBreakBefore w:val="0"/>
        <w:widowControl w:val="0"/>
        <w:kinsoku/>
        <w:wordWrap/>
        <w:overflowPunct/>
        <w:topLinePunct w:val="0"/>
        <w:autoSpaceDE/>
        <w:autoSpaceDN/>
        <w:bidi w:val="0"/>
        <w:adjustRightInd w:val="0"/>
        <w:snapToGrid w:val="0"/>
        <w:spacing w:before="0" w:beforeLines="0" w:beforeAutospacing="0" w:after="0" w:afterLines="0" w:afterAutospacing="0" w:line="360" w:lineRule="auto"/>
        <w:ind w:left="0" w:leftChars="0" w:rightChars="0" w:firstLine="0" w:firstLineChars="0"/>
        <w:jc w:val="both"/>
        <w:textAlignment w:val="auto"/>
        <w:outlineLvl w:val="1"/>
        <w:rPr>
          <w:rFonts w:hint="eastAsia" w:ascii="宋体" w:hAnsi="宋体" w:eastAsia="宋体" w:cs="宋体"/>
          <w:b/>
          <w:bCs w:val="0"/>
          <w:kern w:val="2"/>
          <w:sz w:val="22"/>
          <w:szCs w:val="22"/>
          <w:highlight w:val="none"/>
          <w:lang w:val="en-US" w:eastAsia="zh-CN" w:bidi="ar-SA"/>
        </w:rPr>
      </w:pPr>
      <w:r>
        <w:rPr>
          <w:rFonts w:hint="eastAsia" w:ascii="宋体" w:hAnsi="宋体" w:eastAsia="宋体" w:cs="宋体"/>
          <w:b/>
          <w:bCs w:val="0"/>
          <w:kern w:val="2"/>
          <w:sz w:val="22"/>
          <w:szCs w:val="22"/>
          <w:highlight w:val="none"/>
          <w:lang w:val="en-US" w:eastAsia="zh-CN" w:bidi="ar-SA"/>
        </w:rPr>
        <w:t>附件五：</w:t>
      </w:r>
    </w:p>
    <w:p w14:paraId="6AB9A6F6">
      <w:pPr>
        <w:tabs>
          <w:tab w:val="left" w:pos="210"/>
        </w:tabs>
        <w:spacing w:line="360" w:lineRule="auto"/>
        <w:jc w:val="center"/>
        <w:rPr>
          <w:rFonts w:hint="eastAsia" w:ascii="宋体" w:hAnsi="宋体" w:eastAsia="宋体" w:cs="宋体"/>
          <w:b/>
          <w:sz w:val="22"/>
          <w:szCs w:val="22"/>
          <w:highlight w:val="none"/>
          <w:lang w:val="zh-CN"/>
        </w:rPr>
      </w:pPr>
      <w:r>
        <w:rPr>
          <w:rFonts w:hint="eastAsia" w:ascii="宋体" w:hAnsi="宋体" w:eastAsia="宋体" w:cs="宋体"/>
          <w:b/>
          <w:sz w:val="22"/>
          <w:szCs w:val="22"/>
          <w:highlight w:val="none"/>
          <w:lang w:val="en-US" w:eastAsia="zh-CN"/>
        </w:rPr>
        <w:t>非联合体</w:t>
      </w:r>
      <w:r>
        <w:rPr>
          <w:rFonts w:hint="eastAsia" w:ascii="宋体" w:hAnsi="宋体" w:cs="宋体"/>
          <w:b/>
          <w:sz w:val="22"/>
          <w:szCs w:val="22"/>
          <w:highlight w:val="none"/>
          <w:lang w:val="en-US" w:eastAsia="zh-CN"/>
        </w:rPr>
        <w:t>谈判</w:t>
      </w:r>
      <w:r>
        <w:rPr>
          <w:rFonts w:hint="eastAsia" w:ascii="宋体" w:hAnsi="宋体" w:eastAsia="宋体" w:cs="宋体"/>
          <w:b/>
          <w:sz w:val="22"/>
          <w:szCs w:val="22"/>
          <w:highlight w:val="none"/>
          <w:lang w:val="en-US" w:eastAsia="zh-CN"/>
        </w:rPr>
        <w:t>声明</w:t>
      </w:r>
    </w:p>
    <w:p w14:paraId="2DD1C821">
      <w:pPr>
        <w:pStyle w:val="26"/>
        <w:spacing w:line="360" w:lineRule="auto"/>
        <w:jc w:val="left"/>
        <w:rPr>
          <w:rFonts w:hint="eastAsia" w:ascii="宋体" w:hAnsi="宋体" w:eastAsia="宋体" w:cs="宋体"/>
          <w:i/>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i/>
          <w:color w:val="auto"/>
          <w:sz w:val="21"/>
          <w:szCs w:val="21"/>
          <w:highlight w:val="none"/>
          <w:u w:val="single"/>
        </w:rPr>
        <w:t xml:space="preserve"> </w:t>
      </w:r>
      <w:r>
        <w:rPr>
          <w:rFonts w:hint="eastAsia" w:ascii="宋体" w:hAnsi="宋体" w:eastAsia="宋体" w:cs="宋体"/>
          <w:i/>
          <w:color w:val="auto"/>
          <w:sz w:val="21"/>
          <w:szCs w:val="21"/>
          <w:highlight w:val="none"/>
          <w:u w:val="single"/>
          <w:lang w:val="en-US" w:eastAsia="zh-CN"/>
        </w:rPr>
        <w:t xml:space="preserve">           </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人名称）</w:t>
      </w:r>
    </w:p>
    <w:p w14:paraId="6C9B3F7B">
      <w:pPr>
        <w:pStyle w:val="27"/>
        <w:spacing w:after="0" w:afterLines="0" w:afterAutospacing="0" w:line="360" w:lineRule="auto"/>
        <w:ind w:firstLine="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我公司保证本项目为非联合体</w:t>
      </w:r>
      <w:r>
        <w:rPr>
          <w:rFonts w:hint="eastAsia" w:cs="宋体"/>
          <w:color w:val="auto"/>
          <w:sz w:val="21"/>
          <w:szCs w:val="21"/>
          <w:highlight w:val="none"/>
          <w:lang w:eastAsia="zh-CN"/>
        </w:rPr>
        <w:t>谈判</w:t>
      </w:r>
      <w:r>
        <w:rPr>
          <w:rFonts w:hint="eastAsia" w:ascii="宋体" w:hAnsi="宋体" w:eastAsia="宋体" w:cs="宋体"/>
          <w:color w:val="auto"/>
          <w:sz w:val="21"/>
          <w:szCs w:val="21"/>
          <w:highlight w:val="none"/>
        </w:rPr>
        <w:t>。</w:t>
      </w:r>
    </w:p>
    <w:p w14:paraId="1A9E1ABF">
      <w:pPr>
        <w:pStyle w:val="27"/>
        <w:spacing w:after="0" w:afterLines="0" w:afterAutospacing="0" w:line="360" w:lineRule="auto"/>
        <w:ind w:firstLine="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我公司若违反上述保证，或本声明陈述与事实不符，经查实，我公司愿意接受公开通报，并承担由此带来的法律后果。</w:t>
      </w:r>
    </w:p>
    <w:p w14:paraId="2DCD37FE">
      <w:pPr>
        <w:pStyle w:val="27"/>
        <w:spacing w:after="450" w:afterLines="0" w:afterAutospacing="0"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特此声明！</w:t>
      </w:r>
    </w:p>
    <w:p w14:paraId="3D154B34">
      <w:pPr>
        <w:pStyle w:val="27"/>
        <w:spacing w:after="450" w:afterLines="0" w:afterAutospacing="0" w:line="360" w:lineRule="auto"/>
        <w:rPr>
          <w:rFonts w:hint="eastAsia" w:ascii="宋体" w:hAnsi="宋体" w:eastAsia="宋体" w:cs="宋体"/>
          <w:color w:val="auto"/>
          <w:sz w:val="21"/>
          <w:szCs w:val="21"/>
          <w:highlight w:val="none"/>
        </w:rPr>
      </w:pPr>
    </w:p>
    <w:p w14:paraId="2E9DB830">
      <w:pPr>
        <w:pageBreakBefore w:val="0"/>
        <w:widowControl/>
        <w:wordWrap/>
        <w:overflowPunct/>
        <w:topLinePunct w:val="0"/>
        <w:bidi w:val="0"/>
        <w:snapToGrid w:val="0"/>
        <w:spacing w:line="360" w:lineRule="auto"/>
        <w:ind w:right="560" w:firstLine="2730" w:firstLineChars="13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r>
        <w:rPr>
          <w:rFonts w:hint="eastAsia" w:ascii="宋体" w:hAnsi="宋体" w:eastAsia="宋体" w:cs="宋体"/>
          <w:color w:val="auto"/>
          <w:sz w:val="21"/>
          <w:szCs w:val="21"/>
          <w:highlight w:val="none"/>
          <w:lang w:eastAsia="zh-CN"/>
        </w:rPr>
        <w:t>公</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C703F5D">
      <w:pPr>
        <w:pageBreakBefore w:val="0"/>
        <w:widowControl/>
        <w:wordWrap/>
        <w:overflowPunct/>
        <w:topLinePunct w:val="0"/>
        <w:bidi w:val="0"/>
        <w:snapToGrid w:val="0"/>
        <w:spacing w:line="360" w:lineRule="auto"/>
        <w:ind w:firstLine="560"/>
        <w:jc w:val="left"/>
        <w:outlineLvl w:val="9"/>
        <w:rPr>
          <w:rFonts w:hint="eastAsia" w:ascii="宋体" w:hAnsi="宋体" w:eastAsia="宋体" w:cs="宋体"/>
          <w:color w:val="auto"/>
          <w:sz w:val="21"/>
          <w:szCs w:val="21"/>
          <w:highlight w:val="none"/>
        </w:rPr>
      </w:pPr>
    </w:p>
    <w:p w14:paraId="071BDA5A">
      <w:pPr>
        <w:pageBreakBefore w:val="0"/>
        <w:widowControl/>
        <w:wordWrap/>
        <w:overflowPunct/>
        <w:topLinePunct w:val="0"/>
        <w:bidi w:val="0"/>
        <w:snapToGrid w:val="0"/>
        <w:spacing w:line="360" w:lineRule="auto"/>
        <w:ind w:firstLine="2730" w:firstLineChars="13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47FFAA06">
      <w:pPr>
        <w:pageBreakBefore w:val="0"/>
        <w:widowControl/>
        <w:wordWrap/>
        <w:overflowPunct/>
        <w:topLinePunct w:val="0"/>
        <w:bidi w:val="0"/>
        <w:snapToGrid w:val="0"/>
        <w:spacing w:line="360" w:lineRule="auto"/>
        <w:ind w:firstLine="2730" w:firstLineChars="13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或委托代理人</w:t>
      </w:r>
      <w:r>
        <w:rPr>
          <w:rFonts w:hint="eastAsia" w:ascii="宋体" w:hAnsi="宋体" w:eastAsia="宋体" w:cs="宋体"/>
          <w:color w:val="auto"/>
          <w:sz w:val="21"/>
          <w:szCs w:val="21"/>
          <w:highlight w:val="none"/>
        </w:rPr>
        <w:t>（签字或</w:t>
      </w:r>
      <w:r>
        <w:rPr>
          <w:rFonts w:hint="eastAsia" w:ascii="宋体" w:hAnsi="宋体" w:eastAsia="宋体" w:cs="宋体"/>
          <w:color w:val="auto"/>
          <w:sz w:val="21"/>
          <w:szCs w:val="21"/>
          <w:highlight w:val="none"/>
          <w:lang w:eastAsia="zh-CN"/>
        </w:rPr>
        <w:t>盖</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D07A744">
      <w:pPr>
        <w:pageBreakBefore w:val="0"/>
        <w:widowControl/>
        <w:wordWrap/>
        <w:overflowPunct/>
        <w:topLinePunct w:val="0"/>
        <w:bidi w:val="0"/>
        <w:snapToGrid w:val="0"/>
        <w:spacing w:line="360" w:lineRule="auto"/>
        <w:ind w:firstLine="560"/>
        <w:jc w:val="left"/>
        <w:outlineLvl w:val="9"/>
        <w:rPr>
          <w:rFonts w:hint="eastAsia" w:ascii="宋体" w:hAnsi="宋体" w:eastAsia="宋体" w:cs="宋体"/>
          <w:color w:val="auto"/>
          <w:sz w:val="21"/>
          <w:szCs w:val="21"/>
          <w:highlight w:val="none"/>
        </w:rPr>
      </w:pPr>
    </w:p>
    <w:p w14:paraId="26892248">
      <w:pPr>
        <w:pageBreakBefore w:val="0"/>
        <w:widowControl/>
        <w:wordWrap/>
        <w:overflowPunct/>
        <w:topLinePunct w:val="0"/>
        <w:bidi w:val="0"/>
        <w:snapToGrid w:val="0"/>
        <w:spacing w:line="360" w:lineRule="auto"/>
        <w:ind w:firstLine="560"/>
        <w:jc w:val="left"/>
        <w:outlineLvl w:val="9"/>
        <w:rPr>
          <w:rFonts w:hint="eastAsia" w:ascii="宋体" w:hAnsi="宋体" w:cs="宋体"/>
          <w:color w:val="auto"/>
          <w:sz w:val="24"/>
          <w:szCs w:val="28"/>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r>
        <w:rPr>
          <w:rFonts w:hint="eastAsia" w:ascii="宋体" w:hAnsi="宋体" w:cs="宋体"/>
          <w:color w:val="auto"/>
          <w:sz w:val="24"/>
          <w:szCs w:val="28"/>
          <w:highlight w:val="none"/>
        </w:rPr>
        <w:t xml:space="preserve"> </w:t>
      </w:r>
    </w:p>
    <w:p w14:paraId="6DD808D3">
      <w:pPr>
        <w:pStyle w:val="67"/>
        <w:pageBreakBefore w:val="0"/>
        <w:overflowPunct/>
        <w:bidi w:val="0"/>
        <w:spacing w:line="520" w:lineRule="exact"/>
        <w:ind w:left="0" w:leftChars="0" w:firstLine="0" w:firstLineChars="0"/>
        <w:rPr>
          <w:rFonts w:hint="eastAsia" w:ascii="宋体" w:hAnsi="宋体" w:cs="宋体"/>
          <w:b/>
          <w:sz w:val="24"/>
          <w:szCs w:val="24"/>
          <w:highlight w:val="none"/>
        </w:rPr>
      </w:pPr>
      <w:r>
        <w:rPr>
          <w:rFonts w:hint="eastAsia" w:ascii="宋体" w:hAnsi="宋体" w:cs="宋体"/>
          <w:b/>
          <w:sz w:val="24"/>
          <w:szCs w:val="24"/>
          <w:highlight w:val="none"/>
        </w:rPr>
        <w:br w:type="page"/>
      </w:r>
      <w:bookmarkStart w:id="100" w:name="_Toc1342_WPSOffice_Level1"/>
      <w:bookmarkStart w:id="101" w:name="_Toc16809_WPSOffice_Level1"/>
      <w:bookmarkStart w:id="102" w:name="_Toc4157"/>
      <w:bookmarkStart w:id="103" w:name="_Toc14429"/>
      <w:bookmarkStart w:id="104" w:name="_Toc42_WPSOffice_Level1"/>
      <w:bookmarkStart w:id="105" w:name="_Toc11013"/>
    </w:p>
    <w:p w14:paraId="404B136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0" w:firstLineChars="0"/>
        <w:jc w:val="center"/>
        <w:textAlignment w:val="auto"/>
        <w:outlineLvl w:val="1"/>
        <w:rPr>
          <w:rFonts w:hint="eastAsia" w:ascii="宋体" w:hAnsi="宋体" w:eastAsia="宋体" w:cs="宋体"/>
          <w:b/>
          <w:color w:val="auto"/>
          <w:sz w:val="24"/>
          <w:szCs w:val="24"/>
          <w:highlight w:val="none"/>
        </w:rPr>
      </w:pPr>
      <w:bookmarkStart w:id="106" w:name="_Toc10765"/>
      <w:bookmarkStart w:id="107" w:name="_Toc3609"/>
      <w:r>
        <w:rPr>
          <w:rFonts w:hint="eastAsia" w:ascii="宋体" w:hAnsi="宋体" w:cs="宋体"/>
          <w:b/>
          <w:bCs w:val="0"/>
          <w:color w:val="auto"/>
          <w:sz w:val="24"/>
          <w:szCs w:val="24"/>
          <w:highlight w:val="none"/>
          <w:lang w:eastAsia="zh-CN"/>
        </w:rPr>
        <w:t>四</w:t>
      </w:r>
      <w:r>
        <w:rPr>
          <w:rFonts w:hint="eastAsia" w:ascii="宋体" w:hAnsi="宋体" w:eastAsia="宋体" w:cs="宋体"/>
          <w:b/>
          <w:bCs w:val="0"/>
          <w:color w:val="auto"/>
          <w:sz w:val="24"/>
          <w:szCs w:val="24"/>
          <w:highlight w:val="none"/>
          <w:lang w:eastAsia="zh-CN"/>
        </w:rPr>
        <w:t>、谈判保证金</w:t>
      </w:r>
      <w:bookmarkEnd w:id="106"/>
      <w:bookmarkEnd w:id="107"/>
    </w:p>
    <w:p w14:paraId="2DF6E138">
      <w:pPr>
        <w:tabs>
          <w:tab w:val="left" w:pos="1620"/>
          <w:tab w:val="left" w:pos="1800"/>
        </w:tabs>
        <w:spacing w:line="360" w:lineRule="auto"/>
        <w:jc w:val="both"/>
        <w:rPr>
          <w:rFonts w:hint="eastAsia" w:ascii="宋体" w:hAnsi="宋体" w:cs="宋体"/>
          <w:bCs/>
          <w:spacing w:val="4"/>
          <w:sz w:val="21"/>
          <w:szCs w:val="21"/>
          <w:highlight w:val="none"/>
        </w:rPr>
      </w:pPr>
    </w:p>
    <w:p w14:paraId="0810F699">
      <w:pPr>
        <w:tabs>
          <w:tab w:val="left" w:pos="1620"/>
          <w:tab w:val="left" w:pos="1800"/>
        </w:tabs>
        <w:spacing w:line="360" w:lineRule="auto"/>
        <w:ind w:firstLine="436" w:firstLineChars="200"/>
        <w:jc w:val="left"/>
        <w:rPr>
          <w:rFonts w:hint="eastAsia" w:ascii="宋体" w:hAnsi="宋体" w:cs="宋体"/>
          <w:bCs/>
          <w:color w:val="auto"/>
          <w:spacing w:val="4"/>
          <w:sz w:val="21"/>
          <w:szCs w:val="21"/>
          <w:highlight w:val="none"/>
        </w:rPr>
      </w:pPr>
      <w:r>
        <w:rPr>
          <w:rFonts w:hint="eastAsia" w:ascii="宋体" w:hAnsi="宋体" w:cs="宋体"/>
          <w:bCs/>
          <w:color w:val="auto"/>
          <w:spacing w:val="4"/>
          <w:sz w:val="21"/>
          <w:szCs w:val="21"/>
          <w:highlight w:val="none"/>
        </w:rPr>
        <w:t>保证金转账凭证及</w:t>
      </w:r>
      <w:r>
        <w:rPr>
          <w:rStyle w:val="68"/>
          <w:rFonts w:hint="eastAsia" w:ascii="宋体" w:hAnsi="宋体" w:cs="宋体"/>
          <w:color w:val="auto"/>
          <w:sz w:val="21"/>
          <w:szCs w:val="21"/>
          <w:highlight w:val="none"/>
        </w:rPr>
        <w:t>基本存款账户开户许可证（或基本存款账户信息）</w:t>
      </w:r>
      <w:r>
        <w:rPr>
          <w:rFonts w:hint="eastAsia" w:ascii="宋体" w:hAnsi="宋体" w:cs="宋体"/>
          <w:bCs/>
          <w:color w:val="auto"/>
          <w:spacing w:val="4"/>
          <w:sz w:val="21"/>
          <w:szCs w:val="21"/>
          <w:highlight w:val="none"/>
        </w:rPr>
        <w:t>复印件（加盖单位公章）或担保机构出具的保函正本复印件（加盖单位公章）</w:t>
      </w:r>
      <w:r>
        <w:rPr>
          <w:rFonts w:hint="eastAsia" w:ascii="宋体" w:hAnsi="宋体" w:cs="宋体"/>
          <w:bCs/>
          <w:color w:val="auto"/>
          <w:spacing w:val="4"/>
          <w:sz w:val="21"/>
          <w:szCs w:val="21"/>
          <w:highlight w:val="none"/>
          <w:lang w:eastAsia="zh-CN"/>
        </w:rPr>
        <w:t>或银行</w:t>
      </w:r>
      <w:r>
        <w:rPr>
          <w:rFonts w:hint="eastAsia" w:ascii="宋体" w:hAnsi="宋体" w:cs="宋体"/>
          <w:bCs/>
          <w:color w:val="auto"/>
          <w:spacing w:val="4"/>
          <w:sz w:val="21"/>
          <w:szCs w:val="21"/>
          <w:highlight w:val="none"/>
        </w:rPr>
        <w:t>保函正本复印件（加盖单位公章）</w:t>
      </w:r>
      <w:r>
        <w:rPr>
          <w:rFonts w:hint="eastAsia" w:ascii="宋体" w:hAnsi="宋体" w:cs="宋体"/>
          <w:bCs/>
          <w:color w:val="auto"/>
          <w:spacing w:val="4"/>
          <w:sz w:val="21"/>
          <w:szCs w:val="21"/>
          <w:highlight w:val="none"/>
          <w:lang w:eastAsia="zh-CN"/>
        </w:rPr>
        <w:t>或</w:t>
      </w:r>
      <w:r>
        <w:rPr>
          <w:rFonts w:hint="eastAsia" w:ascii="宋体" w:hAnsi="宋体" w:cs="宋体"/>
          <w:bCs/>
          <w:color w:val="auto"/>
          <w:spacing w:val="4"/>
          <w:sz w:val="21"/>
          <w:szCs w:val="21"/>
          <w:highlight w:val="none"/>
          <w:lang w:val="en-US" w:eastAsia="zh-CN"/>
        </w:rPr>
        <w:t>交易保证金信用承诺书</w:t>
      </w:r>
    </w:p>
    <w:p w14:paraId="36B3A251">
      <w:pPr>
        <w:pStyle w:val="7"/>
        <w:pageBreakBefore w:val="0"/>
        <w:overflowPunct/>
        <w:bidi w:val="0"/>
        <w:spacing w:line="520" w:lineRule="exact"/>
        <w:jc w:val="left"/>
        <w:rPr>
          <w:rFonts w:hint="eastAsia" w:ascii="宋体" w:hAnsi="宋体" w:eastAsia="宋体" w:cs="宋体"/>
          <w:color w:val="auto"/>
          <w:highlight w:val="none"/>
        </w:rPr>
      </w:pPr>
    </w:p>
    <w:p w14:paraId="68DEBB37">
      <w:pPr>
        <w:pageBreakBefore w:val="0"/>
        <w:overflowPunct/>
        <w:bidi w:val="0"/>
        <w:spacing w:line="520" w:lineRule="exact"/>
        <w:jc w:val="center"/>
        <w:outlineLvl w:val="1"/>
        <w:rPr>
          <w:rFonts w:hint="eastAsia" w:ascii="宋体" w:hAnsi="宋体" w:eastAsia="宋体" w:cs="宋体"/>
          <w:b/>
          <w:sz w:val="22"/>
          <w:szCs w:val="28"/>
          <w:highlight w:val="none"/>
        </w:rPr>
      </w:pPr>
    </w:p>
    <w:p w14:paraId="51FDE75B">
      <w:pPr>
        <w:pageBreakBefore w:val="0"/>
        <w:overflowPunct/>
        <w:bidi w:val="0"/>
        <w:spacing w:line="520" w:lineRule="exact"/>
        <w:jc w:val="center"/>
        <w:outlineLvl w:val="1"/>
        <w:rPr>
          <w:rFonts w:hint="eastAsia" w:ascii="宋体" w:hAnsi="宋体" w:eastAsia="宋体" w:cs="宋体"/>
          <w:b/>
          <w:sz w:val="22"/>
          <w:szCs w:val="28"/>
          <w:highlight w:val="none"/>
        </w:rPr>
      </w:pPr>
    </w:p>
    <w:p w14:paraId="56C8EDCE">
      <w:pPr>
        <w:pageBreakBefore w:val="0"/>
        <w:overflowPunct/>
        <w:bidi w:val="0"/>
        <w:spacing w:line="520" w:lineRule="exact"/>
        <w:jc w:val="center"/>
        <w:outlineLvl w:val="1"/>
        <w:rPr>
          <w:rFonts w:hint="eastAsia" w:ascii="宋体" w:hAnsi="宋体" w:eastAsia="宋体" w:cs="宋体"/>
          <w:b/>
          <w:sz w:val="22"/>
          <w:szCs w:val="28"/>
          <w:highlight w:val="none"/>
        </w:rPr>
      </w:pPr>
    </w:p>
    <w:p w14:paraId="45FDCC91">
      <w:pPr>
        <w:pageBreakBefore w:val="0"/>
        <w:overflowPunct/>
        <w:bidi w:val="0"/>
        <w:spacing w:line="520" w:lineRule="exact"/>
        <w:jc w:val="center"/>
        <w:outlineLvl w:val="1"/>
        <w:rPr>
          <w:rFonts w:hint="eastAsia" w:ascii="宋体" w:hAnsi="宋体" w:eastAsia="宋体" w:cs="宋体"/>
          <w:b/>
          <w:sz w:val="22"/>
          <w:szCs w:val="28"/>
          <w:highlight w:val="none"/>
        </w:rPr>
      </w:pPr>
    </w:p>
    <w:p w14:paraId="3AF59513">
      <w:pPr>
        <w:pageBreakBefore w:val="0"/>
        <w:overflowPunct/>
        <w:bidi w:val="0"/>
        <w:spacing w:line="520" w:lineRule="exact"/>
        <w:jc w:val="center"/>
        <w:outlineLvl w:val="1"/>
        <w:rPr>
          <w:rFonts w:hint="eastAsia" w:ascii="宋体" w:hAnsi="宋体" w:eastAsia="宋体" w:cs="宋体"/>
          <w:b/>
          <w:sz w:val="22"/>
          <w:szCs w:val="28"/>
          <w:highlight w:val="none"/>
        </w:rPr>
      </w:pPr>
    </w:p>
    <w:p w14:paraId="729616A0">
      <w:pPr>
        <w:pageBreakBefore w:val="0"/>
        <w:overflowPunct/>
        <w:bidi w:val="0"/>
        <w:spacing w:line="520" w:lineRule="exact"/>
        <w:jc w:val="center"/>
        <w:outlineLvl w:val="1"/>
        <w:rPr>
          <w:rFonts w:hint="eastAsia" w:ascii="宋体" w:hAnsi="宋体" w:eastAsia="宋体" w:cs="宋体"/>
          <w:b/>
          <w:sz w:val="22"/>
          <w:szCs w:val="28"/>
          <w:highlight w:val="none"/>
        </w:rPr>
      </w:pPr>
    </w:p>
    <w:p w14:paraId="3D951783">
      <w:pPr>
        <w:pageBreakBefore w:val="0"/>
        <w:overflowPunct/>
        <w:bidi w:val="0"/>
        <w:spacing w:line="520" w:lineRule="exact"/>
        <w:jc w:val="center"/>
        <w:outlineLvl w:val="1"/>
        <w:rPr>
          <w:rFonts w:hint="eastAsia" w:ascii="宋体" w:hAnsi="宋体" w:eastAsia="宋体" w:cs="宋体"/>
          <w:b/>
          <w:sz w:val="22"/>
          <w:szCs w:val="28"/>
          <w:highlight w:val="none"/>
        </w:rPr>
      </w:pPr>
    </w:p>
    <w:p w14:paraId="6FB64297">
      <w:pPr>
        <w:pageBreakBefore w:val="0"/>
        <w:overflowPunct/>
        <w:bidi w:val="0"/>
        <w:spacing w:line="520" w:lineRule="exact"/>
        <w:jc w:val="center"/>
        <w:outlineLvl w:val="1"/>
        <w:rPr>
          <w:rFonts w:hint="eastAsia" w:ascii="宋体" w:hAnsi="宋体" w:eastAsia="宋体" w:cs="宋体"/>
          <w:b/>
          <w:sz w:val="22"/>
          <w:szCs w:val="28"/>
          <w:highlight w:val="none"/>
        </w:rPr>
      </w:pPr>
    </w:p>
    <w:p w14:paraId="02FD26EA">
      <w:pPr>
        <w:pageBreakBefore w:val="0"/>
        <w:overflowPunct/>
        <w:bidi w:val="0"/>
        <w:spacing w:line="520" w:lineRule="exact"/>
        <w:jc w:val="center"/>
        <w:outlineLvl w:val="1"/>
        <w:rPr>
          <w:rFonts w:hint="eastAsia" w:ascii="宋体" w:hAnsi="宋体" w:eastAsia="宋体" w:cs="宋体"/>
          <w:b/>
          <w:sz w:val="22"/>
          <w:szCs w:val="28"/>
          <w:highlight w:val="none"/>
        </w:rPr>
      </w:pPr>
    </w:p>
    <w:p w14:paraId="1BE2A2A0">
      <w:pPr>
        <w:pageBreakBefore w:val="0"/>
        <w:overflowPunct/>
        <w:bidi w:val="0"/>
        <w:spacing w:line="520" w:lineRule="exact"/>
        <w:jc w:val="center"/>
        <w:outlineLvl w:val="1"/>
        <w:rPr>
          <w:rFonts w:hint="eastAsia" w:ascii="宋体" w:hAnsi="宋体" w:eastAsia="宋体" w:cs="宋体"/>
          <w:b/>
          <w:sz w:val="22"/>
          <w:szCs w:val="28"/>
          <w:highlight w:val="none"/>
        </w:rPr>
      </w:pPr>
    </w:p>
    <w:p w14:paraId="1043CEB7">
      <w:pPr>
        <w:pageBreakBefore w:val="0"/>
        <w:overflowPunct/>
        <w:bidi w:val="0"/>
        <w:spacing w:line="520" w:lineRule="exact"/>
        <w:jc w:val="center"/>
        <w:outlineLvl w:val="1"/>
        <w:rPr>
          <w:rFonts w:hint="eastAsia" w:ascii="宋体" w:hAnsi="宋体" w:eastAsia="宋体" w:cs="宋体"/>
          <w:b/>
          <w:sz w:val="22"/>
          <w:szCs w:val="28"/>
          <w:highlight w:val="none"/>
        </w:rPr>
      </w:pPr>
    </w:p>
    <w:p w14:paraId="4A50896E">
      <w:pPr>
        <w:pageBreakBefore w:val="0"/>
        <w:overflowPunct/>
        <w:bidi w:val="0"/>
        <w:spacing w:line="520" w:lineRule="exact"/>
        <w:jc w:val="center"/>
        <w:outlineLvl w:val="1"/>
        <w:rPr>
          <w:rFonts w:hint="eastAsia" w:ascii="宋体" w:hAnsi="宋体" w:eastAsia="宋体" w:cs="宋体"/>
          <w:b/>
          <w:sz w:val="22"/>
          <w:szCs w:val="28"/>
          <w:highlight w:val="none"/>
        </w:rPr>
      </w:pPr>
    </w:p>
    <w:p w14:paraId="17467D85">
      <w:pPr>
        <w:pageBreakBefore w:val="0"/>
        <w:overflowPunct/>
        <w:bidi w:val="0"/>
        <w:spacing w:line="520" w:lineRule="exact"/>
        <w:jc w:val="center"/>
        <w:outlineLvl w:val="1"/>
        <w:rPr>
          <w:rFonts w:hint="eastAsia" w:ascii="宋体" w:hAnsi="宋体" w:eastAsia="宋体" w:cs="宋体"/>
          <w:b/>
          <w:sz w:val="22"/>
          <w:szCs w:val="28"/>
          <w:highlight w:val="none"/>
        </w:rPr>
      </w:pPr>
    </w:p>
    <w:p w14:paraId="5F91B1F1">
      <w:pPr>
        <w:pageBreakBefore w:val="0"/>
        <w:overflowPunct/>
        <w:bidi w:val="0"/>
        <w:spacing w:line="520" w:lineRule="exact"/>
        <w:jc w:val="center"/>
        <w:outlineLvl w:val="1"/>
        <w:rPr>
          <w:rFonts w:hint="eastAsia" w:ascii="宋体" w:hAnsi="宋体" w:eastAsia="宋体" w:cs="宋体"/>
          <w:b/>
          <w:sz w:val="22"/>
          <w:szCs w:val="28"/>
          <w:highlight w:val="none"/>
        </w:rPr>
      </w:pPr>
    </w:p>
    <w:p w14:paraId="079E47A1">
      <w:pPr>
        <w:pageBreakBefore w:val="0"/>
        <w:overflowPunct/>
        <w:bidi w:val="0"/>
        <w:spacing w:line="520" w:lineRule="exact"/>
        <w:jc w:val="center"/>
        <w:outlineLvl w:val="1"/>
        <w:rPr>
          <w:rFonts w:hint="eastAsia" w:ascii="宋体" w:hAnsi="宋体" w:eastAsia="宋体" w:cs="宋体"/>
          <w:b/>
          <w:sz w:val="22"/>
          <w:szCs w:val="28"/>
          <w:highlight w:val="none"/>
        </w:rPr>
      </w:pPr>
    </w:p>
    <w:p w14:paraId="39D520EB">
      <w:pPr>
        <w:pageBreakBefore w:val="0"/>
        <w:overflowPunct/>
        <w:bidi w:val="0"/>
        <w:spacing w:line="520" w:lineRule="exact"/>
        <w:jc w:val="center"/>
        <w:outlineLvl w:val="1"/>
        <w:rPr>
          <w:rFonts w:hint="eastAsia" w:ascii="宋体" w:hAnsi="宋体" w:eastAsia="宋体" w:cs="宋体"/>
          <w:b/>
          <w:sz w:val="22"/>
          <w:szCs w:val="28"/>
          <w:highlight w:val="none"/>
        </w:rPr>
      </w:pPr>
    </w:p>
    <w:p w14:paraId="45F070E1">
      <w:pPr>
        <w:pageBreakBefore w:val="0"/>
        <w:overflowPunct/>
        <w:bidi w:val="0"/>
        <w:spacing w:line="520" w:lineRule="exact"/>
        <w:jc w:val="center"/>
        <w:outlineLvl w:val="1"/>
        <w:rPr>
          <w:rFonts w:hint="eastAsia" w:ascii="宋体" w:hAnsi="宋体" w:eastAsia="宋体" w:cs="宋体"/>
          <w:b/>
          <w:sz w:val="22"/>
          <w:szCs w:val="28"/>
          <w:highlight w:val="none"/>
        </w:rPr>
      </w:pPr>
    </w:p>
    <w:p w14:paraId="719F76BF">
      <w:pPr>
        <w:pageBreakBefore w:val="0"/>
        <w:overflowPunct/>
        <w:bidi w:val="0"/>
        <w:spacing w:line="520" w:lineRule="exact"/>
        <w:jc w:val="center"/>
        <w:outlineLvl w:val="1"/>
        <w:rPr>
          <w:rFonts w:hint="eastAsia" w:ascii="宋体" w:hAnsi="宋体" w:eastAsia="宋体" w:cs="宋体"/>
          <w:b/>
          <w:sz w:val="22"/>
          <w:szCs w:val="28"/>
          <w:highlight w:val="none"/>
        </w:rPr>
      </w:pPr>
    </w:p>
    <w:p w14:paraId="0293EB0B">
      <w:pPr>
        <w:pStyle w:val="2"/>
        <w:pageBreakBefore w:val="0"/>
        <w:overflowPunct/>
        <w:bidi w:val="0"/>
        <w:spacing w:line="520" w:lineRule="exact"/>
        <w:rPr>
          <w:rFonts w:hint="eastAsia" w:ascii="宋体" w:hAnsi="宋体" w:eastAsia="宋体" w:cs="宋体"/>
          <w:b/>
          <w:sz w:val="22"/>
          <w:szCs w:val="28"/>
          <w:highlight w:val="none"/>
        </w:rPr>
      </w:pPr>
    </w:p>
    <w:p w14:paraId="5B0F3901">
      <w:pPr>
        <w:rPr>
          <w:rFonts w:hint="eastAsia"/>
          <w:highlight w:val="none"/>
        </w:rPr>
      </w:pPr>
    </w:p>
    <w:bookmarkEnd w:id="100"/>
    <w:bookmarkEnd w:id="101"/>
    <w:bookmarkEnd w:id="102"/>
    <w:bookmarkEnd w:id="103"/>
    <w:bookmarkEnd w:id="104"/>
    <w:bookmarkEnd w:id="105"/>
    <w:p w14:paraId="09151D7B">
      <w:pPr>
        <w:pageBreakBefore w:val="0"/>
        <w:overflowPunct/>
        <w:bidi w:val="0"/>
        <w:spacing w:line="520" w:lineRule="exact"/>
        <w:jc w:val="center"/>
        <w:outlineLvl w:val="1"/>
        <w:rPr>
          <w:rFonts w:hint="eastAsia" w:ascii="宋体" w:hAnsi="宋体" w:cs="宋体"/>
          <w:b/>
          <w:sz w:val="24"/>
          <w:szCs w:val="24"/>
          <w:highlight w:val="none"/>
          <w:lang w:eastAsia="zh-CN"/>
        </w:rPr>
      </w:pPr>
      <w:bookmarkStart w:id="108" w:name="_Toc31384"/>
      <w:bookmarkStart w:id="109" w:name="_Toc25010"/>
      <w:bookmarkStart w:id="110" w:name="_Toc32330"/>
      <w:bookmarkStart w:id="111" w:name="_Toc31436"/>
      <w:bookmarkStart w:id="112" w:name="_Toc23674_WPSOffice_Level1"/>
      <w:bookmarkStart w:id="113" w:name="_Toc21703"/>
      <w:bookmarkStart w:id="114" w:name="_Toc27742_WPSOffice_Level1"/>
      <w:bookmarkStart w:id="115" w:name="_Toc29048"/>
      <w:bookmarkStart w:id="116" w:name="_Toc25920_WPSOffice_Level1"/>
      <w:bookmarkStart w:id="117" w:name="_Toc12336_WPSOffice_Level1"/>
      <w:r>
        <w:rPr>
          <w:rFonts w:hint="eastAsia" w:ascii="宋体" w:hAnsi="宋体" w:cs="宋体"/>
          <w:b/>
          <w:sz w:val="24"/>
          <w:szCs w:val="24"/>
          <w:highlight w:val="none"/>
          <w:lang w:eastAsia="zh-CN"/>
        </w:rPr>
        <w:t>五、</w:t>
      </w:r>
      <w:r>
        <w:rPr>
          <w:rFonts w:hint="eastAsia" w:ascii="宋体" w:hAnsi="宋体" w:cs="宋体"/>
          <w:b/>
          <w:sz w:val="24"/>
          <w:szCs w:val="24"/>
          <w:highlight w:val="none"/>
        </w:rPr>
        <w:t>响应偏离表</w:t>
      </w:r>
    </w:p>
    <w:p w14:paraId="42418491">
      <w:pPr>
        <w:pageBreakBefore w:val="0"/>
        <w:overflowPunct/>
        <w:bidi w:val="0"/>
        <w:spacing w:line="520" w:lineRule="exact"/>
        <w:jc w:val="center"/>
        <w:outlineLvl w:val="1"/>
        <w:rPr>
          <w:rFonts w:ascii="宋体" w:hAnsi="宋体" w:cs="宋体"/>
          <w:b/>
          <w:sz w:val="24"/>
          <w:szCs w:val="24"/>
          <w:highlight w:val="none"/>
        </w:rPr>
      </w:pPr>
      <w:r>
        <w:rPr>
          <w:rFonts w:hint="eastAsia" w:ascii="宋体" w:hAnsi="宋体" w:cs="宋体"/>
          <w:b/>
          <w:sz w:val="24"/>
          <w:szCs w:val="24"/>
          <w:highlight w:val="none"/>
          <w:lang w:eastAsia="zh-CN"/>
        </w:rPr>
        <w:t>（一）</w:t>
      </w:r>
      <w:r>
        <w:rPr>
          <w:rFonts w:hint="eastAsia" w:ascii="宋体" w:hAnsi="宋体" w:cs="宋体"/>
          <w:b/>
          <w:sz w:val="24"/>
          <w:szCs w:val="24"/>
          <w:highlight w:val="none"/>
        </w:rPr>
        <w:t>技术响应偏离表</w:t>
      </w:r>
      <w:bookmarkEnd w:id="108"/>
      <w:bookmarkEnd w:id="109"/>
    </w:p>
    <w:p w14:paraId="6183F171">
      <w:pPr>
        <w:pageBreakBefore w:val="0"/>
        <w:overflowPunct/>
        <w:bidi w:val="0"/>
        <w:spacing w:line="520" w:lineRule="exact"/>
        <w:ind w:firstLine="480" w:firstLineChars="200"/>
        <w:jc w:val="left"/>
        <w:rPr>
          <w:rFonts w:ascii="宋体" w:hAnsi="宋体" w:cs="宋体"/>
          <w:bCs/>
          <w:sz w:val="24"/>
          <w:szCs w:val="24"/>
          <w:highlight w:val="none"/>
        </w:rPr>
      </w:pPr>
      <w:r>
        <w:rPr>
          <w:rFonts w:hint="eastAsia" w:ascii="宋体" w:hAnsi="宋体" w:cs="宋体"/>
          <w:bCs/>
          <w:sz w:val="24"/>
          <w:szCs w:val="24"/>
          <w:highlight w:val="none"/>
        </w:rPr>
        <w:t>项目名称：</w:t>
      </w:r>
    </w:p>
    <w:p w14:paraId="10FED39B">
      <w:pPr>
        <w:pageBreakBefore w:val="0"/>
        <w:overflowPunct/>
        <w:bidi w:val="0"/>
        <w:spacing w:afterLines="50" w:line="520" w:lineRule="exact"/>
        <w:ind w:firstLine="480" w:firstLineChars="200"/>
        <w:jc w:val="left"/>
        <w:rPr>
          <w:rFonts w:hint="eastAsia" w:ascii="宋体" w:hAnsi="宋体" w:eastAsia="宋体" w:cs="宋体"/>
          <w:b/>
          <w:sz w:val="28"/>
          <w:szCs w:val="28"/>
          <w:highlight w:val="none"/>
          <w:u w:val="single"/>
          <w:lang w:eastAsia="zh-CN"/>
        </w:rPr>
      </w:pPr>
      <w:r>
        <w:rPr>
          <w:rFonts w:hint="eastAsia" w:ascii="宋体" w:hAnsi="宋体" w:cs="宋体"/>
          <w:sz w:val="24"/>
          <w:szCs w:val="24"/>
          <w:highlight w:val="none"/>
        </w:rPr>
        <w:t>项目编号：</w:t>
      </w:r>
    </w:p>
    <w:tbl>
      <w:tblPr>
        <w:tblStyle w:val="31"/>
        <w:tblW w:w="867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800"/>
        <w:gridCol w:w="2582"/>
        <w:gridCol w:w="1342"/>
        <w:gridCol w:w="1320"/>
      </w:tblGrid>
      <w:tr w14:paraId="4E66C4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630" w:type="dxa"/>
            <w:tcBorders>
              <w:tl2br w:val="nil"/>
              <w:tr2bl w:val="nil"/>
            </w:tcBorders>
            <w:tcMar>
              <w:top w:w="57" w:type="dxa"/>
              <w:left w:w="28" w:type="dxa"/>
              <w:bottom w:w="57" w:type="dxa"/>
              <w:right w:w="28" w:type="dxa"/>
            </w:tcMar>
            <w:vAlign w:val="center"/>
          </w:tcPr>
          <w:p w14:paraId="57D98302">
            <w:pPr>
              <w:pageBreakBefore w:val="0"/>
              <w:overflowPunct/>
              <w:bidi w:val="0"/>
              <w:spacing w:line="520" w:lineRule="exact"/>
              <w:jc w:val="center"/>
              <w:rPr>
                <w:rFonts w:ascii="宋体" w:hAnsi="宋体" w:cs="宋体"/>
                <w:sz w:val="28"/>
                <w:szCs w:val="28"/>
                <w:highlight w:val="none"/>
              </w:rPr>
            </w:pPr>
            <w:r>
              <w:rPr>
                <w:rFonts w:hint="eastAsia" w:ascii="宋体" w:hAnsi="宋体" w:cs="宋体"/>
                <w:sz w:val="24"/>
                <w:szCs w:val="24"/>
                <w:highlight w:val="none"/>
              </w:rPr>
              <w:t>序号</w:t>
            </w:r>
          </w:p>
        </w:tc>
        <w:tc>
          <w:tcPr>
            <w:tcW w:w="2800" w:type="dxa"/>
            <w:tcBorders>
              <w:tl2br w:val="nil"/>
              <w:tr2bl w:val="nil"/>
            </w:tcBorders>
            <w:tcMar>
              <w:top w:w="57" w:type="dxa"/>
              <w:left w:w="28" w:type="dxa"/>
              <w:bottom w:w="57" w:type="dxa"/>
              <w:right w:w="28" w:type="dxa"/>
            </w:tcMar>
            <w:vAlign w:val="center"/>
          </w:tcPr>
          <w:p w14:paraId="304DD157">
            <w:pPr>
              <w:pageBreakBefore w:val="0"/>
              <w:overflowPunct/>
              <w:bidi w:val="0"/>
              <w:spacing w:line="520" w:lineRule="exact"/>
              <w:jc w:val="center"/>
              <w:rPr>
                <w:rFonts w:ascii="宋体" w:hAnsi="宋体" w:cs="宋体"/>
                <w:sz w:val="24"/>
                <w:szCs w:val="24"/>
                <w:highlight w:val="none"/>
              </w:rPr>
            </w:pPr>
            <w:r>
              <w:rPr>
                <w:rFonts w:hint="eastAsia" w:ascii="宋体" w:hAnsi="宋体" w:cs="宋体"/>
                <w:sz w:val="24"/>
                <w:szCs w:val="24"/>
                <w:highlight w:val="none"/>
              </w:rPr>
              <w:t>竞争性</w:t>
            </w:r>
            <w:r>
              <w:rPr>
                <w:rFonts w:hint="eastAsia" w:ascii="宋体" w:hAnsi="宋体" w:cs="宋体"/>
                <w:sz w:val="24"/>
                <w:szCs w:val="24"/>
                <w:highlight w:val="none"/>
                <w:lang w:eastAsia="zh-CN"/>
              </w:rPr>
              <w:t>谈判</w:t>
            </w:r>
            <w:r>
              <w:rPr>
                <w:rFonts w:hint="eastAsia" w:ascii="宋体" w:hAnsi="宋体" w:cs="宋体"/>
                <w:sz w:val="24"/>
                <w:szCs w:val="24"/>
                <w:highlight w:val="none"/>
              </w:rPr>
              <w:t>文件</w:t>
            </w:r>
          </w:p>
          <w:p w14:paraId="707E19E3">
            <w:pPr>
              <w:pageBreakBefore w:val="0"/>
              <w:overflowPunct/>
              <w:bidi w:val="0"/>
              <w:spacing w:line="520" w:lineRule="exact"/>
              <w:jc w:val="center"/>
              <w:rPr>
                <w:rFonts w:ascii="宋体" w:hAnsi="宋体" w:cs="宋体"/>
                <w:sz w:val="28"/>
                <w:szCs w:val="28"/>
                <w:highlight w:val="none"/>
              </w:rPr>
            </w:pPr>
            <w:r>
              <w:rPr>
                <w:rFonts w:hint="eastAsia" w:ascii="宋体" w:hAnsi="宋体" w:cs="宋体"/>
                <w:kern w:val="0"/>
                <w:sz w:val="24"/>
                <w:highlight w:val="none"/>
              </w:rPr>
              <w:t>技术要求</w:t>
            </w:r>
          </w:p>
        </w:tc>
        <w:tc>
          <w:tcPr>
            <w:tcW w:w="2582" w:type="dxa"/>
            <w:tcBorders>
              <w:tl2br w:val="nil"/>
              <w:tr2bl w:val="nil"/>
            </w:tcBorders>
            <w:tcMar>
              <w:top w:w="57" w:type="dxa"/>
              <w:left w:w="28" w:type="dxa"/>
              <w:bottom w:w="57" w:type="dxa"/>
              <w:right w:w="28" w:type="dxa"/>
            </w:tcMar>
            <w:vAlign w:val="center"/>
          </w:tcPr>
          <w:p w14:paraId="37C9937E">
            <w:pPr>
              <w:pageBreakBefore w:val="0"/>
              <w:overflowPunct/>
              <w:bidi w:val="0"/>
              <w:spacing w:line="520" w:lineRule="exact"/>
              <w:jc w:val="center"/>
              <w:rPr>
                <w:rFonts w:hint="eastAsia" w:ascii="宋体" w:hAnsi="宋体" w:cs="宋体"/>
                <w:sz w:val="24"/>
                <w:szCs w:val="24"/>
                <w:highlight w:val="none"/>
              </w:rPr>
            </w:pPr>
            <w:r>
              <w:rPr>
                <w:rFonts w:hint="eastAsia" w:ascii="宋体" w:hAnsi="宋体" w:cs="宋体"/>
                <w:bCs/>
                <w:sz w:val="24"/>
                <w:szCs w:val="24"/>
                <w:highlight w:val="none"/>
              </w:rPr>
              <w:t>竞争性</w:t>
            </w:r>
            <w:r>
              <w:rPr>
                <w:rFonts w:hint="eastAsia" w:ascii="宋体" w:hAnsi="宋体" w:cs="宋体"/>
                <w:bCs/>
                <w:sz w:val="24"/>
                <w:szCs w:val="24"/>
                <w:highlight w:val="none"/>
                <w:lang w:eastAsia="zh-CN"/>
              </w:rPr>
              <w:t>谈判</w:t>
            </w:r>
            <w:r>
              <w:rPr>
                <w:rFonts w:hint="eastAsia" w:ascii="宋体" w:hAnsi="宋体" w:cs="宋体"/>
                <w:sz w:val="24"/>
                <w:szCs w:val="24"/>
                <w:highlight w:val="none"/>
              </w:rPr>
              <w:t>响应文件</w:t>
            </w:r>
          </w:p>
          <w:p w14:paraId="54A82290">
            <w:pPr>
              <w:pageBreakBefore w:val="0"/>
              <w:overflowPunct/>
              <w:bidi w:val="0"/>
              <w:spacing w:line="520" w:lineRule="exact"/>
              <w:jc w:val="center"/>
              <w:rPr>
                <w:rFonts w:ascii="宋体" w:hAnsi="宋体" w:cs="宋体"/>
                <w:sz w:val="24"/>
                <w:szCs w:val="24"/>
                <w:highlight w:val="none"/>
              </w:rPr>
            </w:pPr>
            <w:r>
              <w:rPr>
                <w:rFonts w:hint="eastAsia" w:ascii="宋体" w:hAnsi="宋体" w:cs="宋体"/>
                <w:kern w:val="0"/>
                <w:sz w:val="24"/>
                <w:highlight w:val="none"/>
              </w:rPr>
              <w:t>技术响应</w:t>
            </w:r>
          </w:p>
        </w:tc>
        <w:tc>
          <w:tcPr>
            <w:tcW w:w="1342" w:type="dxa"/>
            <w:tcBorders>
              <w:tl2br w:val="nil"/>
              <w:tr2bl w:val="nil"/>
            </w:tcBorders>
            <w:tcMar>
              <w:top w:w="57" w:type="dxa"/>
              <w:left w:w="28" w:type="dxa"/>
              <w:bottom w:w="57" w:type="dxa"/>
              <w:right w:w="28" w:type="dxa"/>
            </w:tcMar>
            <w:vAlign w:val="center"/>
          </w:tcPr>
          <w:p w14:paraId="2EE66499">
            <w:pPr>
              <w:pageBreakBefore w:val="0"/>
              <w:overflowPunct/>
              <w:bidi w:val="0"/>
              <w:spacing w:line="520" w:lineRule="exact"/>
              <w:jc w:val="center"/>
              <w:rPr>
                <w:rFonts w:ascii="宋体" w:hAnsi="宋体" w:cs="宋体"/>
                <w:sz w:val="24"/>
                <w:szCs w:val="24"/>
                <w:highlight w:val="none"/>
              </w:rPr>
            </w:pPr>
            <w:r>
              <w:rPr>
                <w:rFonts w:hint="eastAsia" w:ascii="宋体" w:hAnsi="宋体" w:cs="宋体"/>
                <w:sz w:val="24"/>
                <w:szCs w:val="24"/>
                <w:highlight w:val="none"/>
              </w:rPr>
              <w:t>偏离情况</w:t>
            </w:r>
          </w:p>
        </w:tc>
        <w:tc>
          <w:tcPr>
            <w:tcW w:w="1320" w:type="dxa"/>
            <w:tcBorders>
              <w:tl2br w:val="nil"/>
              <w:tr2bl w:val="nil"/>
            </w:tcBorders>
            <w:tcMar>
              <w:top w:w="57" w:type="dxa"/>
              <w:left w:w="28" w:type="dxa"/>
              <w:bottom w:w="57" w:type="dxa"/>
              <w:right w:w="28" w:type="dxa"/>
            </w:tcMar>
            <w:vAlign w:val="center"/>
          </w:tcPr>
          <w:p w14:paraId="459B941B">
            <w:pPr>
              <w:pageBreakBefore w:val="0"/>
              <w:overflowPunct/>
              <w:bidi w:val="0"/>
              <w:spacing w:line="520" w:lineRule="exact"/>
              <w:jc w:val="center"/>
              <w:rPr>
                <w:rFonts w:ascii="宋体" w:hAnsi="宋体" w:cs="宋体"/>
                <w:sz w:val="24"/>
                <w:szCs w:val="24"/>
                <w:highlight w:val="none"/>
              </w:rPr>
            </w:pPr>
            <w:r>
              <w:rPr>
                <w:rFonts w:hint="eastAsia" w:ascii="宋体" w:hAnsi="宋体" w:cs="宋体"/>
                <w:sz w:val="24"/>
                <w:szCs w:val="24"/>
                <w:highlight w:val="none"/>
              </w:rPr>
              <w:t>说 明</w:t>
            </w:r>
          </w:p>
        </w:tc>
      </w:tr>
      <w:tr w14:paraId="4C6D6A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30" w:type="dxa"/>
            <w:tcBorders>
              <w:tl2br w:val="nil"/>
              <w:tr2bl w:val="nil"/>
            </w:tcBorders>
            <w:tcMar>
              <w:top w:w="57" w:type="dxa"/>
              <w:left w:w="28" w:type="dxa"/>
              <w:bottom w:w="57" w:type="dxa"/>
              <w:right w:w="28" w:type="dxa"/>
            </w:tcMar>
            <w:vAlign w:val="center"/>
          </w:tcPr>
          <w:p w14:paraId="48928CEA">
            <w:pPr>
              <w:pageBreakBefore w:val="0"/>
              <w:overflowPunct/>
              <w:bidi w:val="0"/>
              <w:spacing w:line="520" w:lineRule="exact"/>
              <w:ind w:firstLine="198" w:firstLineChars="71"/>
              <w:jc w:val="center"/>
              <w:rPr>
                <w:rFonts w:ascii="宋体" w:hAnsi="宋体" w:cs="宋体"/>
                <w:sz w:val="28"/>
                <w:szCs w:val="28"/>
                <w:highlight w:val="none"/>
              </w:rPr>
            </w:pPr>
          </w:p>
        </w:tc>
        <w:tc>
          <w:tcPr>
            <w:tcW w:w="2800" w:type="dxa"/>
            <w:tcBorders>
              <w:tl2br w:val="nil"/>
              <w:tr2bl w:val="nil"/>
            </w:tcBorders>
            <w:tcMar>
              <w:top w:w="57" w:type="dxa"/>
              <w:left w:w="28" w:type="dxa"/>
              <w:bottom w:w="57" w:type="dxa"/>
              <w:right w:w="28" w:type="dxa"/>
            </w:tcMar>
            <w:vAlign w:val="center"/>
          </w:tcPr>
          <w:p w14:paraId="0BCFE013">
            <w:pPr>
              <w:pageBreakBefore w:val="0"/>
              <w:overflowPunct/>
              <w:bidi w:val="0"/>
              <w:spacing w:line="520" w:lineRule="exact"/>
              <w:ind w:firstLine="560" w:firstLineChars="200"/>
              <w:jc w:val="center"/>
              <w:rPr>
                <w:rFonts w:ascii="宋体" w:hAnsi="宋体" w:cs="宋体"/>
                <w:sz w:val="28"/>
                <w:szCs w:val="28"/>
                <w:highlight w:val="none"/>
              </w:rPr>
            </w:pPr>
          </w:p>
        </w:tc>
        <w:tc>
          <w:tcPr>
            <w:tcW w:w="2582" w:type="dxa"/>
            <w:tcBorders>
              <w:tl2br w:val="nil"/>
              <w:tr2bl w:val="nil"/>
            </w:tcBorders>
            <w:tcMar>
              <w:top w:w="57" w:type="dxa"/>
              <w:left w:w="28" w:type="dxa"/>
              <w:bottom w:w="57" w:type="dxa"/>
              <w:right w:w="28" w:type="dxa"/>
            </w:tcMar>
            <w:vAlign w:val="center"/>
          </w:tcPr>
          <w:p w14:paraId="214C5B24">
            <w:pPr>
              <w:pageBreakBefore w:val="0"/>
              <w:overflowPunct/>
              <w:bidi w:val="0"/>
              <w:spacing w:line="520" w:lineRule="exact"/>
              <w:ind w:firstLine="560" w:firstLineChars="200"/>
              <w:jc w:val="center"/>
              <w:rPr>
                <w:rFonts w:ascii="宋体" w:hAnsi="宋体" w:cs="宋体"/>
                <w:sz w:val="28"/>
                <w:szCs w:val="28"/>
                <w:highlight w:val="none"/>
              </w:rPr>
            </w:pPr>
          </w:p>
        </w:tc>
        <w:tc>
          <w:tcPr>
            <w:tcW w:w="1342" w:type="dxa"/>
            <w:tcBorders>
              <w:tl2br w:val="nil"/>
              <w:tr2bl w:val="nil"/>
            </w:tcBorders>
            <w:tcMar>
              <w:top w:w="57" w:type="dxa"/>
              <w:left w:w="28" w:type="dxa"/>
              <w:bottom w:w="57" w:type="dxa"/>
              <w:right w:w="28" w:type="dxa"/>
            </w:tcMar>
            <w:vAlign w:val="center"/>
          </w:tcPr>
          <w:p w14:paraId="732BD479">
            <w:pPr>
              <w:pageBreakBefore w:val="0"/>
              <w:overflowPunct/>
              <w:bidi w:val="0"/>
              <w:spacing w:line="520" w:lineRule="exact"/>
              <w:ind w:firstLine="560" w:firstLineChars="200"/>
              <w:jc w:val="center"/>
              <w:rPr>
                <w:rFonts w:ascii="宋体" w:hAnsi="宋体" w:cs="宋体"/>
                <w:sz w:val="28"/>
                <w:szCs w:val="28"/>
                <w:highlight w:val="none"/>
              </w:rPr>
            </w:pPr>
          </w:p>
        </w:tc>
        <w:tc>
          <w:tcPr>
            <w:tcW w:w="1320" w:type="dxa"/>
            <w:tcBorders>
              <w:tl2br w:val="nil"/>
              <w:tr2bl w:val="nil"/>
            </w:tcBorders>
            <w:tcMar>
              <w:top w:w="57" w:type="dxa"/>
              <w:left w:w="28" w:type="dxa"/>
              <w:bottom w:w="57" w:type="dxa"/>
              <w:right w:w="28" w:type="dxa"/>
            </w:tcMar>
            <w:vAlign w:val="center"/>
          </w:tcPr>
          <w:p w14:paraId="1D1E0851">
            <w:pPr>
              <w:pageBreakBefore w:val="0"/>
              <w:overflowPunct/>
              <w:bidi w:val="0"/>
              <w:spacing w:line="520" w:lineRule="exact"/>
              <w:ind w:firstLine="560" w:firstLineChars="200"/>
              <w:jc w:val="center"/>
              <w:rPr>
                <w:rFonts w:ascii="宋体" w:hAnsi="宋体" w:cs="宋体"/>
                <w:sz w:val="28"/>
                <w:szCs w:val="28"/>
                <w:highlight w:val="none"/>
              </w:rPr>
            </w:pPr>
          </w:p>
        </w:tc>
      </w:tr>
      <w:tr w14:paraId="77EE0A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0" w:type="dxa"/>
            <w:tcBorders>
              <w:tl2br w:val="nil"/>
              <w:tr2bl w:val="nil"/>
            </w:tcBorders>
            <w:tcMar>
              <w:top w:w="57" w:type="dxa"/>
              <w:left w:w="28" w:type="dxa"/>
              <w:bottom w:w="57" w:type="dxa"/>
              <w:right w:w="28" w:type="dxa"/>
            </w:tcMar>
            <w:vAlign w:val="center"/>
          </w:tcPr>
          <w:p w14:paraId="2C60E9F4">
            <w:pPr>
              <w:pageBreakBefore w:val="0"/>
              <w:overflowPunct/>
              <w:bidi w:val="0"/>
              <w:spacing w:line="520" w:lineRule="exact"/>
              <w:ind w:firstLine="198" w:firstLineChars="71"/>
              <w:jc w:val="center"/>
              <w:rPr>
                <w:rFonts w:ascii="宋体" w:hAnsi="宋体" w:cs="宋体"/>
                <w:sz w:val="28"/>
                <w:szCs w:val="28"/>
                <w:highlight w:val="none"/>
              </w:rPr>
            </w:pPr>
          </w:p>
        </w:tc>
        <w:tc>
          <w:tcPr>
            <w:tcW w:w="2800" w:type="dxa"/>
            <w:tcBorders>
              <w:tl2br w:val="nil"/>
              <w:tr2bl w:val="nil"/>
            </w:tcBorders>
            <w:tcMar>
              <w:top w:w="57" w:type="dxa"/>
              <w:left w:w="28" w:type="dxa"/>
              <w:bottom w:w="57" w:type="dxa"/>
              <w:right w:w="28" w:type="dxa"/>
            </w:tcMar>
            <w:vAlign w:val="center"/>
          </w:tcPr>
          <w:p w14:paraId="0E71E2AB">
            <w:pPr>
              <w:pageBreakBefore w:val="0"/>
              <w:overflowPunct/>
              <w:bidi w:val="0"/>
              <w:spacing w:line="520" w:lineRule="exact"/>
              <w:ind w:firstLine="560" w:firstLineChars="200"/>
              <w:jc w:val="center"/>
              <w:rPr>
                <w:rFonts w:ascii="宋体" w:hAnsi="宋体" w:cs="宋体"/>
                <w:sz w:val="28"/>
                <w:szCs w:val="28"/>
                <w:highlight w:val="none"/>
              </w:rPr>
            </w:pPr>
          </w:p>
        </w:tc>
        <w:tc>
          <w:tcPr>
            <w:tcW w:w="2582" w:type="dxa"/>
            <w:tcBorders>
              <w:tl2br w:val="nil"/>
              <w:tr2bl w:val="nil"/>
            </w:tcBorders>
            <w:tcMar>
              <w:top w:w="57" w:type="dxa"/>
              <w:left w:w="28" w:type="dxa"/>
              <w:bottom w:w="57" w:type="dxa"/>
              <w:right w:w="28" w:type="dxa"/>
            </w:tcMar>
            <w:vAlign w:val="center"/>
          </w:tcPr>
          <w:p w14:paraId="5E94DC0A">
            <w:pPr>
              <w:pageBreakBefore w:val="0"/>
              <w:overflowPunct/>
              <w:bidi w:val="0"/>
              <w:spacing w:line="520" w:lineRule="exact"/>
              <w:ind w:firstLine="560" w:firstLineChars="200"/>
              <w:jc w:val="center"/>
              <w:rPr>
                <w:rFonts w:ascii="宋体" w:hAnsi="宋体" w:cs="宋体"/>
                <w:sz w:val="28"/>
                <w:szCs w:val="28"/>
                <w:highlight w:val="none"/>
              </w:rPr>
            </w:pPr>
          </w:p>
        </w:tc>
        <w:tc>
          <w:tcPr>
            <w:tcW w:w="1342" w:type="dxa"/>
            <w:tcBorders>
              <w:tl2br w:val="nil"/>
              <w:tr2bl w:val="nil"/>
            </w:tcBorders>
            <w:tcMar>
              <w:top w:w="57" w:type="dxa"/>
              <w:left w:w="28" w:type="dxa"/>
              <w:bottom w:w="57" w:type="dxa"/>
              <w:right w:w="28" w:type="dxa"/>
            </w:tcMar>
            <w:vAlign w:val="center"/>
          </w:tcPr>
          <w:p w14:paraId="0FDC8F8E">
            <w:pPr>
              <w:pageBreakBefore w:val="0"/>
              <w:overflowPunct/>
              <w:bidi w:val="0"/>
              <w:spacing w:line="520" w:lineRule="exact"/>
              <w:ind w:firstLine="560" w:firstLineChars="200"/>
              <w:jc w:val="center"/>
              <w:rPr>
                <w:rFonts w:ascii="宋体" w:hAnsi="宋体" w:cs="宋体"/>
                <w:sz w:val="28"/>
                <w:szCs w:val="28"/>
                <w:highlight w:val="none"/>
              </w:rPr>
            </w:pPr>
          </w:p>
        </w:tc>
        <w:tc>
          <w:tcPr>
            <w:tcW w:w="1320" w:type="dxa"/>
            <w:tcBorders>
              <w:tl2br w:val="nil"/>
              <w:tr2bl w:val="nil"/>
            </w:tcBorders>
            <w:tcMar>
              <w:top w:w="57" w:type="dxa"/>
              <w:left w:w="28" w:type="dxa"/>
              <w:bottom w:w="57" w:type="dxa"/>
              <w:right w:w="28" w:type="dxa"/>
            </w:tcMar>
            <w:vAlign w:val="center"/>
          </w:tcPr>
          <w:p w14:paraId="2D55ACC9">
            <w:pPr>
              <w:pageBreakBefore w:val="0"/>
              <w:overflowPunct/>
              <w:bidi w:val="0"/>
              <w:spacing w:line="520" w:lineRule="exact"/>
              <w:ind w:firstLine="560" w:firstLineChars="200"/>
              <w:jc w:val="center"/>
              <w:rPr>
                <w:rFonts w:ascii="宋体" w:hAnsi="宋体" w:cs="宋体"/>
                <w:sz w:val="28"/>
                <w:szCs w:val="28"/>
                <w:highlight w:val="none"/>
              </w:rPr>
            </w:pPr>
          </w:p>
        </w:tc>
      </w:tr>
      <w:tr w14:paraId="43A92D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0" w:type="dxa"/>
            <w:tcBorders>
              <w:tl2br w:val="nil"/>
              <w:tr2bl w:val="nil"/>
            </w:tcBorders>
            <w:tcMar>
              <w:top w:w="57" w:type="dxa"/>
              <w:left w:w="28" w:type="dxa"/>
              <w:bottom w:w="57" w:type="dxa"/>
              <w:right w:w="28" w:type="dxa"/>
            </w:tcMar>
            <w:vAlign w:val="center"/>
          </w:tcPr>
          <w:p w14:paraId="43C97B48">
            <w:pPr>
              <w:pageBreakBefore w:val="0"/>
              <w:overflowPunct/>
              <w:bidi w:val="0"/>
              <w:spacing w:line="520" w:lineRule="exact"/>
              <w:ind w:firstLine="198" w:firstLineChars="71"/>
              <w:jc w:val="center"/>
              <w:rPr>
                <w:rFonts w:ascii="宋体" w:hAnsi="宋体" w:cs="宋体"/>
                <w:sz w:val="28"/>
                <w:szCs w:val="28"/>
                <w:highlight w:val="none"/>
              </w:rPr>
            </w:pPr>
          </w:p>
        </w:tc>
        <w:tc>
          <w:tcPr>
            <w:tcW w:w="2800" w:type="dxa"/>
            <w:tcBorders>
              <w:tl2br w:val="nil"/>
              <w:tr2bl w:val="nil"/>
            </w:tcBorders>
            <w:tcMar>
              <w:top w:w="57" w:type="dxa"/>
              <w:left w:w="28" w:type="dxa"/>
              <w:bottom w:w="57" w:type="dxa"/>
              <w:right w:w="28" w:type="dxa"/>
            </w:tcMar>
            <w:vAlign w:val="center"/>
          </w:tcPr>
          <w:p w14:paraId="21F7484D">
            <w:pPr>
              <w:pageBreakBefore w:val="0"/>
              <w:overflowPunct/>
              <w:bidi w:val="0"/>
              <w:spacing w:line="520" w:lineRule="exact"/>
              <w:ind w:firstLine="560" w:firstLineChars="200"/>
              <w:jc w:val="center"/>
              <w:rPr>
                <w:rFonts w:ascii="宋体" w:hAnsi="宋体" w:cs="宋体"/>
                <w:sz w:val="28"/>
                <w:szCs w:val="28"/>
                <w:highlight w:val="none"/>
              </w:rPr>
            </w:pPr>
          </w:p>
        </w:tc>
        <w:tc>
          <w:tcPr>
            <w:tcW w:w="2582" w:type="dxa"/>
            <w:tcBorders>
              <w:tl2br w:val="nil"/>
              <w:tr2bl w:val="nil"/>
            </w:tcBorders>
            <w:tcMar>
              <w:top w:w="57" w:type="dxa"/>
              <w:left w:w="28" w:type="dxa"/>
              <w:bottom w:w="57" w:type="dxa"/>
              <w:right w:w="28" w:type="dxa"/>
            </w:tcMar>
            <w:vAlign w:val="center"/>
          </w:tcPr>
          <w:p w14:paraId="2B16B02C">
            <w:pPr>
              <w:pageBreakBefore w:val="0"/>
              <w:overflowPunct/>
              <w:bidi w:val="0"/>
              <w:spacing w:line="520" w:lineRule="exact"/>
              <w:ind w:firstLine="560" w:firstLineChars="200"/>
              <w:jc w:val="center"/>
              <w:rPr>
                <w:rFonts w:ascii="宋体" w:hAnsi="宋体" w:cs="宋体"/>
                <w:sz w:val="28"/>
                <w:szCs w:val="28"/>
                <w:highlight w:val="none"/>
              </w:rPr>
            </w:pPr>
          </w:p>
        </w:tc>
        <w:tc>
          <w:tcPr>
            <w:tcW w:w="1342" w:type="dxa"/>
            <w:tcBorders>
              <w:tl2br w:val="nil"/>
              <w:tr2bl w:val="nil"/>
            </w:tcBorders>
            <w:tcMar>
              <w:top w:w="57" w:type="dxa"/>
              <w:left w:w="28" w:type="dxa"/>
              <w:bottom w:w="57" w:type="dxa"/>
              <w:right w:w="28" w:type="dxa"/>
            </w:tcMar>
            <w:vAlign w:val="center"/>
          </w:tcPr>
          <w:p w14:paraId="434BAAA7">
            <w:pPr>
              <w:pageBreakBefore w:val="0"/>
              <w:overflowPunct/>
              <w:bidi w:val="0"/>
              <w:spacing w:line="520" w:lineRule="exact"/>
              <w:ind w:firstLine="560" w:firstLineChars="200"/>
              <w:jc w:val="center"/>
              <w:rPr>
                <w:rFonts w:ascii="宋体" w:hAnsi="宋体" w:cs="宋体"/>
                <w:sz w:val="28"/>
                <w:szCs w:val="28"/>
                <w:highlight w:val="none"/>
              </w:rPr>
            </w:pPr>
          </w:p>
        </w:tc>
        <w:tc>
          <w:tcPr>
            <w:tcW w:w="1320" w:type="dxa"/>
            <w:tcBorders>
              <w:tl2br w:val="nil"/>
              <w:tr2bl w:val="nil"/>
            </w:tcBorders>
            <w:tcMar>
              <w:top w:w="57" w:type="dxa"/>
              <w:left w:w="28" w:type="dxa"/>
              <w:bottom w:w="57" w:type="dxa"/>
              <w:right w:w="28" w:type="dxa"/>
            </w:tcMar>
            <w:vAlign w:val="center"/>
          </w:tcPr>
          <w:p w14:paraId="7D87AB2B">
            <w:pPr>
              <w:pageBreakBefore w:val="0"/>
              <w:overflowPunct/>
              <w:bidi w:val="0"/>
              <w:spacing w:line="520" w:lineRule="exact"/>
              <w:ind w:firstLine="560" w:firstLineChars="200"/>
              <w:jc w:val="center"/>
              <w:rPr>
                <w:rFonts w:ascii="宋体" w:hAnsi="宋体" w:cs="宋体"/>
                <w:sz w:val="28"/>
                <w:szCs w:val="28"/>
                <w:highlight w:val="none"/>
              </w:rPr>
            </w:pPr>
          </w:p>
        </w:tc>
      </w:tr>
      <w:tr w14:paraId="003578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0" w:type="dxa"/>
            <w:tcBorders>
              <w:tl2br w:val="nil"/>
              <w:tr2bl w:val="nil"/>
            </w:tcBorders>
            <w:tcMar>
              <w:top w:w="57" w:type="dxa"/>
              <w:left w:w="28" w:type="dxa"/>
              <w:bottom w:w="57" w:type="dxa"/>
              <w:right w:w="28" w:type="dxa"/>
            </w:tcMar>
            <w:vAlign w:val="center"/>
          </w:tcPr>
          <w:p w14:paraId="484ECD17">
            <w:pPr>
              <w:pageBreakBefore w:val="0"/>
              <w:overflowPunct/>
              <w:bidi w:val="0"/>
              <w:spacing w:line="520" w:lineRule="exact"/>
              <w:ind w:firstLine="198" w:firstLineChars="71"/>
              <w:jc w:val="center"/>
              <w:rPr>
                <w:rFonts w:ascii="宋体" w:hAnsi="宋体" w:cs="宋体"/>
                <w:sz w:val="28"/>
                <w:szCs w:val="28"/>
                <w:highlight w:val="none"/>
              </w:rPr>
            </w:pPr>
          </w:p>
        </w:tc>
        <w:tc>
          <w:tcPr>
            <w:tcW w:w="2800" w:type="dxa"/>
            <w:tcBorders>
              <w:tl2br w:val="nil"/>
              <w:tr2bl w:val="nil"/>
            </w:tcBorders>
            <w:tcMar>
              <w:top w:w="57" w:type="dxa"/>
              <w:left w:w="28" w:type="dxa"/>
              <w:bottom w:w="57" w:type="dxa"/>
              <w:right w:w="28" w:type="dxa"/>
            </w:tcMar>
            <w:vAlign w:val="center"/>
          </w:tcPr>
          <w:p w14:paraId="737B00DE">
            <w:pPr>
              <w:pageBreakBefore w:val="0"/>
              <w:overflowPunct/>
              <w:bidi w:val="0"/>
              <w:spacing w:line="520" w:lineRule="exact"/>
              <w:ind w:firstLine="560" w:firstLineChars="200"/>
              <w:jc w:val="center"/>
              <w:rPr>
                <w:rFonts w:ascii="宋体" w:hAnsi="宋体" w:cs="宋体"/>
                <w:sz w:val="28"/>
                <w:szCs w:val="28"/>
                <w:highlight w:val="none"/>
              </w:rPr>
            </w:pPr>
          </w:p>
        </w:tc>
        <w:tc>
          <w:tcPr>
            <w:tcW w:w="2582" w:type="dxa"/>
            <w:tcBorders>
              <w:tl2br w:val="nil"/>
              <w:tr2bl w:val="nil"/>
            </w:tcBorders>
            <w:tcMar>
              <w:top w:w="57" w:type="dxa"/>
              <w:left w:w="28" w:type="dxa"/>
              <w:bottom w:w="57" w:type="dxa"/>
              <w:right w:w="28" w:type="dxa"/>
            </w:tcMar>
            <w:vAlign w:val="center"/>
          </w:tcPr>
          <w:p w14:paraId="65F21AEE">
            <w:pPr>
              <w:pageBreakBefore w:val="0"/>
              <w:overflowPunct/>
              <w:bidi w:val="0"/>
              <w:spacing w:line="520" w:lineRule="exact"/>
              <w:ind w:firstLine="560" w:firstLineChars="200"/>
              <w:jc w:val="center"/>
              <w:rPr>
                <w:rFonts w:ascii="宋体" w:hAnsi="宋体" w:cs="宋体"/>
                <w:sz w:val="28"/>
                <w:szCs w:val="28"/>
                <w:highlight w:val="none"/>
              </w:rPr>
            </w:pPr>
          </w:p>
        </w:tc>
        <w:tc>
          <w:tcPr>
            <w:tcW w:w="1342" w:type="dxa"/>
            <w:tcBorders>
              <w:tl2br w:val="nil"/>
              <w:tr2bl w:val="nil"/>
            </w:tcBorders>
            <w:tcMar>
              <w:top w:w="57" w:type="dxa"/>
              <w:left w:w="28" w:type="dxa"/>
              <w:bottom w:w="57" w:type="dxa"/>
              <w:right w:w="28" w:type="dxa"/>
            </w:tcMar>
            <w:vAlign w:val="center"/>
          </w:tcPr>
          <w:p w14:paraId="0841F8D1">
            <w:pPr>
              <w:pageBreakBefore w:val="0"/>
              <w:overflowPunct/>
              <w:bidi w:val="0"/>
              <w:spacing w:line="520" w:lineRule="exact"/>
              <w:ind w:firstLine="560" w:firstLineChars="200"/>
              <w:jc w:val="center"/>
              <w:rPr>
                <w:rFonts w:ascii="宋体" w:hAnsi="宋体" w:cs="宋体"/>
                <w:sz w:val="28"/>
                <w:szCs w:val="28"/>
                <w:highlight w:val="none"/>
              </w:rPr>
            </w:pPr>
          </w:p>
        </w:tc>
        <w:tc>
          <w:tcPr>
            <w:tcW w:w="1320" w:type="dxa"/>
            <w:tcBorders>
              <w:tl2br w:val="nil"/>
              <w:tr2bl w:val="nil"/>
            </w:tcBorders>
            <w:tcMar>
              <w:top w:w="57" w:type="dxa"/>
              <w:left w:w="28" w:type="dxa"/>
              <w:bottom w:w="57" w:type="dxa"/>
              <w:right w:w="28" w:type="dxa"/>
            </w:tcMar>
            <w:vAlign w:val="center"/>
          </w:tcPr>
          <w:p w14:paraId="3932F6FE">
            <w:pPr>
              <w:pageBreakBefore w:val="0"/>
              <w:overflowPunct/>
              <w:bidi w:val="0"/>
              <w:spacing w:line="520" w:lineRule="exact"/>
              <w:ind w:firstLine="560" w:firstLineChars="200"/>
              <w:jc w:val="center"/>
              <w:rPr>
                <w:rFonts w:ascii="宋体" w:hAnsi="宋体" w:cs="宋体"/>
                <w:sz w:val="28"/>
                <w:szCs w:val="28"/>
                <w:highlight w:val="none"/>
              </w:rPr>
            </w:pPr>
          </w:p>
        </w:tc>
      </w:tr>
      <w:tr w14:paraId="071143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0" w:type="dxa"/>
            <w:tcBorders>
              <w:tl2br w:val="nil"/>
              <w:tr2bl w:val="nil"/>
            </w:tcBorders>
            <w:tcMar>
              <w:top w:w="57" w:type="dxa"/>
              <w:left w:w="28" w:type="dxa"/>
              <w:bottom w:w="57" w:type="dxa"/>
              <w:right w:w="28" w:type="dxa"/>
            </w:tcMar>
            <w:vAlign w:val="center"/>
          </w:tcPr>
          <w:p w14:paraId="5708FFA5">
            <w:pPr>
              <w:pageBreakBefore w:val="0"/>
              <w:overflowPunct/>
              <w:bidi w:val="0"/>
              <w:spacing w:line="520" w:lineRule="exact"/>
              <w:ind w:firstLine="198" w:firstLineChars="71"/>
              <w:jc w:val="center"/>
              <w:rPr>
                <w:rFonts w:ascii="宋体" w:hAnsi="宋体" w:cs="宋体"/>
                <w:sz w:val="28"/>
                <w:szCs w:val="28"/>
                <w:highlight w:val="none"/>
              </w:rPr>
            </w:pPr>
          </w:p>
        </w:tc>
        <w:tc>
          <w:tcPr>
            <w:tcW w:w="2800" w:type="dxa"/>
            <w:tcBorders>
              <w:tl2br w:val="nil"/>
              <w:tr2bl w:val="nil"/>
            </w:tcBorders>
            <w:tcMar>
              <w:top w:w="57" w:type="dxa"/>
              <w:left w:w="28" w:type="dxa"/>
              <w:bottom w:w="57" w:type="dxa"/>
              <w:right w:w="28" w:type="dxa"/>
            </w:tcMar>
            <w:vAlign w:val="center"/>
          </w:tcPr>
          <w:p w14:paraId="6C59AE13">
            <w:pPr>
              <w:pageBreakBefore w:val="0"/>
              <w:overflowPunct/>
              <w:bidi w:val="0"/>
              <w:spacing w:line="520" w:lineRule="exact"/>
              <w:ind w:firstLine="560" w:firstLineChars="200"/>
              <w:jc w:val="center"/>
              <w:rPr>
                <w:rFonts w:ascii="宋体" w:hAnsi="宋体" w:cs="宋体"/>
                <w:sz w:val="28"/>
                <w:szCs w:val="28"/>
                <w:highlight w:val="none"/>
              </w:rPr>
            </w:pPr>
          </w:p>
        </w:tc>
        <w:tc>
          <w:tcPr>
            <w:tcW w:w="2582" w:type="dxa"/>
            <w:tcBorders>
              <w:tl2br w:val="nil"/>
              <w:tr2bl w:val="nil"/>
            </w:tcBorders>
            <w:tcMar>
              <w:top w:w="57" w:type="dxa"/>
              <w:left w:w="28" w:type="dxa"/>
              <w:bottom w:w="57" w:type="dxa"/>
              <w:right w:w="28" w:type="dxa"/>
            </w:tcMar>
            <w:vAlign w:val="center"/>
          </w:tcPr>
          <w:p w14:paraId="28162AEA">
            <w:pPr>
              <w:pageBreakBefore w:val="0"/>
              <w:overflowPunct/>
              <w:bidi w:val="0"/>
              <w:spacing w:line="520" w:lineRule="exact"/>
              <w:ind w:firstLine="560" w:firstLineChars="200"/>
              <w:jc w:val="center"/>
              <w:rPr>
                <w:rFonts w:ascii="宋体" w:hAnsi="宋体" w:cs="宋体"/>
                <w:sz w:val="28"/>
                <w:szCs w:val="28"/>
                <w:highlight w:val="none"/>
              </w:rPr>
            </w:pPr>
          </w:p>
        </w:tc>
        <w:tc>
          <w:tcPr>
            <w:tcW w:w="1342" w:type="dxa"/>
            <w:tcBorders>
              <w:tl2br w:val="nil"/>
              <w:tr2bl w:val="nil"/>
            </w:tcBorders>
            <w:tcMar>
              <w:top w:w="57" w:type="dxa"/>
              <w:left w:w="28" w:type="dxa"/>
              <w:bottom w:w="57" w:type="dxa"/>
              <w:right w:w="28" w:type="dxa"/>
            </w:tcMar>
            <w:vAlign w:val="center"/>
          </w:tcPr>
          <w:p w14:paraId="42BA5CB5">
            <w:pPr>
              <w:pageBreakBefore w:val="0"/>
              <w:overflowPunct/>
              <w:bidi w:val="0"/>
              <w:spacing w:line="520" w:lineRule="exact"/>
              <w:ind w:firstLine="560" w:firstLineChars="200"/>
              <w:jc w:val="center"/>
              <w:rPr>
                <w:rFonts w:ascii="宋体" w:hAnsi="宋体" w:cs="宋体"/>
                <w:sz w:val="28"/>
                <w:szCs w:val="28"/>
                <w:highlight w:val="none"/>
              </w:rPr>
            </w:pPr>
          </w:p>
        </w:tc>
        <w:tc>
          <w:tcPr>
            <w:tcW w:w="1320" w:type="dxa"/>
            <w:tcBorders>
              <w:tl2br w:val="nil"/>
              <w:tr2bl w:val="nil"/>
            </w:tcBorders>
            <w:tcMar>
              <w:top w:w="57" w:type="dxa"/>
              <w:left w:w="28" w:type="dxa"/>
              <w:bottom w:w="57" w:type="dxa"/>
              <w:right w:w="28" w:type="dxa"/>
            </w:tcMar>
            <w:vAlign w:val="center"/>
          </w:tcPr>
          <w:p w14:paraId="0E169A9F">
            <w:pPr>
              <w:pageBreakBefore w:val="0"/>
              <w:overflowPunct/>
              <w:bidi w:val="0"/>
              <w:spacing w:line="520" w:lineRule="exact"/>
              <w:ind w:firstLine="560" w:firstLineChars="200"/>
              <w:jc w:val="center"/>
              <w:rPr>
                <w:rFonts w:ascii="宋体" w:hAnsi="宋体" w:cs="宋体"/>
                <w:sz w:val="28"/>
                <w:szCs w:val="28"/>
                <w:highlight w:val="none"/>
              </w:rPr>
            </w:pPr>
          </w:p>
        </w:tc>
      </w:tr>
    </w:tbl>
    <w:p w14:paraId="5B627621">
      <w:pPr>
        <w:pageBreakBefore w:val="0"/>
        <w:overflowPunct/>
        <w:bidi w:val="0"/>
        <w:spacing w:line="520" w:lineRule="exact"/>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rPr>
        <w:t>注：</w:t>
      </w:r>
      <w:r>
        <w:rPr>
          <w:rFonts w:hint="eastAsia" w:ascii="宋体" w:hAnsi="宋体" w:cs="宋体"/>
          <w:sz w:val="24"/>
          <w:szCs w:val="24"/>
          <w:highlight w:val="none"/>
          <w:lang w:val="en-US" w:eastAsia="zh-CN"/>
        </w:rPr>
        <w:t>1.</w:t>
      </w:r>
      <w:r>
        <w:rPr>
          <w:rFonts w:hint="eastAsia" w:ascii="宋体" w:hAnsi="宋体" w:cs="宋体"/>
          <w:sz w:val="24"/>
          <w:szCs w:val="24"/>
          <w:highlight w:val="none"/>
        </w:rPr>
        <w:t>请按</w:t>
      </w:r>
      <w:r>
        <w:rPr>
          <w:rFonts w:hint="eastAsia" w:ascii="宋体" w:hAnsi="宋体" w:cs="宋体"/>
          <w:sz w:val="24"/>
          <w:szCs w:val="24"/>
          <w:highlight w:val="none"/>
          <w:lang w:val="en-US" w:eastAsia="zh-CN"/>
        </w:rPr>
        <w:t>对应谈判</w:t>
      </w:r>
      <w:r>
        <w:rPr>
          <w:rFonts w:hint="eastAsia" w:ascii="宋体" w:hAnsi="宋体" w:cs="宋体"/>
          <w:sz w:val="24"/>
          <w:szCs w:val="24"/>
          <w:highlight w:val="none"/>
        </w:rPr>
        <w:t>文件“</w:t>
      </w:r>
      <w:r>
        <w:rPr>
          <w:rFonts w:hint="eastAsia" w:ascii="宋体" w:hAnsi="宋体" w:cs="宋体"/>
          <w:sz w:val="24"/>
          <w:szCs w:val="24"/>
          <w:highlight w:val="none"/>
          <w:lang w:val="en-US" w:eastAsia="zh-CN"/>
        </w:rPr>
        <w:t>第五章</w:t>
      </w:r>
      <w:r>
        <w:rPr>
          <w:rFonts w:hint="eastAsia" w:ascii="宋体" w:hAnsi="宋体" w:cs="宋体"/>
          <w:sz w:val="24"/>
          <w:szCs w:val="24"/>
          <w:highlight w:val="none"/>
        </w:rPr>
        <w:t>”中的</w:t>
      </w:r>
      <w:r>
        <w:rPr>
          <w:rFonts w:hint="eastAsia" w:ascii="宋体" w:hAnsi="宋体" w:cs="宋体"/>
          <w:sz w:val="24"/>
          <w:szCs w:val="24"/>
          <w:highlight w:val="none"/>
          <w:lang w:eastAsia="zh-CN"/>
        </w:rPr>
        <w:t>“技术要求”</w:t>
      </w:r>
      <w:r>
        <w:rPr>
          <w:rFonts w:hint="eastAsia" w:ascii="宋体" w:hAnsi="宋体" w:cs="宋体"/>
          <w:sz w:val="24"/>
          <w:szCs w:val="24"/>
          <w:highlight w:val="none"/>
        </w:rPr>
        <w:t>认真</w:t>
      </w:r>
      <w:r>
        <w:rPr>
          <w:rFonts w:hint="eastAsia" w:ascii="宋体" w:hAnsi="宋体" w:cs="宋体"/>
          <w:sz w:val="24"/>
          <w:szCs w:val="24"/>
          <w:highlight w:val="none"/>
          <w:lang w:val="en-US" w:eastAsia="zh-CN"/>
        </w:rPr>
        <w:t>逐条</w:t>
      </w:r>
      <w:r>
        <w:rPr>
          <w:rFonts w:hint="eastAsia" w:ascii="宋体" w:hAnsi="宋体" w:cs="宋体"/>
          <w:sz w:val="24"/>
          <w:szCs w:val="24"/>
          <w:highlight w:val="none"/>
        </w:rPr>
        <w:t>填写本表。偏离</w:t>
      </w:r>
      <w:r>
        <w:rPr>
          <w:rFonts w:hint="eastAsia" w:ascii="宋体" w:hAnsi="宋体" w:cs="宋体"/>
          <w:sz w:val="24"/>
          <w:szCs w:val="24"/>
          <w:highlight w:val="none"/>
          <w:lang w:val="en-US" w:eastAsia="zh-CN"/>
        </w:rPr>
        <w:t>情况填写：“优于、等于或低于”。如有优于请在说明栏写明“优于”的详细情况。</w:t>
      </w:r>
    </w:p>
    <w:p w14:paraId="489F8A7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42" w:firstLineChars="200"/>
        <w:textAlignment w:val="auto"/>
        <w:outlineLvl w:val="9"/>
        <w:rPr>
          <w:rFonts w:hint="eastAsia" w:ascii="宋体" w:hAnsi="宋体" w:eastAsia="宋体" w:cs="宋体"/>
          <w:b/>
          <w:bCs/>
          <w:snapToGrid w:val="0"/>
          <w:color w:val="auto"/>
          <w:spacing w:val="0"/>
          <w:kern w:val="0"/>
          <w:position w:val="0"/>
          <w:sz w:val="22"/>
          <w:szCs w:val="22"/>
          <w:highlight w:val="none"/>
          <w:lang w:eastAsia="zh-CN"/>
        </w:rPr>
      </w:pPr>
      <w:r>
        <w:rPr>
          <w:rFonts w:hint="eastAsia" w:ascii="仿宋" w:hAnsi="仿宋" w:eastAsia="仿宋" w:cs="仿宋"/>
          <w:b/>
          <w:bCs/>
          <w:color w:val="auto"/>
          <w:sz w:val="22"/>
          <w:szCs w:val="22"/>
          <w:highlight w:val="none"/>
          <w:lang w:val="en-US" w:eastAsia="zh-CN"/>
        </w:rPr>
        <w:t>2</w:t>
      </w:r>
      <w:r>
        <w:rPr>
          <w:rFonts w:hint="eastAsia" w:ascii="宋体" w:hAnsi="宋体" w:eastAsia="宋体" w:cs="宋体"/>
          <w:b/>
          <w:bCs/>
          <w:color w:val="auto"/>
          <w:sz w:val="22"/>
          <w:szCs w:val="22"/>
          <w:highlight w:val="none"/>
          <w:lang w:val="en-US" w:eastAsia="zh-CN"/>
        </w:rPr>
        <w:t>、所有技术参数</w:t>
      </w:r>
      <w:r>
        <w:rPr>
          <w:rFonts w:hint="eastAsia" w:ascii="仿宋" w:hAnsi="仿宋" w:eastAsia="仿宋" w:cs="仿宋"/>
          <w:b/>
          <w:bCs/>
          <w:color w:val="auto"/>
          <w:sz w:val="22"/>
          <w:szCs w:val="22"/>
          <w:highlight w:val="none"/>
          <w:lang w:val="en-US" w:eastAsia="zh-CN"/>
        </w:rPr>
        <w:t>，</w:t>
      </w:r>
      <w:r>
        <w:rPr>
          <w:rFonts w:hint="eastAsia" w:ascii="宋体" w:hAnsi="宋体" w:eastAsia="宋体" w:cs="宋体"/>
          <w:b/>
          <w:bCs/>
          <w:snapToGrid w:val="0"/>
          <w:color w:val="auto"/>
          <w:spacing w:val="0"/>
          <w:kern w:val="0"/>
          <w:position w:val="0"/>
          <w:sz w:val="22"/>
          <w:szCs w:val="22"/>
          <w:highlight w:val="none"/>
        </w:rPr>
        <w:t>不得负偏离</w:t>
      </w:r>
      <w:r>
        <w:rPr>
          <w:rFonts w:hint="eastAsia" w:ascii="宋体" w:hAnsi="宋体" w:cs="宋体"/>
          <w:b/>
          <w:bCs/>
          <w:snapToGrid w:val="0"/>
          <w:color w:val="auto"/>
          <w:spacing w:val="0"/>
          <w:kern w:val="0"/>
          <w:position w:val="0"/>
          <w:sz w:val="22"/>
          <w:szCs w:val="22"/>
          <w:highlight w:val="none"/>
          <w:lang w:eastAsia="zh-CN"/>
        </w:rPr>
        <w:t>，否则按无效响应处理；标“</w:t>
      </w:r>
      <w:r>
        <w:rPr>
          <w:rFonts w:hint="eastAsia" w:ascii="仿宋" w:hAnsi="仿宋" w:eastAsia="仿宋" w:cs="仿宋"/>
          <w:b/>
          <w:bCs/>
          <w:color w:val="auto"/>
          <w:sz w:val="22"/>
          <w:szCs w:val="22"/>
          <w:highlight w:val="none"/>
          <w:lang w:val="en-US" w:eastAsia="zh-CN"/>
        </w:rPr>
        <w:t>★</w:t>
      </w:r>
      <w:r>
        <w:rPr>
          <w:rFonts w:hint="eastAsia" w:ascii="宋体" w:hAnsi="宋体" w:cs="宋体"/>
          <w:b/>
          <w:bCs/>
          <w:snapToGrid w:val="0"/>
          <w:color w:val="auto"/>
          <w:spacing w:val="0"/>
          <w:kern w:val="0"/>
          <w:position w:val="0"/>
          <w:sz w:val="22"/>
          <w:szCs w:val="22"/>
          <w:highlight w:val="none"/>
          <w:lang w:eastAsia="zh-CN"/>
        </w:rPr>
        <w:t>”设备须在技术响应偏离表后附技术参数佐证材料（包括但不限于制造商公开发布的印刷资料、</w:t>
      </w:r>
      <w:r>
        <w:rPr>
          <w:rFonts w:ascii="Segoe UI" w:hAnsi="Segoe UI" w:eastAsia="Segoe UI" w:cs="Segoe UI"/>
          <w:b/>
          <w:bCs/>
          <w:i w:val="0"/>
          <w:iCs w:val="0"/>
          <w:caps w:val="0"/>
          <w:color w:val="0F1115"/>
          <w:spacing w:val="0"/>
          <w:sz w:val="22"/>
          <w:szCs w:val="22"/>
          <w:highlight w:val="none"/>
          <w:shd w:val="clear" w:fill="FFFFFF"/>
        </w:rPr>
        <w:t>医疗器械注册证附件</w:t>
      </w:r>
      <w:r>
        <w:rPr>
          <w:rFonts w:hint="eastAsia" w:ascii="宋体" w:hAnsi="宋体" w:cs="宋体"/>
          <w:b/>
          <w:bCs/>
          <w:snapToGrid w:val="0"/>
          <w:color w:val="auto"/>
          <w:spacing w:val="0"/>
          <w:kern w:val="0"/>
          <w:position w:val="0"/>
          <w:sz w:val="22"/>
          <w:szCs w:val="22"/>
          <w:highlight w:val="none"/>
          <w:lang w:eastAsia="zh-CN"/>
        </w:rPr>
        <w:t>、</w:t>
      </w:r>
      <w:r>
        <w:rPr>
          <w:rFonts w:ascii="Segoe UI" w:hAnsi="Segoe UI" w:eastAsia="Segoe UI" w:cs="Segoe UI"/>
          <w:b/>
          <w:bCs/>
          <w:i w:val="0"/>
          <w:iCs w:val="0"/>
          <w:caps w:val="0"/>
          <w:color w:val="0F1115"/>
          <w:spacing w:val="0"/>
          <w:sz w:val="22"/>
          <w:szCs w:val="22"/>
          <w:highlight w:val="none"/>
          <w:shd w:val="clear" w:fill="FFFFFF"/>
        </w:rPr>
        <w:t>第三方技术检验报告</w:t>
      </w:r>
      <w:r>
        <w:rPr>
          <w:rFonts w:hint="eastAsia" w:ascii="Segoe UI" w:hAnsi="Segoe UI" w:eastAsia="宋体" w:cs="Segoe UI"/>
          <w:b/>
          <w:bCs/>
          <w:i w:val="0"/>
          <w:iCs w:val="0"/>
          <w:caps w:val="0"/>
          <w:color w:val="0F1115"/>
          <w:spacing w:val="0"/>
          <w:sz w:val="22"/>
          <w:szCs w:val="22"/>
          <w:highlight w:val="none"/>
          <w:shd w:val="clear" w:fill="FFFFFF"/>
          <w:lang w:eastAsia="zh-CN"/>
        </w:rPr>
        <w:t>、</w:t>
      </w:r>
      <w:r>
        <w:rPr>
          <w:rFonts w:ascii="Segoe UI" w:hAnsi="Segoe UI" w:eastAsia="Segoe UI" w:cs="Segoe UI"/>
          <w:b/>
          <w:bCs/>
          <w:i w:val="0"/>
          <w:iCs w:val="0"/>
          <w:caps w:val="0"/>
          <w:color w:val="0F1115"/>
          <w:spacing w:val="0"/>
          <w:sz w:val="22"/>
          <w:szCs w:val="22"/>
          <w:highlight w:val="none"/>
          <w:shd w:val="clear" w:fill="FFFFFF"/>
        </w:rPr>
        <w:t>生产厂家产品说明书或技术白皮书</w:t>
      </w:r>
      <w:r>
        <w:rPr>
          <w:rFonts w:hint="eastAsia" w:ascii="Segoe UI" w:hAnsi="Segoe UI" w:eastAsia="宋体" w:cs="Segoe UI"/>
          <w:b/>
          <w:bCs/>
          <w:i w:val="0"/>
          <w:iCs w:val="0"/>
          <w:caps w:val="0"/>
          <w:color w:val="0F1115"/>
          <w:spacing w:val="0"/>
          <w:sz w:val="22"/>
          <w:szCs w:val="22"/>
          <w:highlight w:val="none"/>
          <w:shd w:val="clear" w:fill="FFFFFF"/>
          <w:lang w:eastAsia="zh-CN"/>
        </w:rPr>
        <w:t>、</w:t>
      </w:r>
      <w:r>
        <w:rPr>
          <w:rFonts w:hint="eastAsia" w:ascii="宋体" w:hAnsi="宋体" w:cs="宋体"/>
          <w:b/>
          <w:bCs/>
          <w:snapToGrid w:val="0"/>
          <w:color w:val="auto"/>
          <w:spacing w:val="0"/>
          <w:kern w:val="0"/>
          <w:position w:val="0"/>
          <w:sz w:val="22"/>
          <w:szCs w:val="22"/>
          <w:highlight w:val="none"/>
          <w:lang w:eastAsia="zh-CN"/>
        </w:rPr>
        <w:t>宣传彩页或官方网站截图等或检测机构出具的检测报</w:t>
      </w:r>
      <w:r>
        <w:rPr>
          <w:rFonts w:hint="eastAsia" w:ascii="宋体" w:hAnsi="宋体" w:eastAsia="宋体" w:cs="宋体"/>
          <w:b/>
          <w:bCs/>
          <w:snapToGrid w:val="0"/>
          <w:color w:val="auto"/>
          <w:spacing w:val="0"/>
          <w:kern w:val="0"/>
          <w:position w:val="0"/>
          <w:sz w:val="22"/>
          <w:szCs w:val="22"/>
          <w:highlight w:val="none"/>
          <w:lang w:eastAsia="zh-CN"/>
        </w:rPr>
        <w:t>告</w:t>
      </w:r>
      <w:r>
        <w:rPr>
          <w:rFonts w:hint="eastAsia" w:ascii="宋体" w:hAnsi="宋体" w:eastAsia="宋体" w:cs="宋体"/>
          <w:b/>
          <w:bCs/>
          <w:snapToGrid w:val="0"/>
          <w:color w:val="auto"/>
          <w:spacing w:val="0"/>
          <w:kern w:val="0"/>
          <w:position w:val="0"/>
          <w:sz w:val="22"/>
          <w:szCs w:val="22"/>
          <w:highlight w:val="none"/>
          <w:lang w:val="en-US" w:eastAsia="zh-CN"/>
        </w:rPr>
        <w:t>,</w:t>
      </w:r>
      <w:r>
        <w:rPr>
          <w:rFonts w:hint="eastAsia" w:ascii="宋体" w:hAnsi="宋体" w:cs="宋体"/>
          <w:b/>
          <w:bCs/>
          <w:snapToGrid w:val="0"/>
          <w:color w:val="auto"/>
          <w:spacing w:val="0"/>
          <w:kern w:val="0"/>
          <w:position w:val="0"/>
          <w:sz w:val="22"/>
          <w:szCs w:val="22"/>
          <w:highlight w:val="none"/>
          <w:lang w:eastAsia="zh-CN"/>
        </w:rPr>
        <w:t>复印件加盖公章），</w:t>
      </w:r>
      <w:r>
        <w:rPr>
          <w:rFonts w:hint="eastAsia" w:ascii="宋体" w:hAnsi="宋体" w:eastAsia="宋体" w:cs="宋体"/>
          <w:b/>
          <w:bCs/>
          <w:snapToGrid w:val="0"/>
          <w:color w:val="auto"/>
          <w:spacing w:val="0"/>
          <w:kern w:val="0"/>
          <w:position w:val="0"/>
          <w:sz w:val="22"/>
          <w:szCs w:val="22"/>
          <w:highlight w:val="none"/>
          <w:lang w:eastAsia="zh-CN"/>
        </w:rPr>
        <w:t>如有不一致的情况以检测（检验）报告为准，无佐证材料的技术参数按负偏离处理。</w:t>
      </w:r>
    </w:p>
    <w:p w14:paraId="67C9C82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42" w:firstLineChars="200"/>
        <w:textAlignment w:val="auto"/>
        <w:outlineLvl w:val="9"/>
        <w:rPr>
          <w:rFonts w:hint="eastAsia" w:ascii="宋体" w:hAnsi="宋体" w:cs="宋体"/>
          <w:b/>
          <w:bCs/>
          <w:snapToGrid w:val="0"/>
          <w:color w:val="auto"/>
          <w:spacing w:val="0"/>
          <w:kern w:val="0"/>
          <w:position w:val="0"/>
          <w:sz w:val="22"/>
          <w:szCs w:val="22"/>
          <w:highlight w:val="none"/>
          <w:lang w:val="en-US" w:eastAsia="zh-CN"/>
        </w:rPr>
      </w:pPr>
      <w:r>
        <w:rPr>
          <w:rFonts w:hint="eastAsia" w:ascii="宋体" w:hAnsi="宋体" w:cs="宋体"/>
          <w:b/>
          <w:bCs/>
          <w:snapToGrid w:val="0"/>
          <w:color w:val="auto"/>
          <w:spacing w:val="0"/>
          <w:kern w:val="0"/>
          <w:position w:val="0"/>
          <w:sz w:val="22"/>
          <w:szCs w:val="22"/>
          <w:highlight w:val="none"/>
          <w:lang w:val="en-US" w:eastAsia="zh-CN"/>
        </w:rPr>
        <w:t>3</w:t>
      </w:r>
      <w:r>
        <w:rPr>
          <w:rFonts w:hint="eastAsia" w:ascii="宋体" w:hAnsi="宋体" w:eastAsia="宋体" w:cs="宋体"/>
          <w:b/>
          <w:bCs/>
          <w:snapToGrid w:val="0"/>
          <w:color w:val="auto"/>
          <w:spacing w:val="0"/>
          <w:kern w:val="0"/>
          <w:position w:val="0"/>
          <w:sz w:val="22"/>
          <w:szCs w:val="22"/>
          <w:highlight w:val="none"/>
          <w:lang w:val="en-US" w:eastAsia="zh-CN"/>
        </w:rPr>
        <w:t>、在技术参数响应偏离表“说明”列注明相关技术参数佐证材料</w:t>
      </w:r>
      <w:r>
        <w:rPr>
          <w:rFonts w:hint="eastAsia" w:ascii="宋体" w:hAnsi="宋体" w:cs="宋体"/>
          <w:b/>
          <w:bCs/>
          <w:snapToGrid w:val="0"/>
          <w:color w:val="auto"/>
          <w:spacing w:val="0"/>
          <w:kern w:val="0"/>
          <w:position w:val="0"/>
          <w:sz w:val="22"/>
          <w:szCs w:val="22"/>
          <w:highlight w:val="none"/>
          <w:lang w:val="en-US" w:eastAsia="zh-CN"/>
        </w:rPr>
        <w:t>所在</w:t>
      </w:r>
      <w:r>
        <w:rPr>
          <w:rFonts w:hint="eastAsia" w:ascii="宋体" w:hAnsi="宋体" w:eastAsia="宋体" w:cs="宋体"/>
          <w:b/>
          <w:bCs/>
          <w:snapToGrid w:val="0"/>
          <w:color w:val="auto"/>
          <w:spacing w:val="0"/>
          <w:kern w:val="0"/>
          <w:position w:val="0"/>
          <w:sz w:val="22"/>
          <w:szCs w:val="22"/>
          <w:highlight w:val="none"/>
          <w:lang w:val="en-US" w:eastAsia="zh-CN"/>
        </w:rPr>
        <w:t>页码</w:t>
      </w:r>
      <w:r>
        <w:rPr>
          <w:rFonts w:hint="eastAsia" w:ascii="宋体" w:hAnsi="宋体" w:cs="宋体"/>
          <w:b/>
          <w:bCs/>
          <w:snapToGrid w:val="0"/>
          <w:color w:val="auto"/>
          <w:spacing w:val="0"/>
          <w:kern w:val="0"/>
          <w:position w:val="0"/>
          <w:sz w:val="22"/>
          <w:szCs w:val="22"/>
          <w:highlight w:val="none"/>
          <w:lang w:val="en-US" w:eastAsia="zh-CN"/>
        </w:rPr>
        <w:t>。</w:t>
      </w:r>
    </w:p>
    <w:p w14:paraId="1650127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42" w:firstLineChars="200"/>
        <w:textAlignment w:val="auto"/>
        <w:outlineLvl w:val="9"/>
        <w:rPr>
          <w:rFonts w:hint="default" w:ascii="宋体" w:hAnsi="宋体" w:cs="宋体"/>
          <w:b/>
          <w:bCs/>
          <w:snapToGrid w:val="0"/>
          <w:color w:val="auto"/>
          <w:spacing w:val="0"/>
          <w:kern w:val="0"/>
          <w:position w:val="0"/>
          <w:sz w:val="22"/>
          <w:szCs w:val="22"/>
          <w:highlight w:val="none"/>
          <w:lang w:val="en-US" w:eastAsia="zh-CN"/>
        </w:rPr>
      </w:pPr>
      <w:r>
        <w:rPr>
          <w:rFonts w:hint="eastAsia" w:ascii="宋体" w:hAnsi="宋体" w:cs="宋体"/>
          <w:b/>
          <w:bCs/>
          <w:snapToGrid w:val="0"/>
          <w:color w:val="auto"/>
          <w:spacing w:val="0"/>
          <w:kern w:val="0"/>
          <w:position w:val="0"/>
          <w:sz w:val="22"/>
          <w:szCs w:val="22"/>
          <w:highlight w:val="none"/>
          <w:lang w:val="en-US" w:eastAsia="zh-CN"/>
        </w:rPr>
        <w:t>4、涉及固定参数的须填写准确具体数值。</w:t>
      </w:r>
    </w:p>
    <w:p w14:paraId="53E93031">
      <w:pPr>
        <w:pageBreakBefore w:val="0"/>
        <w:overflowPunct/>
        <w:bidi w:val="0"/>
        <w:spacing w:line="520" w:lineRule="exact"/>
        <w:ind w:firstLine="3600" w:firstLineChars="1500"/>
        <w:rPr>
          <w:rFonts w:hint="eastAsia" w:ascii="宋体" w:hAnsi="宋体" w:cs="宋体"/>
          <w:sz w:val="24"/>
          <w:szCs w:val="24"/>
          <w:highlight w:val="none"/>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（公章）  </w:t>
      </w:r>
    </w:p>
    <w:p w14:paraId="7E6C31EC">
      <w:pPr>
        <w:pageBreakBefore w:val="0"/>
        <w:overflowPunct/>
        <w:bidi w:val="0"/>
        <w:spacing w:line="520" w:lineRule="exact"/>
        <w:ind w:firstLine="3600" w:firstLineChars="1500"/>
        <w:rPr>
          <w:rFonts w:ascii="宋体" w:hAnsi="宋体" w:cs="宋体"/>
          <w:sz w:val="24"/>
          <w:szCs w:val="24"/>
          <w:highlight w:val="none"/>
        </w:rPr>
      </w:pPr>
      <w:r>
        <w:rPr>
          <w:rFonts w:hint="eastAsia" w:ascii="宋体" w:hAnsi="宋体" w:cs="宋体"/>
          <w:sz w:val="24"/>
          <w:szCs w:val="24"/>
          <w:highlight w:val="none"/>
        </w:rPr>
        <w:t>法定代表人或</w:t>
      </w:r>
    </w:p>
    <w:p w14:paraId="6E2B5123">
      <w:pPr>
        <w:pageBreakBefore w:val="0"/>
        <w:overflowPunct/>
        <w:bidi w:val="0"/>
        <w:spacing w:line="520" w:lineRule="exact"/>
        <w:ind w:firstLine="3600" w:firstLineChars="1500"/>
        <w:rPr>
          <w:rFonts w:hint="eastAsia" w:ascii="宋体" w:hAnsi="宋体" w:cs="宋体"/>
          <w:sz w:val="24"/>
          <w:szCs w:val="24"/>
          <w:highlight w:val="none"/>
        </w:rPr>
      </w:pPr>
      <w:r>
        <w:rPr>
          <w:rFonts w:hint="eastAsia" w:ascii="宋体" w:hAnsi="宋体" w:cs="宋体"/>
          <w:sz w:val="24"/>
          <w:szCs w:val="24"/>
          <w:highlight w:val="none"/>
        </w:rPr>
        <w:t>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（签字或盖章）</w:t>
      </w:r>
    </w:p>
    <w:p w14:paraId="6F6A2C1F">
      <w:pPr>
        <w:pStyle w:val="2"/>
        <w:rPr>
          <w:rFonts w:hint="eastAsia"/>
          <w:highlight w:val="none"/>
        </w:rPr>
      </w:pPr>
    </w:p>
    <w:p w14:paraId="3E913628">
      <w:pPr>
        <w:pageBreakBefore w:val="0"/>
        <w:overflowPunct/>
        <w:bidi w:val="0"/>
        <w:spacing w:line="520" w:lineRule="exact"/>
        <w:ind w:firstLine="3600" w:firstLineChars="1500"/>
        <w:rPr>
          <w:rFonts w:hint="eastAsia"/>
          <w:highlight w:val="none"/>
          <w:lang w:val="en-US" w:eastAsia="zh-CN"/>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CD4CF97">
      <w:pPr>
        <w:pageBreakBefore w:val="0"/>
        <w:overflowPunct/>
        <w:bidi w:val="0"/>
        <w:spacing w:before="195" w:beforeLines="50" w:after="195" w:afterLines="50" w:line="520" w:lineRule="exact"/>
        <w:jc w:val="center"/>
        <w:outlineLvl w:val="1"/>
        <w:rPr>
          <w:rFonts w:hint="eastAsia" w:ascii="宋体" w:hAnsi="宋体" w:eastAsia="宋体" w:cs="宋体"/>
          <w:b/>
          <w:color w:val="auto"/>
          <w:sz w:val="24"/>
          <w:szCs w:val="24"/>
          <w:highlight w:val="none"/>
        </w:rPr>
      </w:pPr>
      <w:bookmarkStart w:id="118" w:name="_Toc5991"/>
      <w:r>
        <w:rPr>
          <w:rFonts w:hint="eastAsia" w:ascii="宋体" w:hAnsi="宋体" w:cs="宋体"/>
          <w:b/>
          <w:color w:val="auto"/>
          <w:sz w:val="24"/>
          <w:szCs w:val="24"/>
          <w:highlight w:val="none"/>
          <w:lang w:eastAsia="zh-CN"/>
        </w:rPr>
        <w:t>（二）</w:t>
      </w:r>
      <w:r>
        <w:rPr>
          <w:rFonts w:hint="eastAsia" w:ascii="宋体" w:hAnsi="宋体" w:eastAsia="宋体" w:cs="宋体"/>
          <w:b/>
          <w:color w:val="auto"/>
          <w:sz w:val="24"/>
          <w:szCs w:val="24"/>
          <w:highlight w:val="none"/>
        </w:rPr>
        <w:t>商务响应偏离表</w:t>
      </w:r>
      <w:bookmarkEnd w:id="110"/>
      <w:bookmarkEnd w:id="111"/>
      <w:bookmarkEnd w:id="112"/>
      <w:bookmarkEnd w:id="113"/>
      <w:bookmarkEnd w:id="118"/>
    </w:p>
    <w:p w14:paraId="7CB3801E">
      <w:pPr>
        <w:pageBreakBefore w:val="0"/>
        <w:overflowPunct/>
        <w:bidi w:val="0"/>
        <w:spacing w:line="520" w:lineRule="exact"/>
        <w:ind w:firstLine="480" w:firstLineChars="200"/>
        <w:jc w:val="left"/>
        <w:rPr>
          <w:rFonts w:hint="eastAsia" w:ascii="宋体" w:hAnsi="宋体" w:cs="宋体"/>
          <w:bCs/>
          <w:sz w:val="24"/>
          <w:szCs w:val="24"/>
          <w:highlight w:val="none"/>
        </w:rPr>
      </w:pPr>
      <w:r>
        <w:rPr>
          <w:rFonts w:hint="eastAsia" w:ascii="宋体" w:hAnsi="宋体" w:cs="宋体"/>
          <w:bCs/>
          <w:sz w:val="24"/>
          <w:szCs w:val="24"/>
          <w:highlight w:val="none"/>
        </w:rPr>
        <w:t>项目名称：</w:t>
      </w:r>
    </w:p>
    <w:p w14:paraId="6757112C">
      <w:pPr>
        <w:pageBreakBefore w:val="0"/>
        <w:overflowPunct/>
        <w:bidi w:val="0"/>
        <w:spacing w:line="520" w:lineRule="exact"/>
        <w:ind w:firstLine="480" w:firstLineChars="200"/>
        <w:jc w:val="left"/>
        <w:rPr>
          <w:rFonts w:hint="eastAsia"/>
          <w:highlight w:val="none"/>
          <w:lang w:eastAsia="zh-CN"/>
        </w:rPr>
      </w:pPr>
      <w:r>
        <w:rPr>
          <w:rFonts w:hint="eastAsia" w:ascii="宋体" w:hAnsi="宋体" w:cs="宋体"/>
          <w:bCs/>
          <w:sz w:val="24"/>
          <w:szCs w:val="24"/>
          <w:highlight w:val="none"/>
        </w:rPr>
        <w:t>项目编号：</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523"/>
        <w:gridCol w:w="2544"/>
        <w:gridCol w:w="1554"/>
        <w:gridCol w:w="1355"/>
      </w:tblGrid>
      <w:tr w14:paraId="3C0450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778" w:type="dxa"/>
            <w:tcBorders>
              <w:tl2br w:val="nil"/>
              <w:tr2bl w:val="nil"/>
            </w:tcBorders>
            <w:noWrap w:val="0"/>
            <w:tcMar>
              <w:top w:w="57" w:type="dxa"/>
              <w:left w:w="28" w:type="dxa"/>
              <w:bottom w:w="57" w:type="dxa"/>
              <w:right w:w="28" w:type="dxa"/>
            </w:tcMar>
            <w:vAlign w:val="center"/>
          </w:tcPr>
          <w:p w14:paraId="561ACAA2">
            <w:pPr>
              <w:pageBreakBefore w:val="0"/>
              <w:overflowPunct/>
              <w:bidi w:val="0"/>
              <w:spacing w:line="520" w:lineRule="exact"/>
              <w:jc w:val="center"/>
              <w:rPr>
                <w:rFonts w:ascii="宋体" w:hAnsi="宋体" w:cs="宋体"/>
                <w:bCs/>
                <w:sz w:val="24"/>
                <w:szCs w:val="24"/>
                <w:highlight w:val="none"/>
              </w:rPr>
            </w:pPr>
            <w:r>
              <w:rPr>
                <w:rFonts w:hint="eastAsia" w:ascii="宋体" w:hAnsi="宋体" w:cs="宋体"/>
                <w:bCs/>
                <w:sz w:val="24"/>
                <w:szCs w:val="24"/>
                <w:highlight w:val="none"/>
              </w:rPr>
              <w:t>序号</w:t>
            </w:r>
          </w:p>
        </w:tc>
        <w:tc>
          <w:tcPr>
            <w:tcW w:w="2523" w:type="dxa"/>
            <w:tcBorders>
              <w:tl2br w:val="nil"/>
              <w:tr2bl w:val="nil"/>
            </w:tcBorders>
            <w:noWrap w:val="0"/>
            <w:tcMar>
              <w:top w:w="57" w:type="dxa"/>
              <w:left w:w="28" w:type="dxa"/>
              <w:bottom w:w="57" w:type="dxa"/>
              <w:right w:w="28" w:type="dxa"/>
            </w:tcMar>
            <w:vAlign w:val="center"/>
          </w:tcPr>
          <w:p w14:paraId="3C96916D">
            <w:pPr>
              <w:pageBreakBefore w:val="0"/>
              <w:overflowPunct/>
              <w:bidi w:val="0"/>
              <w:spacing w:line="520" w:lineRule="exact"/>
              <w:jc w:val="center"/>
              <w:rPr>
                <w:rFonts w:ascii="宋体" w:hAnsi="宋体" w:cs="宋体"/>
                <w:bCs/>
                <w:sz w:val="24"/>
                <w:szCs w:val="24"/>
                <w:highlight w:val="none"/>
              </w:rPr>
            </w:pPr>
            <w:r>
              <w:rPr>
                <w:rFonts w:hint="eastAsia" w:ascii="宋体" w:hAnsi="宋体" w:cs="宋体"/>
                <w:bCs/>
                <w:sz w:val="24"/>
                <w:szCs w:val="24"/>
                <w:highlight w:val="none"/>
              </w:rPr>
              <w:t>竞争性</w:t>
            </w:r>
            <w:r>
              <w:rPr>
                <w:rFonts w:hint="eastAsia" w:ascii="宋体" w:hAnsi="宋体" w:cs="宋体"/>
                <w:bCs/>
                <w:sz w:val="24"/>
                <w:szCs w:val="24"/>
                <w:highlight w:val="none"/>
                <w:lang w:eastAsia="zh-CN"/>
              </w:rPr>
              <w:t>谈判</w:t>
            </w:r>
            <w:r>
              <w:rPr>
                <w:rFonts w:hint="eastAsia" w:ascii="宋体" w:hAnsi="宋体" w:cs="宋体"/>
                <w:bCs/>
                <w:sz w:val="24"/>
                <w:szCs w:val="24"/>
                <w:highlight w:val="none"/>
              </w:rPr>
              <w:t>文件</w:t>
            </w:r>
          </w:p>
          <w:p w14:paraId="55192981">
            <w:pPr>
              <w:pageBreakBefore w:val="0"/>
              <w:overflowPunct/>
              <w:bidi w:val="0"/>
              <w:spacing w:line="520" w:lineRule="exact"/>
              <w:jc w:val="center"/>
              <w:rPr>
                <w:rFonts w:ascii="宋体" w:hAnsi="宋体" w:cs="宋体"/>
                <w:bCs/>
                <w:sz w:val="24"/>
                <w:szCs w:val="24"/>
                <w:highlight w:val="none"/>
              </w:rPr>
            </w:pPr>
            <w:r>
              <w:rPr>
                <w:rFonts w:hint="eastAsia" w:ascii="宋体" w:hAnsi="宋体" w:cs="宋体"/>
                <w:bCs/>
                <w:sz w:val="24"/>
                <w:szCs w:val="24"/>
                <w:highlight w:val="none"/>
              </w:rPr>
              <w:t>商务要求</w:t>
            </w:r>
          </w:p>
        </w:tc>
        <w:tc>
          <w:tcPr>
            <w:tcW w:w="2544" w:type="dxa"/>
            <w:tcBorders>
              <w:tl2br w:val="nil"/>
              <w:tr2bl w:val="nil"/>
            </w:tcBorders>
            <w:noWrap w:val="0"/>
            <w:tcMar>
              <w:top w:w="57" w:type="dxa"/>
              <w:left w:w="28" w:type="dxa"/>
              <w:bottom w:w="57" w:type="dxa"/>
              <w:right w:w="28" w:type="dxa"/>
            </w:tcMar>
            <w:vAlign w:val="center"/>
          </w:tcPr>
          <w:p w14:paraId="56CFD5FB">
            <w:pPr>
              <w:pageBreakBefore w:val="0"/>
              <w:overflowPunct/>
              <w:bidi w:val="0"/>
              <w:spacing w:line="520" w:lineRule="exact"/>
              <w:jc w:val="center"/>
              <w:rPr>
                <w:rFonts w:ascii="宋体" w:hAnsi="宋体" w:cs="宋体"/>
                <w:bCs/>
                <w:sz w:val="24"/>
                <w:szCs w:val="24"/>
                <w:highlight w:val="none"/>
              </w:rPr>
            </w:pPr>
            <w:r>
              <w:rPr>
                <w:rFonts w:hint="eastAsia" w:ascii="宋体" w:hAnsi="宋体" w:cs="宋体"/>
                <w:bCs/>
                <w:sz w:val="24"/>
                <w:szCs w:val="24"/>
                <w:highlight w:val="none"/>
              </w:rPr>
              <w:t>竞争性</w:t>
            </w:r>
            <w:r>
              <w:rPr>
                <w:rFonts w:hint="eastAsia" w:ascii="宋体" w:hAnsi="宋体" w:cs="宋体"/>
                <w:bCs/>
                <w:sz w:val="24"/>
                <w:szCs w:val="24"/>
                <w:highlight w:val="none"/>
                <w:lang w:eastAsia="zh-CN"/>
              </w:rPr>
              <w:t>谈判</w:t>
            </w:r>
            <w:r>
              <w:rPr>
                <w:rFonts w:hint="eastAsia" w:ascii="宋体" w:hAnsi="宋体" w:cs="宋体"/>
                <w:bCs/>
                <w:sz w:val="24"/>
                <w:szCs w:val="24"/>
                <w:highlight w:val="none"/>
              </w:rPr>
              <w:t>响应文件</w:t>
            </w:r>
          </w:p>
          <w:p w14:paraId="7A55E19D">
            <w:pPr>
              <w:pageBreakBefore w:val="0"/>
              <w:overflowPunct/>
              <w:bidi w:val="0"/>
              <w:spacing w:line="520" w:lineRule="exact"/>
              <w:jc w:val="center"/>
              <w:rPr>
                <w:rFonts w:ascii="宋体" w:hAnsi="宋体" w:cs="宋体"/>
                <w:bCs/>
                <w:sz w:val="24"/>
                <w:szCs w:val="24"/>
                <w:highlight w:val="none"/>
              </w:rPr>
            </w:pPr>
            <w:r>
              <w:rPr>
                <w:rFonts w:hint="eastAsia" w:ascii="宋体" w:hAnsi="宋体" w:cs="宋体"/>
                <w:bCs/>
                <w:sz w:val="24"/>
                <w:szCs w:val="24"/>
                <w:highlight w:val="none"/>
              </w:rPr>
              <w:t>商务响应</w:t>
            </w:r>
          </w:p>
        </w:tc>
        <w:tc>
          <w:tcPr>
            <w:tcW w:w="1554" w:type="dxa"/>
            <w:tcBorders>
              <w:tl2br w:val="nil"/>
              <w:tr2bl w:val="nil"/>
            </w:tcBorders>
            <w:noWrap w:val="0"/>
            <w:tcMar>
              <w:top w:w="57" w:type="dxa"/>
              <w:left w:w="28" w:type="dxa"/>
              <w:bottom w:w="57" w:type="dxa"/>
              <w:right w:w="28" w:type="dxa"/>
            </w:tcMar>
            <w:vAlign w:val="center"/>
          </w:tcPr>
          <w:p w14:paraId="1651D2B4">
            <w:pPr>
              <w:pageBreakBefore w:val="0"/>
              <w:overflowPunct/>
              <w:bidi w:val="0"/>
              <w:spacing w:line="520" w:lineRule="exact"/>
              <w:jc w:val="center"/>
              <w:rPr>
                <w:rFonts w:ascii="宋体" w:hAnsi="宋体" w:cs="宋体"/>
                <w:bCs/>
                <w:sz w:val="24"/>
                <w:szCs w:val="24"/>
                <w:highlight w:val="none"/>
              </w:rPr>
            </w:pPr>
            <w:r>
              <w:rPr>
                <w:rFonts w:hint="eastAsia" w:ascii="宋体" w:hAnsi="宋体" w:cs="宋体"/>
                <w:bCs/>
                <w:sz w:val="24"/>
                <w:szCs w:val="24"/>
                <w:highlight w:val="none"/>
              </w:rPr>
              <w:t>偏离情况</w:t>
            </w:r>
          </w:p>
        </w:tc>
        <w:tc>
          <w:tcPr>
            <w:tcW w:w="1355" w:type="dxa"/>
            <w:tcBorders>
              <w:tl2br w:val="nil"/>
              <w:tr2bl w:val="nil"/>
            </w:tcBorders>
            <w:noWrap w:val="0"/>
            <w:vAlign w:val="center"/>
          </w:tcPr>
          <w:p w14:paraId="445126DA">
            <w:pPr>
              <w:pageBreakBefore w:val="0"/>
              <w:overflowPunct/>
              <w:bidi w:val="0"/>
              <w:spacing w:line="520" w:lineRule="exact"/>
              <w:jc w:val="center"/>
              <w:rPr>
                <w:rFonts w:ascii="宋体" w:hAnsi="宋体" w:cs="宋体"/>
                <w:bCs/>
                <w:sz w:val="24"/>
                <w:szCs w:val="24"/>
                <w:highlight w:val="none"/>
              </w:rPr>
            </w:pPr>
            <w:r>
              <w:rPr>
                <w:rFonts w:hint="eastAsia" w:ascii="宋体" w:hAnsi="宋体" w:cs="宋体"/>
                <w:bCs/>
                <w:sz w:val="24"/>
                <w:szCs w:val="24"/>
                <w:highlight w:val="none"/>
              </w:rPr>
              <w:t>说明</w:t>
            </w:r>
          </w:p>
        </w:tc>
      </w:tr>
      <w:tr w14:paraId="791C22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78" w:type="dxa"/>
            <w:tcBorders>
              <w:tl2br w:val="nil"/>
              <w:tr2bl w:val="nil"/>
            </w:tcBorders>
            <w:noWrap w:val="0"/>
            <w:tcMar>
              <w:top w:w="57" w:type="dxa"/>
              <w:left w:w="28" w:type="dxa"/>
              <w:bottom w:w="57" w:type="dxa"/>
              <w:right w:w="28" w:type="dxa"/>
            </w:tcMar>
            <w:vAlign w:val="center"/>
          </w:tcPr>
          <w:p w14:paraId="2184B52A">
            <w:pPr>
              <w:pageBreakBefore w:val="0"/>
              <w:overflowPunct/>
              <w:bidi w:val="0"/>
              <w:spacing w:line="520" w:lineRule="exact"/>
              <w:ind w:firstLine="562" w:firstLineChars="200"/>
              <w:jc w:val="center"/>
              <w:rPr>
                <w:rFonts w:ascii="宋体" w:hAnsi="宋体" w:cs="宋体"/>
                <w:b/>
                <w:bCs/>
                <w:sz w:val="28"/>
                <w:szCs w:val="28"/>
                <w:highlight w:val="none"/>
              </w:rPr>
            </w:pPr>
          </w:p>
        </w:tc>
        <w:tc>
          <w:tcPr>
            <w:tcW w:w="2523" w:type="dxa"/>
            <w:tcBorders>
              <w:tl2br w:val="nil"/>
              <w:tr2bl w:val="nil"/>
            </w:tcBorders>
            <w:noWrap w:val="0"/>
            <w:tcMar>
              <w:top w:w="57" w:type="dxa"/>
              <w:left w:w="28" w:type="dxa"/>
              <w:bottom w:w="57" w:type="dxa"/>
              <w:right w:w="28" w:type="dxa"/>
            </w:tcMar>
            <w:vAlign w:val="center"/>
          </w:tcPr>
          <w:p w14:paraId="3E5D0F43">
            <w:pPr>
              <w:pageBreakBefore w:val="0"/>
              <w:overflowPunct/>
              <w:bidi w:val="0"/>
              <w:spacing w:line="520" w:lineRule="exact"/>
              <w:ind w:firstLine="562" w:firstLineChars="200"/>
              <w:jc w:val="center"/>
              <w:rPr>
                <w:rFonts w:ascii="宋体" w:hAnsi="宋体" w:cs="宋体"/>
                <w:b/>
                <w:bCs/>
                <w:sz w:val="28"/>
                <w:szCs w:val="28"/>
                <w:highlight w:val="none"/>
              </w:rPr>
            </w:pPr>
          </w:p>
        </w:tc>
        <w:tc>
          <w:tcPr>
            <w:tcW w:w="2544" w:type="dxa"/>
            <w:tcBorders>
              <w:tl2br w:val="nil"/>
              <w:tr2bl w:val="nil"/>
            </w:tcBorders>
            <w:noWrap w:val="0"/>
            <w:tcMar>
              <w:top w:w="57" w:type="dxa"/>
              <w:left w:w="28" w:type="dxa"/>
              <w:bottom w:w="57" w:type="dxa"/>
              <w:right w:w="28" w:type="dxa"/>
            </w:tcMar>
            <w:vAlign w:val="center"/>
          </w:tcPr>
          <w:p w14:paraId="6CF96688">
            <w:pPr>
              <w:pageBreakBefore w:val="0"/>
              <w:overflowPunct/>
              <w:bidi w:val="0"/>
              <w:spacing w:line="520" w:lineRule="exact"/>
              <w:ind w:firstLine="562" w:firstLineChars="200"/>
              <w:jc w:val="center"/>
              <w:rPr>
                <w:rFonts w:ascii="宋体" w:hAnsi="宋体" w:cs="宋体"/>
                <w:b/>
                <w:bCs/>
                <w:sz w:val="28"/>
                <w:szCs w:val="28"/>
                <w:highlight w:val="none"/>
              </w:rPr>
            </w:pPr>
          </w:p>
        </w:tc>
        <w:tc>
          <w:tcPr>
            <w:tcW w:w="1554" w:type="dxa"/>
            <w:tcBorders>
              <w:tl2br w:val="nil"/>
              <w:tr2bl w:val="nil"/>
            </w:tcBorders>
            <w:noWrap w:val="0"/>
            <w:tcMar>
              <w:top w:w="57" w:type="dxa"/>
              <w:left w:w="28" w:type="dxa"/>
              <w:bottom w:w="57" w:type="dxa"/>
              <w:right w:w="28" w:type="dxa"/>
            </w:tcMar>
            <w:vAlign w:val="center"/>
          </w:tcPr>
          <w:p w14:paraId="2ADDCB5B">
            <w:pPr>
              <w:pageBreakBefore w:val="0"/>
              <w:overflowPunct/>
              <w:bidi w:val="0"/>
              <w:spacing w:line="520" w:lineRule="exact"/>
              <w:ind w:firstLine="562" w:firstLineChars="200"/>
              <w:jc w:val="center"/>
              <w:rPr>
                <w:rFonts w:ascii="宋体" w:hAnsi="宋体" w:cs="宋体"/>
                <w:b/>
                <w:bCs/>
                <w:sz w:val="28"/>
                <w:szCs w:val="28"/>
                <w:highlight w:val="none"/>
              </w:rPr>
            </w:pPr>
          </w:p>
        </w:tc>
        <w:tc>
          <w:tcPr>
            <w:tcW w:w="1355" w:type="dxa"/>
            <w:tcBorders>
              <w:tl2br w:val="nil"/>
              <w:tr2bl w:val="nil"/>
            </w:tcBorders>
            <w:noWrap w:val="0"/>
            <w:vAlign w:val="center"/>
          </w:tcPr>
          <w:p w14:paraId="28DC8993">
            <w:pPr>
              <w:pageBreakBefore w:val="0"/>
              <w:overflowPunct/>
              <w:bidi w:val="0"/>
              <w:spacing w:line="520" w:lineRule="exact"/>
              <w:ind w:firstLine="562" w:firstLineChars="200"/>
              <w:jc w:val="center"/>
              <w:rPr>
                <w:rFonts w:ascii="宋体" w:hAnsi="宋体" w:cs="宋体"/>
                <w:b/>
                <w:bCs/>
                <w:sz w:val="28"/>
                <w:szCs w:val="28"/>
                <w:highlight w:val="none"/>
              </w:rPr>
            </w:pPr>
          </w:p>
        </w:tc>
      </w:tr>
      <w:tr w14:paraId="3F6543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78" w:type="dxa"/>
            <w:tcBorders>
              <w:tl2br w:val="nil"/>
              <w:tr2bl w:val="nil"/>
            </w:tcBorders>
            <w:noWrap w:val="0"/>
            <w:tcMar>
              <w:top w:w="57" w:type="dxa"/>
              <w:left w:w="28" w:type="dxa"/>
              <w:bottom w:w="57" w:type="dxa"/>
              <w:right w:w="28" w:type="dxa"/>
            </w:tcMar>
            <w:vAlign w:val="center"/>
          </w:tcPr>
          <w:p w14:paraId="5E7C70B7">
            <w:pPr>
              <w:pageBreakBefore w:val="0"/>
              <w:overflowPunct/>
              <w:bidi w:val="0"/>
              <w:spacing w:line="520" w:lineRule="exact"/>
              <w:ind w:firstLine="562" w:firstLineChars="200"/>
              <w:jc w:val="center"/>
              <w:rPr>
                <w:rFonts w:ascii="宋体" w:hAnsi="宋体" w:cs="宋体"/>
                <w:b/>
                <w:bCs/>
                <w:sz w:val="28"/>
                <w:szCs w:val="28"/>
                <w:highlight w:val="none"/>
              </w:rPr>
            </w:pPr>
          </w:p>
        </w:tc>
        <w:tc>
          <w:tcPr>
            <w:tcW w:w="2523" w:type="dxa"/>
            <w:tcBorders>
              <w:tl2br w:val="nil"/>
              <w:tr2bl w:val="nil"/>
            </w:tcBorders>
            <w:noWrap w:val="0"/>
            <w:tcMar>
              <w:top w:w="57" w:type="dxa"/>
              <w:left w:w="28" w:type="dxa"/>
              <w:bottom w:w="57" w:type="dxa"/>
              <w:right w:w="28" w:type="dxa"/>
            </w:tcMar>
            <w:vAlign w:val="center"/>
          </w:tcPr>
          <w:p w14:paraId="349D8946">
            <w:pPr>
              <w:pageBreakBefore w:val="0"/>
              <w:overflowPunct/>
              <w:bidi w:val="0"/>
              <w:spacing w:line="520" w:lineRule="exact"/>
              <w:ind w:firstLine="562" w:firstLineChars="200"/>
              <w:jc w:val="center"/>
              <w:rPr>
                <w:rFonts w:ascii="宋体" w:hAnsi="宋体" w:cs="宋体"/>
                <w:b/>
                <w:bCs/>
                <w:sz w:val="28"/>
                <w:szCs w:val="28"/>
                <w:highlight w:val="none"/>
              </w:rPr>
            </w:pPr>
          </w:p>
        </w:tc>
        <w:tc>
          <w:tcPr>
            <w:tcW w:w="2544" w:type="dxa"/>
            <w:tcBorders>
              <w:tl2br w:val="nil"/>
              <w:tr2bl w:val="nil"/>
            </w:tcBorders>
            <w:noWrap w:val="0"/>
            <w:tcMar>
              <w:top w:w="57" w:type="dxa"/>
              <w:left w:w="28" w:type="dxa"/>
              <w:bottom w:w="57" w:type="dxa"/>
              <w:right w:w="28" w:type="dxa"/>
            </w:tcMar>
            <w:vAlign w:val="center"/>
          </w:tcPr>
          <w:p w14:paraId="04DEDA4F">
            <w:pPr>
              <w:pageBreakBefore w:val="0"/>
              <w:overflowPunct/>
              <w:bidi w:val="0"/>
              <w:spacing w:line="520" w:lineRule="exact"/>
              <w:ind w:firstLine="562" w:firstLineChars="200"/>
              <w:jc w:val="center"/>
              <w:rPr>
                <w:rFonts w:ascii="宋体" w:hAnsi="宋体" w:cs="宋体"/>
                <w:b/>
                <w:bCs/>
                <w:sz w:val="28"/>
                <w:szCs w:val="28"/>
                <w:highlight w:val="none"/>
              </w:rPr>
            </w:pPr>
          </w:p>
        </w:tc>
        <w:tc>
          <w:tcPr>
            <w:tcW w:w="1554" w:type="dxa"/>
            <w:tcBorders>
              <w:tl2br w:val="nil"/>
              <w:tr2bl w:val="nil"/>
            </w:tcBorders>
            <w:noWrap w:val="0"/>
            <w:tcMar>
              <w:top w:w="57" w:type="dxa"/>
              <w:left w:w="28" w:type="dxa"/>
              <w:bottom w:w="57" w:type="dxa"/>
              <w:right w:w="28" w:type="dxa"/>
            </w:tcMar>
            <w:vAlign w:val="center"/>
          </w:tcPr>
          <w:p w14:paraId="52D89259">
            <w:pPr>
              <w:pageBreakBefore w:val="0"/>
              <w:overflowPunct/>
              <w:bidi w:val="0"/>
              <w:spacing w:line="520" w:lineRule="exact"/>
              <w:ind w:firstLine="562" w:firstLineChars="200"/>
              <w:jc w:val="center"/>
              <w:rPr>
                <w:rFonts w:ascii="宋体" w:hAnsi="宋体" w:cs="宋体"/>
                <w:b/>
                <w:bCs/>
                <w:sz w:val="28"/>
                <w:szCs w:val="28"/>
                <w:highlight w:val="none"/>
              </w:rPr>
            </w:pPr>
          </w:p>
        </w:tc>
        <w:tc>
          <w:tcPr>
            <w:tcW w:w="1355" w:type="dxa"/>
            <w:tcBorders>
              <w:tl2br w:val="nil"/>
              <w:tr2bl w:val="nil"/>
            </w:tcBorders>
            <w:noWrap w:val="0"/>
            <w:vAlign w:val="center"/>
          </w:tcPr>
          <w:p w14:paraId="78E981D5">
            <w:pPr>
              <w:pageBreakBefore w:val="0"/>
              <w:overflowPunct/>
              <w:bidi w:val="0"/>
              <w:spacing w:line="520" w:lineRule="exact"/>
              <w:ind w:firstLine="562" w:firstLineChars="200"/>
              <w:jc w:val="center"/>
              <w:rPr>
                <w:rFonts w:ascii="宋体" w:hAnsi="宋体" w:cs="宋体"/>
                <w:b/>
                <w:bCs/>
                <w:sz w:val="28"/>
                <w:szCs w:val="28"/>
                <w:highlight w:val="none"/>
              </w:rPr>
            </w:pPr>
          </w:p>
        </w:tc>
      </w:tr>
      <w:tr w14:paraId="779162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Borders>
              <w:tl2br w:val="nil"/>
              <w:tr2bl w:val="nil"/>
            </w:tcBorders>
            <w:noWrap w:val="0"/>
            <w:tcMar>
              <w:top w:w="57" w:type="dxa"/>
              <w:left w:w="28" w:type="dxa"/>
              <w:bottom w:w="57" w:type="dxa"/>
              <w:right w:w="28" w:type="dxa"/>
            </w:tcMar>
            <w:vAlign w:val="center"/>
          </w:tcPr>
          <w:p w14:paraId="22FE8554">
            <w:pPr>
              <w:pageBreakBefore w:val="0"/>
              <w:overflowPunct/>
              <w:bidi w:val="0"/>
              <w:spacing w:line="520" w:lineRule="exact"/>
              <w:ind w:firstLine="562" w:firstLineChars="200"/>
              <w:jc w:val="center"/>
              <w:rPr>
                <w:rFonts w:ascii="宋体" w:hAnsi="宋体" w:cs="宋体"/>
                <w:b/>
                <w:bCs/>
                <w:sz w:val="28"/>
                <w:szCs w:val="28"/>
                <w:highlight w:val="none"/>
              </w:rPr>
            </w:pPr>
          </w:p>
        </w:tc>
        <w:tc>
          <w:tcPr>
            <w:tcW w:w="2523" w:type="dxa"/>
            <w:tcBorders>
              <w:tl2br w:val="nil"/>
              <w:tr2bl w:val="nil"/>
            </w:tcBorders>
            <w:noWrap w:val="0"/>
            <w:tcMar>
              <w:top w:w="57" w:type="dxa"/>
              <w:left w:w="28" w:type="dxa"/>
              <w:bottom w:w="57" w:type="dxa"/>
              <w:right w:w="28" w:type="dxa"/>
            </w:tcMar>
            <w:vAlign w:val="center"/>
          </w:tcPr>
          <w:p w14:paraId="270EEF39">
            <w:pPr>
              <w:pageBreakBefore w:val="0"/>
              <w:overflowPunct/>
              <w:bidi w:val="0"/>
              <w:spacing w:line="520" w:lineRule="exact"/>
              <w:ind w:firstLine="562" w:firstLineChars="200"/>
              <w:jc w:val="center"/>
              <w:rPr>
                <w:rFonts w:ascii="宋体" w:hAnsi="宋体" w:cs="宋体"/>
                <w:b/>
                <w:bCs/>
                <w:sz w:val="28"/>
                <w:szCs w:val="28"/>
                <w:highlight w:val="none"/>
              </w:rPr>
            </w:pPr>
          </w:p>
        </w:tc>
        <w:tc>
          <w:tcPr>
            <w:tcW w:w="2544" w:type="dxa"/>
            <w:tcBorders>
              <w:tl2br w:val="nil"/>
              <w:tr2bl w:val="nil"/>
            </w:tcBorders>
            <w:noWrap w:val="0"/>
            <w:tcMar>
              <w:top w:w="57" w:type="dxa"/>
              <w:left w:w="28" w:type="dxa"/>
              <w:bottom w:w="57" w:type="dxa"/>
              <w:right w:w="28" w:type="dxa"/>
            </w:tcMar>
            <w:vAlign w:val="center"/>
          </w:tcPr>
          <w:p w14:paraId="22E831D7">
            <w:pPr>
              <w:pageBreakBefore w:val="0"/>
              <w:overflowPunct/>
              <w:bidi w:val="0"/>
              <w:spacing w:line="520" w:lineRule="exact"/>
              <w:ind w:firstLine="562" w:firstLineChars="200"/>
              <w:jc w:val="center"/>
              <w:rPr>
                <w:rFonts w:ascii="宋体" w:hAnsi="宋体" w:cs="宋体"/>
                <w:b/>
                <w:bCs/>
                <w:sz w:val="28"/>
                <w:szCs w:val="28"/>
                <w:highlight w:val="none"/>
              </w:rPr>
            </w:pPr>
          </w:p>
        </w:tc>
        <w:tc>
          <w:tcPr>
            <w:tcW w:w="1554" w:type="dxa"/>
            <w:tcBorders>
              <w:tl2br w:val="nil"/>
              <w:tr2bl w:val="nil"/>
            </w:tcBorders>
            <w:noWrap w:val="0"/>
            <w:tcMar>
              <w:top w:w="57" w:type="dxa"/>
              <w:left w:w="28" w:type="dxa"/>
              <w:bottom w:w="57" w:type="dxa"/>
              <w:right w:w="28" w:type="dxa"/>
            </w:tcMar>
            <w:vAlign w:val="center"/>
          </w:tcPr>
          <w:p w14:paraId="5B24F9A4">
            <w:pPr>
              <w:pageBreakBefore w:val="0"/>
              <w:overflowPunct/>
              <w:bidi w:val="0"/>
              <w:spacing w:line="520" w:lineRule="exact"/>
              <w:ind w:firstLine="562" w:firstLineChars="200"/>
              <w:jc w:val="center"/>
              <w:rPr>
                <w:rFonts w:ascii="宋体" w:hAnsi="宋体" w:cs="宋体"/>
                <w:b/>
                <w:bCs/>
                <w:sz w:val="28"/>
                <w:szCs w:val="28"/>
                <w:highlight w:val="none"/>
              </w:rPr>
            </w:pPr>
          </w:p>
        </w:tc>
        <w:tc>
          <w:tcPr>
            <w:tcW w:w="1355" w:type="dxa"/>
            <w:tcBorders>
              <w:tl2br w:val="nil"/>
              <w:tr2bl w:val="nil"/>
            </w:tcBorders>
            <w:noWrap w:val="0"/>
            <w:vAlign w:val="center"/>
          </w:tcPr>
          <w:p w14:paraId="7AE1B598">
            <w:pPr>
              <w:pageBreakBefore w:val="0"/>
              <w:overflowPunct/>
              <w:bidi w:val="0"/>
              <w:spacing w:line="520" w:lineRule="exact"/>
              <w:ind w:firstLine="562" w:firstLineChars="200"/>
              <w:jc w:val="center"/>
              <w:rPr>
                <w:rFonts w:ascii="宋体" w:hAnsi="宋体" w:cs="宋体"/>
                <w:b/>
                <w:bCs/>
                <w:sz w:val="28"/>
                <w:szCs w:val="28"/>
                <w:highlight w:val="none"/>
              </w:rPr>
            </w:pPr>
          </w:p>
        </w:tc>
      </w:tr>
      <w:tr w14:paraId="311B4D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Borders>
              <w:tl2br w:val="nil"/>
              <w:tr2bl w:val="nil"/>
            </w:tcBorders>
            <w:noWrap w:val="0"/>
            <w:tcMar>
              <w:top w:w="57" w:type="dxa"/>
              <w:left w:w="28" w:type="dxa"/>
              <w:bottom w:w="57" w:type="dxa"/>
              <w:right w:w="28" w:type="dxa"/>
            </w:tcMar>
            <w:vAlign w:val="center"/>
          </w:tcPr>
          <w:p w14:paraId="3D73712E">
            <w:pPr>
              <w:pageBreakBefore w:val="0"/>
              <w:overflowPunct/>
              <w:bidi w:val="0"/>
              <w:spacing w:line="520" w:lineRule="exact"/>
              <w:ind w:firstLine="562" w:firstLineChars="200"/>
              <w:jc w:val="center"/>
              <w:rPr>
                <w:rFonts w:ascii="宋体" w:hAnsi="宋体" w:cs="宋体"/>
                <w:b/>
                <w:bCs/>
                <w:sz w:val="28"/>
                <w:szCs w:val="28"/>
                <w:highlight w:val="none"/>
              </w:rPr>
            </w:pPr>
          </w:p>
        </w:tc>
        <w:tc>
          <w:tcPr>
            <w:tcW w:w="2523" w:type="dxa"/>
            <w:tcBorders>
              <w:tl2br w:val="nil"/>
              <w:tr2bl w:val="nil"/>
            </w:tcBorders>
            <w:noWrap w:val="0"/>
            <w:tcMar>
              <w:top w:w="57" w:type="dxa"/>
              <w:left w:w="28" w:type="dxa"/>
              <w:bottom w:w="57" w:type="dxa"/>
              <w:right w:w="28" w:type="dxa"/>
            </w:tcMar>
            <w:vAlign w:val="center"/>
          </w:tcPr>
          <w:p w14:paraId="050EC799">
            <w:pPr>
              <w:pageBreakBefore w:val="0"/>
              <w:overflowPunct/>
              <w:bidi w:val="0"/>
              <w:spacing w:line="520" w:lineRule="exact"/>
              <w:ind w:firstLine="562" w:firstLineChars="200"/>
              <w:jc w:val="center"/>
              <w:rPr>
                <w:rFonts w:ascii="宋体" w:hAnsi="宋体" w:cs="宋体"/>
                <w:b/>
                <w:bCs/>
                <w:sz w:val="28"/>
                <w:szCs w:val="28"/>
                <w:highlight w:val="none"/>
              </w:rPr>
            </w:pPr>
          </w:p>
        </w:tc>
        <w:tc>
          <w:tcPr>
            <w:tcW w:w="2544" w:type="dxa"/>
            <w:tcBorders>
              <w:tl2br w:val="nil"/>
              <w:tr2bl w:val="nil"/>
            </w:tcBorders>
            <w:noWrap w:val="0"/>
            <w:tcMar>
              <w:top w:w="57" w:type="dxa"/>
              <w:left w:w="28" w:type="dxa"/>
              <w:bottom w:w="57" w:type="dxa"/>
              <w:right w:w="28" w:type="dxa"/>
            </w:tcMar>
            <w:vAlign w:val="center"/>
          </w:tcPr>
          <w:p w14:paraId="3F014F63">
            <w:pPr>
              <w:pageBreakBefore w:val="0"/>
              <w:overflowPunct/>
              <w:bidi w:val="0"/>
              <w:spacing w:line="520" w:lineRule="exact"/>
              <w:ind w:firstLine="562" w:firstLineChars="200"/>
              <w:jc w:val="center"/>
              <w:rPr>
                <w:rFonts w:ascii="宋体" w:hAnsi="宋体" w:cs="宋体"/>
                <w:b/>
                <w:bCs/>
                <w:sz w:val="28"/>
                <w:szCs w:val="28"/>
                <w:highlight w:val="none"/>
              </w:rPr>
            </w:pPr>
          </w:p>
        </w:tc>
        <w:tc>
          <w:tcPr>
            <w:tcW w:w="1554" w:type="dxa"/>
            <w:tcBorders>
              <w:tl2br w:val="nil"/>
              <w:tr2bl w:val="nil"/>
            </w:tcBorders>
            <w:noWrap w:val="0"/>
            <w:tcMar>
              <w:top w:w="57" w:type="dxa"/>
              <w:left w:w="28" w:type="dxa"/>
              <w:bottom w:w="57" w:type="dxa"/>
              <w:right w:w="28" w:type="dxa"/>
            </w:tcMar>
            <w:vAlign w:val="center"/>
          </w:tcPr>
          <w:p w14:paraId="770840BE">
            <w:pPr>
              <w:pageBreakBefore w:val="0"/>
              <w:overflowPunct/>
              <w:bidi w:val="0"/>
              <w:spacing w:line="520" w:lineRule="exact"/>
              <w:ind w:firstLine="562" w:firstLineChars="200"/>
              <w:jc w:val="center"/>
              <w:rPr>
                <w:rFonts w:ascii="宋体" w:hAnsi="宋体" w:cs="宋体"/>
                <w:b/>
                <w:bCs/>
                <w:sz w:val="28"/>
                <w:szCs w:val="28"/>
                <w:highlight w:val="none"/>
              </w:rPr>
            </w:pPr>
          </w:p>
        </w:tc>
        <w:tc>
          <w:tcPr>
            <w:tcW w:w="1355" w:type="dxa"/>
            <w:tcBorders>
              <w:tl2br w:val="nil"/>
              <w:tr2bl w:val="nil"/>
            </w:tcBorders>
            <w:noWrap w:val="0"/>
            <w:vAlign w:val="center"/>
          </w:tcPr>
          <w:p w14:paraId="0355E039">
            <w:pPr>
              <w:pageBreakBefore w:val="0"/>
              <w:overflowPunct/>
              <w:bidi w:val="0"/>
              <w:spacing w:line="520" w:lineRule="exact"/>
              <w:ind w:firstLine="562" w:firstLineChars="200"/>
              <w:jc w:val="center"/>
              <w:rPr>
                <w:rFonts w:ascii="宋体" w:hAnsi="宋体" w:cs="宋体"/>
                <w:b/>
                <w:bCs/>
                <w:sz w:val="28"/>
                <w:szCs w:val="28"/>
                <w:highlight w:val="none"/>
              </w:rPr>
            </w:pPr>
          </w:p>
        </w:tc>
      </w:tr>
      <w:tr w14:paraId="735BB9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Borders>
              <w:tl2br w:val="nil"/>
              <w:tr2bl w:val="nil"/>
            </w:tcBorders>
            <w:noWrap w:val="0"/>
            <w:tcMar>
              <w:top w:w="57" w:type="dxa"/>
              <w:left w:w="28" w:type="dxa"/>
              <w:bottom w:w="57" w:type="dxa"/>
              <w:right w:w="28" w:type="dxa"/>
            </w:tcMar>
            <w:vAlign w:val="center"/>
          </w:tcPr>
          <w:p w14:paraId="1CCA01CF">
            <w:pPr>
              <w:pageBreakBefore w:val="0"/>
              <w:overflowPunct/>
              <w:bidi w:val="0"/>
              <w:spacing w:line="520" w:lineRule="exact"/>
              <w:ind w:firstLine="562" w:firstLineChars="200"/>
              <w:jc w:val="center"/>
              <w:rPr>
                <w:rFonts w:ascii="宋体" w:hAnsi="宋体" w:cs="宋体"/>
                <w:b/>
                <w:bCs/>
                <w:sz w:val="28"/>
                <w:szCs w:val="28"/>
                <w:highlight w:val="none"/>
              </w:rPr>
            </w:pPr>
          </w:p>
        </w:tc>
        <w:tc>
          <w:tcPr>
            <w:tcW w:w="2523" w:type="dxa"/>
            <w:tcBorders>
              <w:tl2br w:val="nil"/>
              <w:tr2bl w:val="nil"/>
            </w:tcBorders>
            <w:noWrap w:val="0"/>
            <w:tcMar>
              <w:top w:w="57" w:type="dxa"/>
              <w:left w:w="28" w:type="dxa"/>
              <w:bottom w:w="57" w:type="dxa"/>
              <w:right w:w="28" w:type="dxa"/>
            </w:tcMar>
            <w:vAlign w:val="center"/>
          </w:tcPr>
          <w:p w14:paraId="11410412">
            <w:pPr>
              <w:pageBreakBefore w:val="0"/>
              <w:overflowPunct/>
              <w:bidi w:val="0"/>
              <w:spacing w:line="520" w:lineRule="exact"/>
              <w:ind w:firstLine="562" w:firstLineChars="200"/>
              <w:jc w:val="center"/>
              <w:rPr>
                <w:rFonts w:ascii="宋体" w:hAnsi="宋体" w:cs="宋体"/>
                <w:b/>
                <w:bCs/>
                <w:sz w:val="28"/>
                <w:szCs w:val="28"/>
                <w:highlight w:val="none"/>
              </w:rPr>
            </w:pPr>
          </w:p>
        </w:tc>
        <w:tc>
          <w:tcPr>
            <w:tcW w:w="2544" w:type="dxa"/>
            <w:tcBorders>
              <w:tl2br w:val="nil"/>
              <w:tr2bl w:val="nil"/>
            </w:tcBorders>
            <w:noWrap w:val="0"/>
            <w:tcMar>
              <w:top w:w="57" w:type="dxa"/>
              <w:left w:w="28" w:type="dxa"/>
              <w:bottom w:w="57" w:type="dxa"/>
              <w:right w:w="28" w:type="dxa"/>
            </w:tcMar>
            <w:vAlign w:val="center"/>
          </w:tcPr>
          <w:p w14:paraId="3438FD53">
            <w:pPr>
              <w:pageBreakBefore w:val="0"/>
              <w:overflowPunct/>
              <w:bidi w:val="0"/>
              <w:spacing w:line="520" w:lineRule="exact"/>
              <w:ind w:firstLine="562" w:firstLineChars="200"/>
              <w:jc w:val="center"/>
              <w:rPr>
                <w:rFonts w:ascii="宋体" w:hAnsi="宋体" w:cs="宋体"/>
                <w:b/>
                <w:bCs/>
                <w:sz w:val="28"/>
                <w:szCs w:val="28"/>
                <w:highlight w:val="none"/>
              </w:rPr>
            </w:pPr>
          </w:p>
        </w:tc>
        <w:tc>
          <w:tcPr>
            <w:tcW w:w="1554" w:type="dxa"/>
            <w:tcBorders>
              <w:tl2br w:val="nil"/>
              <w:tr2bl w:val="nil"/>
            </w:tcBorders>
            <w:noWrap w:val="0"/>
            <w:tcMar>
              <w:top w:w="57" w:type="dxa"/>
              <w:left w:w="28" w:type="dxa"/>
              <w:bottom w:w="57" w:type="dxa"/>
              <w:right w:w="28" w:type="dxa"/>
            </w:tcMar>
            <w:vAlign w:val="center"/>
          </w:tcPr>
          <w:p w14:paraId="166B6A1E">
            <w:pPr>
              <w:pageBreakBefore w:val="0"/>
              <w:overflowPunct/>
              <w:bidi w:val="0"/>
              <w:spacing w:line="520" w:lineRule="exact"/>
              <w:ind w:firstLine="562" w:firstLineChars="200"/>
              <w:jc w:val="center"/>
              <w:rPr>
                <w:rFonts w:ascii="宋体" w:hAnsi="宋体" w:cs="宋体"/>
                <w:b/>
                <w:bCs/>
                <w:sz w:val="28"/>
                <w:szCs w:val="28"/>
                <w:highlight w:val="none"/>
              </w:rPr>
            </w:pPr>
          </w:p>
        </w:tc>
        <w:tc>
          <w:tcPr>
            <w:tcW w:w="1355" w:type="dxa"/>
            <w:tcBorders>
              <w:tl2br w:val="nil"/>
              <w:tr2bl w:val="nil"/>
            </w:tcBorders>
            <w:noWrap w:val="0"/>
            <w:vAlign w:val="center"/>
          </w:tcPr>
          <w:p w14:paraId="1F55F248">
            <w:pPr>
              <w:pageBreakBefore w:val="0"/>
              <w:overflowPunct/>
              <w:bidi w:val="0"/>
              <w:spacing w:line="520" w:lineRule="exact"/>
              <w:ind w:firstLine="562" w:firstLineChars="200"/>
              <w:jc w:val="center"/>
              <w:rPr>
                <w:rFonts w:ascii="宋体" w:hAnsi="宋体" w:cs="宋体"/>
                <w:b/>
                <w:bCs/>
                <w:sz w:val="28"/>
                <w:szCs w:val="28"/>
                <w:highlight w:val="none"/>
              </w:rPr>
            </w:pPr>
          </w:p>
        </w:tc>
      </w:tr>
      <w:tr w14:paraId="773B7F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Borders>
              <w:tl2br w:val="nil"/>
              <w:tr2bl w:val="nil"/>
            </w:tcBorders>
            <w:noWrap w:val="0"/>
            <w:tcMar>
              <w:top w:w="57" w:type="dxa"/>
              <w:left w:w="28" w:type="dxa"/>
              <w:bottom w:w="57" w:type="dxa"/>
              <w:right w:w="28" w:type="dxa"/>
            </w:tcMar>
            <w:vAlign w:val="center"/>
          </w:tcPr>
          <w:p w14:paraId="2CF5D1C0">
            <w:pPr>
              <w:pageBreakBefore w:val="0"/>
              <w:overflowPunct/>
              <w:bidi w:val="0"/>
              <w:spacing w:line="520" w:lineRule="exact"/>
              <w:ind w:firstLine="562" w:firstLineChars="200"/>
              <w:jc w:val="center"/>
              <w:rPr>
                <w:rFonts w:ascii="宋体" w:hAnsi="宋体" w:cs="宋体"/>
                <w:b/>
                <w:bCs/>
                <w:sz w:val="28"/>
                <w:szCs w:val="28"/>
                <w:highlight w:val="none"/>
              </w:rPr>
            </w:pPr>
          </w:p>
        </w:tc>
        <w:tc>
          <w:tcPr>
            <w:tcW w:w="2523" w:type="dxa"/>
            <w:tcBorders>
              <w:tl2br w:val="nil"/>
              <w:tr2bl w:val="nil"/>
            </w:tcBorders>
            <w:noWrap w:val="0"/>
            <w:tcMar>
              <w:top w:w="57" w:type="dxa"/>
              <w:left w:w="28" w:type="dxa"/>
              <w:bottom w:w="57" w:type="dxa"/>
              <w:right w:w="28" w:type="dxa"/>
            </w:tcMar>
            <w:vAlign w:val="center"/>
          </w:tcPr>
          <w:p w14:paraId="02E1748A">
            <w:pPr>
              <w:pageBreakBefore w:val="0"/>
              <w:overflowPunct/>
              <w:bidi w:val="0"/>
              <w:spacing w:line="520" w:lineRule="exact"/>
              <w:ind w:firstLine="562" w:firstLineChars="200"/>
              <w:jc w:val="center"/>
              <w:rPr>
                <w:rFonts w:ascii="宋体" w:hAnsi="宋体" w:cs="宋体"/>
                <w:b/>
                <w:bCs/>
                <w:sz w:val="28"/>
                <w:szCs w:val="28"/>
                <w:highlight w:val="none"/>
              </w:rPr>
            </w:pPr>
          </w:p>
        </w:tc>
        <w:tc>
          <w:tcPr>
            <w:tcW w:w="2544" w:type="dxa"/>
            <w:tcBorders>
              <w:tl2br w:val="nil"/>
              <w:tr2bl w:val="nil"/>
            </w:tcBorders>
            <w:noWrap w:val="0"/>
            <w:tcMar>
              <w:top w:w="57" w:type="dxa"/>
              <w:left w:w="28" w:type="dxa"/>
              <w:bottom w:w="57" w:type="dxa"/>
              <w:right w:w="28" w:type="dxa"/>
            </w:tcMar>
            <w:vAlign w:val="center"/>
          </w:tcPr>
          <w:p w14:paraId="08391AFC">
            <w:pPr>
              <w:pageBreakBefore w:val="0"/>
              <w:overflowPunct/>
              <w:bidi w:val="0"/>
              <w:spacing w:line="520" w:lineRule="exact"/>
              <w:ind w:firstLine="562" w:firstLineChars="200"/>
              <w:jc w:val="center"/>
              <w:rPr>
                <w:rFonts w:ascii="宋体" w:hAnsi="宋体" w:cs="宋体"/>
                <w:b/>
                <w:bCs/>
                <w:sz w:val="28"/>
                <w:szCs w:val="28"/>
                <w:highlight w:val="none"/>
              </w:rPr>
            </w:pPr>
          </w:p>
        </w:tc>
        <w:tc>
          <w:tcPr>
            <w:tcW w:w="1554" w:type="dxa"/>
            <w:tcBorders>
              <w:tl2br w:val="nil"/>
              <w:tr2bl w:val="nil"/>
            </w:tcBorders>
            <w:noWrap w:val="0"/>
            <w:tcMar>
              <w:top w:w="57" w:type="dxa"/>
              <w:left w:w="28" w:type="dxa"/>
              <w:bottom w:w="57" w:type="dxa"/>
              <w:right w:w="28" w:type="dxa"/>
            </w:tcMar>
            <w:vAlign w:val="center"/>
          </w:tcPr>
          <w:p w14:paraId="07A87B1D">
            <w:pPr>
              <w:pageBreakBefore w:val="0"/>
              <w:overflowPunct/>
              <w:bidi w:val="0"/>
              <w:spacing w:line="520" w:lineRule="exact"/>
              <w:ind w:firstLine="562" w:firstLineChars="200"/>
              <w:jc w:val="center"/>
              <w:rPr>
                <w:rFonts w:ascii="宋体" w:hAnsi="宋体" w:cs="宋体"/>
                <w:b/>
                <w:bCs/>
                <w:sz w:val="28"/>
                <w:szCs w:val="28"/>
                <w:highlight w:val="none"/>
              </w:rPr>
            </w:pPr>
          </w:p>
        </w:tc>
        <w:tc>
          <w:tcPr>
            <w:tcW w:w="1355" w:type="dxa"/>
            <w:tcBorders>
              <w:tl2br w:val="nil"/>
              <w:tr2bl w:val="nil"/>
            </w:tcBorders>
            <w:noWrap w:val="0"/>
            <w:vAlign w:val="center"/>
          </w:tcPr>
          <w:p w14:paraId="66F44F3B">
            <w:pPr>
              <w:pageBreakBefore w:val="0"/>
              <w:overflowPunct/>
              <w:bidi w:val="0"/>
              <w:spacing w:line="520" w:lineRule="exact"/>
              <w:ind w:firstLine="562" w:firstLineChars="200"/>
              <w:jc w:val="center"/>
              <w:rPr>
                <w:rFonts w:ascii="宋体" w:hAnsi="宋体" w:cs="宋体"/>
                <w:b/>
                <w:bCs/>
                <w:sz w:val="28"/>
                <w:szCs w:val="28"/>
                <w:highlight w:val="none"/>
              </w:rPr>
            </w:pPr>
          </w:p>
        </w:tc>
      </w:tr>
      <w:tr w14:paraId="50027A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Borders>
              <w:tl2br w:val="nil"/>
              <w:tr2bl w:val="nil"/>
            </w:tcBorders>
            <w:noWrap w:val="0"/>
            <w:tcMar>
              <w:top w:w="57" w:type="dxa"/>
              <w:left w:w="28" w:type="dxa"/>
              <w:bottom w:w="57" w:type="dxa"/>
              <w:right w:w="28" w:type="dxa"/>
            </w:tcMar>
            <w:vAlign w:val="center"/>
          </w:tcPr>
          <w:p w14:paraId="4133E66B">
            <w:pPr>
              <w:pageBreakBefore w:val="0"/>
              <w:overflowPunct/>
              <w:bidi w:val="0"/>
              <w:spacing w:line="520" w:lineRule="exact"/>
              <w:ind w:firstLine="560" w:firstLineChars="200"/>
              <w:jc w:val="center"/>
              <w:rPr>
                <w:rFonts w:ascii="宋体" w:hAnsi="宋体" w:cs="宋体"/>
                <w:sz w:val="28"/>
                <w:szCs w:val="28"/>
                <w:highlight w:val="none"/>
              </w:rPr>
            </w:pPr>
          </w:p>
        </w:tc>
        <w:tc>
          <w:tcPr>
            <w:tcW w:w="2523" w:type="dxa"/>
            <w:tcBorders>
              <w:tl2br w:val="nil"/>
              <w:tr2bl w:val="nil"/>
            </w:tcBorders>
            <w:noWrap w:val="0"/>
            <w:tcMar>
              <w:top w:w="57" w:type="dxa"/>
              <w:left w:w="28" w:type="dxa"/>
              <w:bottom w:w="57" w:type="dxa"/>
              <w:right w:w="28" w:type="dxa"/>
            </w:tcMar>
            <w:vAlign w:val="center"/>
          </w:tcPr>
          <w:p w14:paraId="5E577B2E">
            <w:pPr>
              <w:pageBreakBefore w:val="0"/>
              <w:overflowPunct/>
              <w:bidi w:val="0"/>
              <w:spacing w:line="520" w:lineRule="exact"/>
              <w:ind w:firstLine="560" w:firstLineChars="200"/>
              <w:jc w:val="center"/>
              <w:rPr>
                <w:rFonts w:ascii="宋体" w:hAnsi="宋体" w:cs="宋体"/>
                <w:sz w:val="28"/>
                <w:szCs w:val="28"/>
                <w:highlight w:val="none"/>
              </w:rPr>
            </w:pPr>
          </w:p>
        </w:tc>
        <w:tc>
          <w:tcPr>
            <w:tcW w:w="2544" w:type="dxa"/>
            <w:tcBorders>
              <w:tl2br w:val="nil"/>
              <w:tr2bl w:val="nil"/>
            </w:tcBorders>
            <w:noWrap w:val="0"/>
            <w:tcMar>
              <w:top w:w="57" w:type="dxa"/>
              <w:left w:w="28" w:type="dxa"/>
              <w:bottom w:w="57" w:type="dxa"/>
              <w:right w:w="28" w:type="dxa"/>
            </w:tcMar>
            <w:vAlign w:val="center"/>
          </w:tcPr>
          <w:p w14:paraId="495DF4DE">
            <w:pPr>
              <w:pageBreakBefore w:val="0"/>
              <w:overflowPunct/>
              <w:bidi w:val="0"/>
              <w:spacing w:line="520" w:lineRule="exact"/>
              <w:ind w:firstLine="560" w:firstLineChars="200"/>
              <w:jc w:val="center"/>
              <w:rPr>
                <w:rFonts w:ascii="宋体" w:hAnsi="宋体" w:cs="宋体"/>
                <w:sz w:val="28"/>
                <w:szCs w:val="28"/>
                <w:highlight w:val="none"/>
              </w:rPr>
            </w:pPr>
          </w:p>
        </w:tc>
        <w:tc>
          <w:tcPr>
            <w:tcW w:w="1554" w:type="dxa"/>
            <w:tcBorders>
              <w:tl2br w:val="nil"/>
              <w:tr2bl w:val="nil"/>
            </w:tcBorders>
            <w:noWrap w:val="0"/>
            <w:tcMar>
              <w:top w:w="57" w:type="dxa"/>
              <w:left w:w="28" w:type="dxa"/>
              <w:bottom w:w="57" w:type="dxa"/>
              <w:right w:w="28" w:type="dxa"/>
            </w:tcMar>
            <w:vAlign w:val="center"/>
          </w:tcPr>
          <w:p w14:paraId="186BB9A9">
            <w:pPr>
              <w:pageBreakBefore w:val="0"/>
              <w:overflowPunct/>
              <w:bidi w:val="0"/>
              <w:spacing w:line="520" w:lineRule="exact"/>
              <w:ind w:firstLine="560" w:firstLineChars="200"/>
              <w:jc w:val="center"/>
              <w:rPr>
                <w:rFonts w:ascii="宋体" w:hAnsi="宋体" w:cs="宋体"/>
                <w:sz w:val="28"/>
                <w:szCs w:val="28"/>
                <w:highlight w:val="none"/>
              </w:rPr>
            </w:pPr>
          </w:p>
        </w:tc>
        <w:tc>
          <w:tcPr>
            <w:tcW w:w="1355" w:type="dxa"/>
            <w:tcBorders>
              <w:tl2br w:val="nil"/>
              <w:tr2bl w:val="nil"/>
            </w:tcBorders>
            <w:noWrap w:val="0"/>
            <w:vAlign w:val="center"/>
          </w:tcPr>
          <w:p w14:paraId="7815E4BA">
            <w:pPr>
              <w:pageBreakBefore w:val="0"/>
              <w:overflowPunct/>
              <w:bidi w:val="0"/>
              <w:spacing w:line="520" w:lineRule="exact"/>
              <w:ind w:firstLine="560" w:firstLineChars="200"/>
              <w:jc w:val="center"/>
              <w:rPr>
                <w:rFonts w:ascii="宋体" w:hAnsi="宋体" w:cs="宋体"/>
                <w:sz w:val="28"/>
                <w:szCs w:val="28"/>
                <w:highlight w:val="none"/>
              </w:rPr>
            </w:pPr>
          </w:p>
        </w:tc>
      </w:tr>
    </w:tbl>
    <w:p w14:paraId="01C44103">
      <w:pPr>
        <w:pageBreakBefore w:val="0"/>
        <w:overflowPunct/>
        <w:bidi w:val="0"/>
        <w:spacing w:beforeLines="50" w:line="52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注：请按对应</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文件“</w:t>
      </w:r>
      <w:r>
        <w:rPr>
          <w:rFonts w:hint="eastAsia" w:ascii="宋体" w:hAnsi="宋体" w:cs="宋体"/>
          <w:sz w:val="24"/>
          <w:szCs w:val="24"/>
          <w:highlight w:val="none"/>
          <w:lang w:val="en-US" w:eastAsia="zh-CN"/>
        </w:rPr>
        <w:t>第五章</w:t>
      </w:r>
      <w:r>
        <w:rPr>
          <w:rFonts w:hint="eastAsia" w:ascii="宋体" w:hAnsi="宋体" w:cs="宋体"/>
          <w:sz w:val="24"/>
          <w:szCs w:val="24"/>
          <w:highlight w:val="none"/>
        </w:rPr>
        <w:t>”</w:t>
      </w:r>
      <w:r>
        <w:rPr>
          <w:rFonts w:hint="eastAsia" w:ascii="宋体" w:hAnsi="宋体" w:cs="宋体"/>
          <w:sz w:val="24"/>
          <w:szCs w:val="24"/>
          <w:highlight w:val="none"/>
          <w:lang w:val="en-US" w:eastAsia="zh-CN"/>
        </w:rPr>
        <w:t>中的“商务要求”</w:t>
      </w:r>
      <w:r>
        <w:rPr>
          <w:rFonts w:hint="eastAsia" w:ascii="宋体" w:hAnsi="宋体" w:cs="宋体"/>
          <w:sz w:val="24"/>
          <w:szCs w:val="24"/>
          <w:highlight w:val="none"/>
        </w:rPr>
        <w:t>认真</w:t>
      </w:r>
      <w:r>
        <w:rPr>
          <w:rFonts w:hint="eastAsia" w:ascii="宋体" w:hAnsi="宋体" w:cs="宋体"/>
          <w:sz w:val="24"/>
          <w:szCs w:val="24"/>
          <w:highlight w:val="none"/>
          <w:lang w:val="en-US" w:eastAsia="zh-CN"/>
        </w:rPr>
        <w:t>逐条</w:t>
      </w:r>
      <w:r>
        <w:rPr>
          <w:rFonts w:hint="eastAsia" w:ascii="宋体" w:hAnsi="宋体" w:cs="宋体"/>
          <w:sz w:val="24"/>
          <w:szCs w:val="24"/>
          <w:highlight w:val="none"/>
        </w:rPr>
        <w:t>填写本表。偏离情况填写：“优于、等于或低于”。如有优于请在说明栏写明“优于”的详细情况。</w:t>
      </w:r>
    </w:p>
    <w:p w14:paraId="70A7C7BA">
      <w:pPr>
        <w:pStyle w:val="2"/>
      </w:pPr>
    </w:p>
    <w:p w14:paraId="6D18C023">
      <w:pPr>
        <w:pageBreakBefore w:val="0"/>
        <w:overflowPunct/>
        <w:bidi w:val="0"/>
        <w:spacing w:line="520" w:lineRule="exact"/>
        <w:ind w:firstLine="3600" w:firstLineChars="1500"/>
        <w:rPr>
          <w:rFonts w:ascii="宋体" w:hAnsi="宋体" w:cs="宋体"/>
          <w:sz w:val="24"/>
          <w:szCs w:val="24"/>
          <w:highlight w:val="none"/>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（公章）  </w:t>
      </w:r>
    </w:p>
    <w:p w14:paraId="6AA18481">
      <w:pPr>
        <w:pageBreakBefore w:val="0"/>
        <w:overflowPunct/>
        <w:bidi w:val="0"/>
        <w:spacing w:line="520" w:lineRule="exact"/>
        <w:ind w:firstLine="3600" w:firstLineChars="1500"/>
        <w:rPr>
          <w:rFonts w:hint="eastAsia" w:ascii="宋体" w:hAnsi="宋体" w:cs="宋体"/>
          <w:sz w:val="24"/>
          <w:szCs w:val="24"/>
          <w:highlight w:val="none"/>
        </w:rPr>
      </w:pPr>
    </w:p>
    <w:p w14:paraId="0A541F1E">
      <w:pPr>
        <w:pageBreakBefore w:val="0"/>
        <w:overflowPunct/>
        <w:bidi w:val="0"/>
        <w:spacing w:line="520" w:lineRule="exact"/>
        <w:ind w:firstLine="3600" w:firstLineChars="1500"/>
        <w:rPr>
          <w:rFonts w:ascii="宋体" w:hAnsi="宋体" w:cs="宋体"/>
          <w:sz w:val="24"/>
          <w:szCs w:val="24"/>
          <w:highlight w:val="none"/>
        </w:rPr>
      </w:pPr>
      <w:r>
        <w:rPr>
          <w:rFonts w:hint="eastAsia" w:ascii="宋体" w:hAnsi="宋体" w:cs="宋体"/>
          <w:sz w:val="24"/>
          <w:szCs w:val="24"/>
          <w:highlight w:val="none"/>
        </w:rPr>
        <w:t>法定代表人或</w:t>
      </w:r>
    </w:p>
    <w:p w14:paraId="360C92CC">
      <w:pPr>
        <w:pageBreakBefore w:val="0"/>
        <w:overflowPunct/>
        <w:bidi w:val="0"/>
        <w:spacing w:line="520" w:lineRule="exact"/>
        <w:ind w:firstLine="3600" w:firstLineChars="1500"/>
        <w:rPr>
          <w:rFonts w:hint="eastAsia" w:ascii="宋体" w:hAnsi="宋体" w:cs="宋体"/>
          <w:sz w:val="24"/>
          <w:szCs w:val="24"/>
          <w:highlight w:val="none"/>
        </w:rPr>
      </w:pPr>
      <w:r>
        <w:rPr>
          <w:rFonts w:hint="eastAsia" w:ascii="宋体" w:hAnsi="宋体" w:cs="宋体"/>
          <w:sz w:val="24"/>
          <w:szCs w:val="24"/>
          <w:highlight w:val="none"/>
        </w:rPr>
        <w:t>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（签字或盖章）</w:t>
      </w:r>
    </w:p>
    <w:p w14:paraId="5105706F">
      <w:pPr>
        <w:pageBreakBefore w:val="0"/>
        <w:overflowPunct/>
        <w:bidi w:val="0"/>
        <w:spacing w:line="520" w:lineRule="exact"/>
        <w:ind w:firstLine="3600" w:firstLineChars="1500"/>
        <w:rPr>
          <w:rFonts w:hint="eastAsia" w:ascii="宋体" w:hAnsi="宋体" w:cs="宋体"/>
          <w:sz w:val="24"/>
          <w:szCs w:val="24"/>
          <w:highlight w:val="none"/>
        </w:rPr>
      </w:pPr>
    </w:p>
    <w:p w14:paraId="47859DF6">
      <w:pPr>
        <w:pageBreakBefore w:val="0"/>
        <w:overflowPunct/>
        <w:bidi w:val="0"/>
        <w:spacing w:line="520" w:lineRule="exact"/>
        <w:ind w:firstLine="3600" w:firstLineChars="1500"/>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138A2A92">
      <w:pPr>
        <w:pageBreakBefore w:val="0"/>
        <w:overflowPunct/>
        <w:bidi w:val="0"/>
        <w:spacing w:line="520" w:lineRule="exact"/>
        <w:ind w:firstLine="3600" w:firstLineChars="1500"/>
        <w:rPr>
          <w:rFonts w:hint="eastAsia" w:ascii="宋体" w:hAnsi="宋体" w:cs="宋体"/>
          <w:sz w:val="24"/>
          <w:highlight w:val="none"/>
        </w:rPr>
      </w:pPr>
    </w:p>
    <w:p w14:paraId="377AA6B1">
      <w:pPr>
        <w:pageBreakBefore w:val="0"/>
        <w:overflowPunct/>
        <w:bidi w:val="0"/>
        <w:spacing w:line="520" w:lineRule="exact"/>
        <w:ind w:firstLine="3600" w:firstLineChars="1500"/>
        <w:rPr>
          <w:rFonts w:hint="eastAsia" w:ascii="宋体" w:hAnsi="宋体" w:cs="宋体"/>
          <w:sz w:val="24"/>
          <w:highlight w:val="none"/>
        </w:rPr>
      </w:pPr>
    </w:p>
    <w:p w14:paraId="56475DA1">
      <w:pPr>
        <w:pageBreakBefore w:val="0"/>
        <w:overflowPunct/>
        <w:bidi w:val="0"/>
        <w:spacing w:line="520" w:lineRule="exact"/>
        <w:rPr>
          <w:rFonts w:hint="eastAsia" w:ascii="宋体" w:hAnsi="宋体" w:cs="宋体"/>
          <w:sz w:val="24"/>
          <w:highlight w:val="none"/>
        </w:rPr>
      </w:pPr>
    </w:p>
    <w:p w14:paraId="4BBA9295">
      <w:pPr>
        <w:spacing w:line="360" w:lineRule="auto"/>
        <w:jc w:val="center"/>
        <w:outlineLvl w:val="1"/>
        <w:rPr>
          <w:rFonts w:hint="eastAsia" w:ascii="宋体" w:hAnsi="宋体" w:cs="宋体"/>
          <w:b/>
          <w:sz w:val="24"/>
          <w:szCs w:val="24"/>
          <w:highlight w:val="none"/>
        </w:rPr>
      </w:pPr>
      <w:r>
        <w:rPr>
          <w:rFonts w:hint="eastAsia" w:ascii="宋体" w:hAnsi="宋体" w:cs="宋体"/>
          <w:b/>
          <w:sz w:val="24"/>
          <w:szCs w:val="24"/>
          <w:highlight w:val="none"/>
          <w:lang w:eastAsia="zh-CN"/>
        </w:rPr>
        <w:t>六</w:t>
      </w:r>
      <w:r>
        <w:rPr>
          <w:rFonts w:hint="eastAsia" w:ascii="宋体" w:hAnsi="宋体" w:cs="宋体"/>
          <w:b/>
          <w:sz w:val="24"/>
          <w:szCs w:val="24"/>
          <w:highlight w:val="none"/>
        </w:rPr>
        <w:t>、</w:t>
      </w:r>
      <w:r>
        <w:rPr>
          <w:rFonts w:hint="eastAsia" w:ascii="宋体" w:hAnsi="宋体" w:cs="宋体"/>
          <w:b/>
          <w:sz w:val="24"/>
          <w:szCs w:val="24"/>
          <w:highlight w:val="none"/>
          <w:lang w:eastAsia="zh-CN"/>
        </w:rPr>
        <w:t>供货</w:t>
      </w:r>
      <w:r>
        <w:rPr>
          <w:rFonts w:hint="eastAsia" w:ascii="宋体" w:hAnsi="宋体" w:cs="宋体"/>
          <w:b/>
          <w:sz w:val="24"/>
          <w:szCs w:val="24"/>
          <w:highlight w:val="none"/>
        </w:rPr>
        <w:t>方案</w:t>
      </w:r>
    </w:p>
    <w:p w14:paraId="67012BD1">
      <w:pPr>
        <w:spacing w:line="360" w:lineRule="auto"/>
        <w:jc w:val="center"/>
        <w:rPr>
          <w:rFonts w:hint="eastAsia" w:ascii="宋体" w:hAnsi="宋体" w:cs="宋体"/>
          <w:b/>
          <w:sz w:val="24"/>
          <w:szCs w:val="24"/>
          <w:highlight w:val="none"/>
        </w:rPr>
      </w:pPr>
    </w:p>
    <w:p w14:paraId="215CF2DE">
      <w:pPr>
        <w:spacing w:line="360" w:lineRule="auto"/>
        <w:jc w:val="center"/>
        <w:rPr>
          <w:rFonts w:hint="eastAsia" w:ascii="宋体" w:hAnsi="宋体" w:cs="宋体"/>
          <w:b/>
          <w:sz w:val="24"/>
          <w:szCs w:val="24"/>
          <w:highlight w:val="none"/>
        </w:rPr>
      </w:pPr>
    </w:p>
    <w:p w14:paraId="44F8860F">
      <w:pPr>
        <w:spacing w:line="360" w:lineRule="auto"/>
        <w:jc w:val="center"/>
        <w:rPr>
          <w:rFonts w:hint="eastAsia" w:ascii="宋体" w:hAnsi="宋体" w:cs="宋体"/>
          <w:b/>
          <w:sz w:val="24"/>
          <w:szCs w:val="24"/>
          <w:highlight w:val="none"/>
        </w:rPr>
      </w:pPr>
    </w:p>
    <w:p w14:paraId="59C7F2B1">
      <w:pPr>
        <w:spacing w:line="360" w:lineRule="auto"/>
        <w:jc w:val="center"/>
        <w:rPr>
          <w:rFonts w:hint="eastAsia" w:ascii="宋体" w:hAnsi="宋体" w:cs="宋体"/>
          <w:b/>
          <w:sz w:val="24"/>
          <w:szCs w:val="24"/>
          <w:highlight w:val="none"/>
        </w:rPr>
      </w:pPr>
    </w:p>
    <w:p w14:paraId="30489084">
      <w:pPr>
        <w:spacing w:line="360" w:lineRule="auto"/>
        <w:jc w:val="center"/>
        <w:rPr>
          <w:rFonts w:hint="eastAsia" w:ascii="宋体" w:hAnsi="宋体" w:cs="宋体"/>
          <w:b/>
          <w:sz w:val="24"/>
          <w:szCs w:val="24"/>
          <w:highlight w:val="none"/>
        </w:rPr>
      </w:pPr>
    </w:p>
    <w:p w14:paraId="345C311D">
      <w:pPr>
        <w:spacing w:line="360" w:lineRule="auto"/>
        <w:jc w:val="center"/>
        <w:rPr>
          <w:rFonts w:hint="eastAsia" w:ascii="宋体" w:hAnsi="宋体" w:cs="宋体"/>
          <w:b/>
          <w:sz w:val="24"/>
          <w:szCs w:val="24"/>
          <w:highlight w:val="none"/>
        </w:rPr>
      </w:pPr>
    </w:p>
    <w:p w14:paraId="2F180553">
      <w:pPr>
        <w:spacing w:line="360" w:lineRule="auto"/>
        <w:jc w:val="center"/>
        <w:rPr>
          <w:rFonts w:hint="eastAsia" w:ascii="宋体" w:hAnsi="宋体" w:cs="宋体"/>
          <w:b/>
          <w:sz w:val="24"/>
          <w:szCs w:val="24"/>
          <w:highlight w:val="none"/>
        </w:rPr>
      </w:pPr>
    </w:p>
    <w:p w14:paraId="75ABF7A0">
      <w:pPr>
        <w:spacing w:line="360" w:lineRule="auto"/>
        <w:jc w:val="center"/>
        <w:rPr>
          <w:rFonts w:hint="eastAsia" w:ascii="宋体" w:hAnsi="宋体" w:cs="宋体"/>
          <w:b/>
          <w:sz w:val="24"/>
          <w:szCs w:val="24"/>
          <w:highlight w:val="none"/>
        </w:rPr>
      </w:pPr>
    </w:p>
    <w:p w14:paraId="78F4D2AD">
      <w:pPr>
        <w:spacing w:line="360" w:lineRule="auto"/>
        <w:jc w:val="center"/>
        <w:rPr>
          <w:rFonts w:hint="eastAsia" w:ascii="宋体" w:hAnsi="宋体" w:cs="宋体"/>
          <w:b/>
          <w:sz w:val="24"/>
          <w:szCs w:val="24"/>
          <w:highlight w:val="none"/>
        </w:rPr>
      </w:pPr>
    </w:p>
    <w:p w14:paraId="15748416">
      <w:pPr>
        <w:spacing w:line="360" w:lineRule="auto"/>
        <w:jc w:val="center"/>
        <w:rPr>
          <w:rFonts w:hint="eastAsia" w:ascii="宋体" w:hAnsi="宋体" w:cs="宋体"/>
          <w:b/>
          <w:sz w:val="24"/>
          <w:szCs w:val="24"/>
          <w:highlight w:val="none"/>
        </w:rPr>
      </w:pPr>
    </w:p>
    <w:p w14:paraId="7990A52C">
      <w:pPr>
        <w:spacing w:line="360" w:lineRule="auto"/>
        <w:jc w:val="center"/>
        <w:rPr>
          <w:rFonts w:hint="eastAsia" w:ascii="宋体" w:hAnsi="宋体" w:cs="宋体"/>
          <w:b/>
          <w:sz w:val="24"/>
          <w:szCs w:val="24"/>
          <w:highlight w:val="none"/>
        </w:rPr>
      </w:pPr>
    </w:p>
    <w:p w14:paraId="4F31990E">
      <w:pPr>
        <w:spacing w:line="360" w:lineRule="auto"/>
        <w:jc w:val="center"/>
        <w:rPr>
          <w:rFonts w:hint="eastAsia" w:ascii="宋体" w:hAnsi="宋体" w:cs="宋体"/>
          <w:b/>
          <w:sz w:val="24"/>
          <w:szCs w:val="24"/>
          <w:highlight w:val="none"/>
        </w:rPr>
      </w:pPr>
    </w:p>
    <w:p w14:paraId="1299EB9F">
      <w:pPr>
        <w:spacing w:line="360" w:lineRule="auto"/>
        <w:jc w:val="center"/>
        <w:rPr>
          <w:rFonts w:hint="eastAsia" w:ascii="宋体" w:hAnsi="宋体" w:cs="宋体"/>
          <w:b/>
          <w:sz w:val="24"/>
          <w:szCs w:val="24"/>
          <w:highlight w:val="none"/>
        </w:rPr>
      </w:pPr>
    </w:p>
    <w:p w14:paraId="587545F1">
      <w:pPr>
        <w:spacing w:line="360" w:lineRule="auto"/>
        <w:jc w:val="center"/>
        <w:rPr>
          <w:rFonts w:hint="eastAsia" w:ascii="宋体" w:hAnsi="宋体" w:cs="宋体"/>
          <w:b/>
          <w:sz w:val="24"/>
          <w:szCs w:val="24"/>
          <w:highlight w:val="none"/>
        </w:rPr>
      </w:pPr>
    </w:p>
    <w:p w14:paraId="2BF632E1">
      <w:pPr>
        <w:spacing w:line="360" w:lineRule="auto"/>
        <w:jc w:val="center"/>
        <w:rPr>
          <w:rFonts w:hint="eastAsia" w:ascii="宋体" w:hAnsi="宋体" w:cs="宋体"/>
          <w:b/>
          <w:sz w:val="24"/>
          <w:szCs w:val="24"/>
          <w:highlight w:val="none"/>
        </w:rPr>
      </w:pPr>
    </w:p>
    <w:p w14:paraId="2CE26EAD">
      <w:pPr>
        <w:spacing w:line="360" w:lineRule="auto"/>
        <w:jc w:val="center"/>
        <w:rPr>
          <w:rFonts w:hint="eastAsia" w:ascii="宋体" w:hAnsi="宋体" w:cs="宋体"/>
          <w:b/>
          <w:sz w:val="24"/>
          <w:szCs w:val="24"/>
          <w:highlight w:val="none"/>
        </w:rPr>
      </w:pPr>
    </w:p>
    <w:p w14:paraId="729C6B98">
      <w:pPr>
        <w:spacing w:line="360" w:lineRule="auto"/>
        <w:jc w:val="center"/>
        <w:rPr>
          <w:rFonts w:hint="eastAsia" w:ascii="宋体" w:hAnsi="宋体" w:cs="宋体"/>
          <w:b/>
          <w:sz w:val="24"/>
          <w:szCs w:val="24"/>
          <w:highlight w:val="none"/>
        </w:rPr>
      </w:pPr>
    </w:p>
    <w:p w14:paraId="298BCED1">
      <w:pPr>
        <w:spacing w:line="360" w:lineRule="auto"/>
        <w:jc w:val="center"/>
        <w:rPr>
          <w:rFonts w:hint="eastAsia" w:ascii="宋体" w:hAnsi="宋体" w:cs="宋体"/>
          <w:b/>
          <w:sz w:val="24"/>
          <w:szCs w:val="24"/>
          <w:highlight w:val="none"/>
        </w:rPr>
      </w:pPr>
    </w:p>
    <w:p w14:paraId="10E15898">
      <w:pPr>
        <w:spacing w:line="360" w:lineRule="auto"/>
        <w:jc w:val="center"/>
        <w:rPr>
          <w:rFonts w:hint="eastAsia" w:ascii="宋体" w:hAnsi="宋体" w:cs="宋体"/>
          <w:b/>
          <w:sz w:val="24"/>
          <w:szCs w:val="24"/>
          <w:highlight w:val="none"/>
        </w:rPr>
      </w:pPr>
    </w:p>
    <w:p w14:paraId="01496ECD">
      <w:pPr>
        <w:spacing w:line="360" w:lineRule="auto"/>
        <w:jc w:val="center"/>
        <w:rPr>
          <w:rFonts w:hint="eastAsia" w:ascii="宋体" w:hAnsi="宋体" w:cs="宋体"/>
          <w:b/>
          <w:sz w:val="24"/>
          <w:szCs w:val="24"/>
          <w:highlight w:val="none"/>
        </w:rPr>
      </w:pPr>
    </w:p>
    <w:p w14:paraId="23E7D33B">
      <w:pPr>
        <w:spacing w:line="360" w:lineRule="auto"/>
        <w:jc w:val="center"/>
        <w:rPr>
          <w:rFonts w:hint="eastAsia" w:ascii="宋体" w:hAnsi="宋体" w:cs="宋体"/>
          <w:b/>
          <w:sz w:val="24"/>
          <w:szCs w:val="24"/>
          <w:highlight w:val="none"/>
        </w:rPr>
      </w:pPr>
    </w:p>
    <w:p w14:paraId="7AD6334D">
      <w:pPr>
        <w:spacing w:line="360" w:lineRule="auto"/>
        <w:jc w:val="center"/>
        <w:rPr>
          <w:rFonts w:hint="eastAsia" w:ascii="宋体" w:hAnsi="宋体" w:cs="宋体"/>
          <w:b/>
          <w:sz w:val="24"/>
          <w:szCs w:val="24"/>
          <w:highlight w:val="none"/>
        </w:rPr>
      </w:pPr>
    </w:p>
    <w:p w14:paraId="057A35BE">
      <w:pPr>
        <w:spacing w:line="360" w:lineRule="auto"/>
        <w:jc w:val="center"/>
        <w:rPr>
          <w:rFonts w:hint="eastAsia" w:ascii="宋体" w:hAnsi="宋体" w:cs="宋体"/>
          <w:b/>
          <w:sz w:val="24"/>
          <w:szCs w:val="24"/>
          <w:highlight w:val="none"/>
        </w:rPr>
      </w:pPr>
    </w:p>
    <w:p w14:paraId="02ADD1F9">
      <w:pPr>
        <w:spacing w:line="360" w:lineRule="auto"/>
        <w:jc w:val="center"/>
        <w:rPr>
          <w:rFonts w:hint="eastAsia" w:ascii="宋体" w:hAnsi="宋体" w:cs="宋体"/>
          <w:b/>
          <w:sz w:val="24"/>
          <w:szCs w:val="24"/>
          <w:highlight w:val="none"/>
        </w:rPr>
      </w:pPr>
    </w:p>
    <w:p w14:paraId="7033FE55">
      <w:pPr>
        <w:spacing w:line="360" w:lineRule="auto"/>
        <w:jc w:val="center"/>
        <w:rPr>
          <w:rFonts w:hint="eastAsia" w:ascii="宋体" w:hAnsi="宋体" w:cs="宋体"/>
          <w:b/>
          <w:sz w:val="24"/>
          <w:szCs w:val="24"/>
          <w:highlight w:val="none"/>
        </w:rPr>
      </w:pPr>
    </w:p>
    <w:p w14:paraId="6EC20744">
      <w:pPr>
        <w:spacing w:line="360" w:lineRule="auto"/>
        <w:jc w:val="center"/>
        <w:rPr>
          <w:rFonts w:hint="eastAsia" w:ascii="宋体" w:hAnsi="宋体" w:cs="宋体"/>
          <w:b/>
          <w:sz w:val="24"/>
          <w:szCs w:val="24"/>
          <w:highlight w:val="none"/>
        </w:rPr>
      </w:pPr>
    </w:p>
    <w:p w14:paraId="02FD40A9">
      <w:pPr>
        <w:pStyle w:val="2"/>
        <w:rPr>
          <w:rFonts w:hint="eastAsia" w:ascii="宋体" w:hAnsi="宋体" w:cs="宋体"/>
          <w:b/>
          <w:sz w:val="24"/>
          <w:szCs w:val="24"/>
          <w:highlight w:val="none"/>
        </w:rPr>
      </w:pPr>
    </w:p>
    <w:p w14:paraId="76359B52">
      <w:pPr>
        <w:pStyle w:val="3"/>
        <w:rPr>
          <w:rFonts w:hint="eastAsia"/>
          <w:highlight w:val="none"/>
        </w:rPr>
      </w:pPr>
    </w:p>
    <w:p w14:paraId="05DB97D8">
      <w:pPr>
        <w:spacing w:line="360" w:lineRule="auto"/>
        <w:jc w:val="center"/>
        <w:rPr>
          <w:rFonts w:hint="eastAsia" w:ascii="宋体" w:hAnsi="宋体" w:cs="宋体"/>
          <w:b/>
          <w:sz w:val="24"/>
          <w:szCs w:val="24"/>
          <w:highlight w:val="none"/>
        </w:rPr>
      </w:pPr>
    </w:p>
    <w:p w14:paraId="155D38D7">
      <w:pPr>
        <w:spacing w:line="360" w:lineRule="auto"/>
        <w:jc w:val="center"/>
        <w:outlineLvl w:val="1"/>
        <w:rPr>
          <w:rFonts w:hint="eastAsia" w:ascii="宋体" w:hAnsi="宋体" w:cs="宋体"/>
          <w:b/>
          <w:sz w:val="24"/>
          <w:szCs w:val="24"/>
          <w:highlight w:val="none"/>
        </w:rPr>
      </w:pPr>
      <w:r>
        <w:rPr>
          <w:rFonts w:hint="eastAsia" w:ascii="宋体" w:hAnsi="宋体" w:cs="宋体"/>
          <w:b/>
          <w:sz w:val="24"/>
          <w:szCs w:val="24"/>
          <w:highlight w:val="none"/>
          <w:lang w:eastAsia="zh-CN"/>
        </w:rPr>
        <w:t>七</w:t>
      </w:r>
      <w:r>
        <w:rPr>
          <w:rFonts w:hint="eastAsia" w:ascii="宋体" w:hAnsi="宋体" w:cs="宋体"/>
          <w:b/>
          <w:sz w:val="24"/>
          <w:szCs w:val="24"/>
          <w:highlight w:val="none"/>
        </w:rPr>
        <w:t>、售后服务方案</w:t>
      </w:r>
    </w:p>
    <w:p w14:paraId="1451B66A">
      <w:pPr>
        <w:spacing w:line="360" w:lineRule="auto"/>
        <w:jc w:val="center"/>
        <w:outlineLvl w:val="1"/>
        <w:rPr>
          <w:rFonts w:hint="eastAsia" w:ascii="宋体" w:hAnsi="宋体" w:cs="宋体"/>
          <w:b/>
          <w:sz w:val="24"/>
          <w:szCs w:val="24"/>
          <w:highlight w:val="none"/>
        </w:rPr>
      </w:pPr>
    </w:p>
    <w:p w14:paraId="489048A3">
      <w:pPr>
        <w:spacing w:line="360" w:lineRule="auto"/>
        <w:jc w:val="center"/>
        <w:outlineLvl w:val="1"/>
        <w:rPr>
          <w:rFonts w:hint="eastAsia" w:ascii="宋体" w:hAnsi="宋体" w:cs="宋体"/>
          <w:b/>
          <w:sz w:val="24"/>
          <w:szCs w:val="24"/>
          <w:highlight w:val="none"/>
        </w:rPr>
      </w:pPr>
    </w:p>
    <w:p w14:paraId="15516350">
      <w:pPr>
        <w:spacing w:line="360" w:lineRule="auto"/>
        <w:jc w:val="center"/>
        <w:outlineLvl w:val="1"/>
        <w:rPr>
          <w:rFonts w:hint="eastAsia" w:ascii="宋体" w:hAnsi="宋体" w:cs="宋体"/>
          <w:b/>
          <w:sz w:val="24"/>
          <w:szCs w:val="24"/>
          <w:highlight w:val="none"/>
        </w:rPr>
      </w:pPr>
    </w:p>
    <w:p w14:paraId="7A79EDDC">
      <w:pPr>
        <w:spacing w:line="360" w:lineRule="auto"/>
        <w:jc w:val="center"/>
        <w:outlineLvl w:val="1"/>
        <w:rPr>
          <w:rFonts w:hint="eastAsia" w:ascii="宋体" w:hAnsi="宋体" w:cs="宋体"/>
          <w:b/>
          <w:sz w:val="24"/>
          <w:szCs w:val="24"/>
          <w:highlight w:val="none"/>
        </w:rPr>
      </w:pPr>
    </w:p>
    <w:p w14:paraId="7AB0871A">
      <w:pPr>
        <w:pStyle w:val="37"/>
        <w:rPr>
          <w:rFonts w:hint="eastAsia" w:ascii="宋体" w:hAnsi="宋体" w:cs="宋体"/>
          <w:b/>
          <w:sz w:val="24"/>
          <w:szCs w:val="24"/>
          <w:highlight w:val="none"/>
        </w:rPr>
      </w:pPr>
    </w:p>
    <w:p w14:paraId="11899A88">
      <w:pPr>
        <w:pStyle w:val="37"/>
        <w:rPr>
          <w:rFonts w:hint="eastAsia" w:ascii="宋体" w:hAnsi="宋体" w:cs="宋体"/>
          <w:b/>
          <w:sz w:val="24"/>
          <w:szCs w:val="24"/>
          <w:highlight w:val="none"/>
        </w:rPr>
      </w:pPr>
    </w:p>
    <w:p w14:paraId="67220CFB">
      <w:pPr>
        <w:pStyle w:val="37"/>
        <w:rPr>
          <w:rFonts w:hint="eastAsia" w:ascii="宋体" w:hAnsi="宋体" w:cs="宋体"/>
          <w:b/>
          <w:sz w:val="24"/>
          <w:szCs w:val="24"/>
          <w:highlight w:val="none"/>
        </w:rPr>
      </w:pPr>
    </w:p>
    <w:p w14:paraId="21EE2794">
      <w:pPr>
        <w:pStyle w:val="37"/>
        <w:rPr>
          <w:rFonts w:hint="eastAsia" w:ascii="宋体" w:hAnsi="宋体" w:cs="宋体"/>
          <w:b/>
          <w:sz w:val="24"/>
          <w:szCs w:val="24"/>
          <w:highlight w:val="none"/>
        </w:rPr>
      </w:pPr>
    </w:p>
    <w:p w14:paraId="4AEF8BEE">
      <w:pPr>
        <w:pStyle w:val="37"/>
        <w:rPr>
          <w:rFonts w:hint="eastAsia" w:ascii="宋体" w:hAnsi="宋体" w:cs="宋体"/>
          <w:b/>
          <w:sz w:val="24"/>
          <w:szCs w:val="24"/>
          <w:highlight w:val="none"/>
        </w:rPr>
      </w:pPr>
    </w:p>
    <w:p w14:paraId="1AB92AE3">
      <w:pPr>
        <w:pStyle w:val="37"/>
        <w:rPr>
          <w:rFonts w:hint="eastAsia" w:ascii="宋体" w:hAnsi="宋体" w:cs="宋体"/>
          <w:b/>
          <w:sz w:val="24"/>
          <w:szCs w:val="24"/>
          <w:highlight w:val="none"/>
        </w:rPr>
      </w:pPr>
    </w:p>
    <w:p w14:paraId="15E44137">
      <w:pPr>
        <w:pStyle w:val="37"/>
        <w:rPr>
          <w:rFonts w:hint="eastAsia" w:ascii="宋体" w:hAnsi="宋体" w:cs="宋体"/>
          <w:b/>
          <w:sz w:val="24"/>
          <w:szCs w:val="24"/>
          <w:highlight w:val="none"/>
        </w:rPr>
      </w:pPr>
    </w:p>
    <w:p w14:paraId="54224EBD">
      <w:pPr>
        <w:pStyle w:val="37"/>
        <w:rPr>
          <w:rFonts w:hint="eastAsia" w:ascii="宋体" w:hAnsi="宋体" w:cs="宋体"/>
          <w:b/>
          <w:sz w:val="24"/>
          <w:szCs w:val="24"/>
          <w:highlight w:val="none"/>
        </w:rPr>
      </w:pPr>
    </w:p>
    <w:p w14:paraId="1D569C7A">
      <w:pPr>
        <w:pStyle w:val="37"/>
        <w:rPr>
          <w:rFonts w:hint="eastAsia" w:ascii="宋体" w:hAnsi="宋体" w:cs="宋体"/>
          <w:b/>
          <w:sz w:val="24"/>
          <w:szCs w:val="24"/>
          <w:highlight w:val="none"/>
        </w:rPr>
      </w:pPr>
    </w:p>
    <w:p w14:paraId="6A360E54">
      <w:pPr>
        <w:pStyle w:val="37"/>
        <w:rPr>
          <w:rFonts w:hint="eastAsia" w:ascii="宋体" w:hAnsi="宋体" w:cs="宋体"/>
          <w:b/>
          <w:sz w:val="24"/>
          <w:szCs w:val="24"/>
          <w:highlight w:val="none"/>
        </w:rPr>
      </w:pPr>
    </w:p>
    <w:p w14:paraId="64086C1E">
      <w:pPr>
        <w:pStyle w:val="37"/>
        <w:rPr>
          <w:rFonts w:hint="eastAsia" w:ascii="宋体" w:hAnsi="宋体" w:cs="宋体"/>
          <w:b/>
          <w:sz w:val="24"/>
          <w:szCs w:val="24"/>
          <w:highlight w:val="none"/>
        </w:rPr>
      </w:pPr>
    </w:p>
    <w:p w14:paraId="5EDF1C2E">
      <w:pPr>
        <w:pStyle w:val="37"/>
        <w:rPr>
          <w:rFonts w:hint="eastAsia" w:ascii="宋体" w:hAnsi="宋体" w:cs="宋体"/>
          <w:b/>
          <w:sz w:val="24"/>
          <w:szCs w:val="24"/>
          <w:highlight w:val="none"/>
        </w:rPr>
      </w:pPr>
    </w:p>
    <w:p w14:paraId="135CABE9">
      <w:pPr>
        <w:pStyle w:val="37"/>
        <w:rPr>
          <w:rFonts w:hint="eastAsia" w:ascii="宋体" w:hAnsi="宋体" w:cs="宋体"/>
          <w:b/>
          <w:sz w:val="24"/>
          <w:szCs w:val="24"/>
          <w:highlight w:val="none"/>
        </w:rPr>
      </w:pPr>
    </w:p>
    <w:p w14:paraId="26174080">
      <w:pPr>
        <w:pStyle w:val="37"/>
        <w:rPr>
          <w:rFonts w:hint="eastAsia" w:ascii="宋体" w:hAnsi="宋体" w:cs="宋体"/>
          <w:b/>
          <w:sz w:val="24"/>
          <w:szCs w:val="24"/>
          <w:highlight w:val="none"/>
        </w:rPr>
      </w:pPr>
    </w:p>
    <w:p w14:paraId="278807F7">
      <w:pPr>
        <w:pStyle w:val="37"/>
        <w:rPr>
          <w:rFonts w:hint="eastAsia" w:ascii="宋体" w:hAnsi="宋体" w:cs="宋体"/>
          <w:b/>
          <w:sz w:val="24"/>
          <w:szCs w:val="24"/>
          <w:highlight w:val="none"/>
        </w:rPr>
      </w:pPr>
    </w:p>
    <w:p w14:paraId="542700BD">
      <w:pPr>
        <w:pStyle w:val="37"/>
        <w:rPr>
          <w:rFonts w:hint="eastAsia" w:ascii="宋体" w:hAnsi="宋体" w:cs="宋体"/>
          <w:b/>
          <w:sz w:val="24"/>
          <w:szCs w:val="24"/>
          <w:highlight w:val="none"/>
        </w:rPr>
      </w:pPr>
    </w:p>
    <w:p w14:paraId="59213305">
      <w:pPr>
        <w:pStyle w:val="37"/>
        <w:rPr>
          <w:rFonts w:hint="eastAsia" w:ascii="宋体" w:hAnsi="宋体" w:cs="宋体"/>
          <w:b/>
          <w:sz w:val="24"/>
          <w:szCs w:val="24"/>
          <w:highlight w:val="none"/>
        </w:rPr>
      </w:pPr>
    </w:p>
    <w:p w14:paraId="0715B7C3">
      <w:pPr>
        <w:pStyle w:val="37"/>
        <w:rPr>
          <w:rFonts w:hint="eastAsia" w:ascii="宋体" w:hAnsi="宋体" w:cs="宋体"/>
          <w:b/>
          <w:sz w:val="24"/>
          <w:szCs w:val="24"/>
          <w:highlight w:val="none"/>
        </w:rPr>
      </w:pPr>
    </w:p>
    <w:p w14:paraId="4446D808">
      <w:pPr>
        <w:pStyle w:val="37"/>
        <w:rPr>
          <w:rFonts w:hint="eastAsia" w:ascii="宋体" w:hAnsi="宋体" w:cs="宋体"/>
          <w:b/>
          <w:sz w:val="24"/>
          <w:szCs w:val="24"/>
          <w:highlight w:val="none"/>
        </w:rPr>
      </w:pPr>
    </w:p>
    <w:p w14:paraId="391E83A9">
      <w:pPr>
        <w:pStyle w:val="37"/>
        <w:rPr>
          <w:rFonts w:hint="eastAsia" w:ascii="宋体" w:hAnsi="宋体" w:cs="宋体"/>
          <w:b/>
          <w:sz w:val="24"/>
          <w:szCs w:val="24"/>
          <w:highlight w:val="none"/>
        </w:rPr>
      </w:pPr>
    </w:p>
    <w:p w14:paraId="772326E8">
      <w:pPr>
        <w:pStyle w:val="37"/>
        <w:rPr>
          <w:rFonts w:hint="eastAsia" w:ascii="宋体" w:hAnsi="宋体" w:cs="宋体"/>
          <w:b/>
          <w:sz w:val="24"/>
          <w:szCs w:val="24"/>
          <w:highlight w:val="none"/>
        </w:rPr>
      </w:pPr>
    </w:p>
    <w:p w14:paraId="6AF2BF04">
      <w:pPr>
        <w:pStyle w:val="37"/>
        <w:rPr>
          <w:rFonts w:hint="eastAsia" w:ascii="宋体" w:hAnsi="宋体" w:cs="宋体"/>
          <w:b/>
          <w:sz w:val="24"/>
          <w:szCs w:val="24"/>
          <w:highlight w:val="none"/>
        </w:rPr>
      </w:pPr>
    </w:p>
    <w:p w14:paraId="0BB82024">
      <w:pPr>
        <w:pStyle w:val="37"/>
        <w:rPr>
          <w:rFonts w:hint="eastAsia" w:ascii="宋体" w:hAnsi="宋体" w:cs="宋体"/>
          <w:b/>
          <w:sz w:val="24"/>
          <w:szCs w:val="24"/>
          <w:highlight w:val="none"/>
        </w:rPr>
      </w:pPr>
    </w:p>
    <w:p w14:paraId="431F260A">
      <w:pPr>
        <w:pStyle w:val="37"/>
        <w:rPr>
          <w:rFonts w:hint="eastAsia" w:ascii="宋体" w:hAnsi="宋体" w:cs="宋体"/>
          <w:b/>
          <w:sz w:val="24"/>
          <w:szCs w:val="24"/>
          <w:highlight w:val="none"/>
        </w:rPr>
      </w:pPr>
    </w:p>
    <w:p w14:paraId="6F08C5C1">
      <w:pPr>
        <w:pStyle w:val="37"/>
        <w:rPr>
          <w:rFonts w:hint="eastAsia" w:ascii="宋体" w:hAnsi="宋体" w:cs="宋体"/>
          <w:b/>
          <w:sz w:val="24"/>
          <w:szCs w:val="24"/>
          <w:highlight w:val="none"/>
        </w:rPr>
      </w:pPr>
    </w:p>
    <w:p w14:paraId="11EA5081">
      <w:pPr>
        <w:pStyle w:val="37"/>
        <w:rPr>
          <w:rFonts w:hint="eastAsia" w:ascii="宋体" w:hAnsi="宋体" w:cs="宋体"/>
          <w:b/>
          <w:sz w:val="24"/>
          <w:szCs w:val="24"/>
          <w:highlight w:val="none"/>
        </w:rPr>
      </w:pPr>
    </w:p>
    <w:p w14:paraId="02DB042E">
      <w:pPr>
        <w:pStyle w:val="37"/>
        <w:rPr>
          <w:rFonts w:hint="eastAsia" w:ascii="宋体" w:hAnsi="宋体" w:cs="宋体"/>
          <w:b/>
          <w:sz w:val="24"/>
          <w:szCs w:val="24"/>
          <w:highlight w:val="none"/>
        </w:rPr>
      </w:pPr>
    </w:p>
    <w:p w14:paraId="09DA3339">
      <w:pPr>
        <w:pStyle w:val="37"/>
        <w:rPr>
          <w:rFonts w:hint="eastAsia" w:ascii="宋体" w:hAnsi="宋体" w:cs="宋体"/>
          <w:b/>
          <w:sz w:val="24"/>
          <w:szCs w:val="24"/>
          <w:highlight w:val="none"/>
        </w:rPr>
      </w:pPr>
    </w:p>
    <w:p w14:paraId="0A65014A">
      <w:pPr>
        <w:pStyle w:val="37"/>
        <w:rPr>
          <w:rFonts w:hint="eastAsia" w:ascii="宋体" w:hAnsi="宋体" w:cs="宋体"/>
          <w:b/>
          <w:sz w:val="24"/>
          <w:szCs w:val="24"/>
          <w:highlight w:val="none"/>
        </w:rPr>
      </w:pPr>
    </w:p>
    <w:p w14:paraId="48C66B79">
      <w:pPr>
        <w:spacing w:line="360" w:lineRule="auto"/>
        <w:jc w:val="center"/>
        <w:outlineLvl w:val="1"/>
        <w:rPr>
          <w:rFonts w:hint="eastAsia" w:ascii="宋体" w:hAnsi="宋体" w:cs="宋体"/>
          <w:b/>
          <w:sz w:val="24"/>
          <w:szCs w:val="24"/>
          <w:highlight w:val="none"/>
        </w:rPr>
      </w:pPr>
    </w:p>
    <w:p w14:paraId="29120B0D">
      <w:pPr>
        <w:spacing w:line="360" w:lineRule="auto"/>
        <w:jc w:val="center"/>
        <w:outlineLvl w:val="1"/>
        <w:rPr>
          <w:rFonts w:hint="eastAsia" w:ascii="宋体" w:hAnsi="宋体" w:cs="宋体"/>
          <w:b/>
          <w:sz w:val="24"/>
          <w:szCs w:val="24"/>
          <w:highlight w:val="none"/>
        </w:rPr>
      </w:pPr>
    </w:p>
    <w:p w14:paraId="538CF2DA">
      <w:pPr>
        <w:spacing w:line="360" w:lineRule="auto"/>
        <w:jc w:val="center"/>
        <w:outlineLvl w:val="1"/>
        <w:rPr>
          <w:rFonts w:hint="eastAsia" w:ascii="宋体" w:hAnsi="宋体" w:cs="宋体"/>
          <w:b/>
          <w:sz w:val="24"/>
          <w:szCs w:val="24"/>
          <w:highlight w:val="none"/>
        </w:rPr>
      </w:pPr>
    </w:p>
    <w:p w14:paraId="4DFBD4D4">
      <w:pPr>
        <w:spacing w:line="360" w:lineRule="auto"/>
        <w:jc w:val="center"/>
        <w:outlineLvl w:val="1"/>
        <w:rPr>
          <w:rFonts w:hint="eastAsia" w:ascii="宋体" w:hAnsi="宋体" w:cs="宋体"/>
          <w:b/>
          <w:sz w:val="24"/>
          <w:szCs w:val="24"/>
          <w:highlight w:val="none"/>
        </w:rPr>
      </w:pPr>
    </w:p>
    <w:p w14:paraId="04FC67D6">
      <w:pPr>
        <w:pStyle w:val="2"/>
        <w:rPr>
          <w:rFonts w:hint="eastAsia"/>
          <w:highlight w:val="none"/>
        </w:rPr>
      </w:pPr>
    </w:p>
    <w:p w14:paraId="594B3EAD">
      <w:pPr>
        <w:pStyle w:val="37"/>
        <w:ind w:left="0" w:leftChars="0" w:firstLine="0" w:firstLineChars="0"/>
        <w:rPr>
          <w:rFonts w:hint="eastAsia" w:ascii="宋体" w:hAnsi="宋体" w:cs="宋体"/>
          <w:sz w:val="24"/>
          <w:highlight w:val="none"/>
        </w:rPr>
      </w:pPr>
    </w:p>
    <w:p w14:paraId="4012EE06">
      <w:pPr>
        <w:numPr>
          <w:ilvl w:val="0"/>
          <w:numId w:val="0"/>
        </w:numPr>
        <w:spacing w:line="360" w:lineRule="auto"/>
        <w:jc w:val="center"/>
        <w:outlineLvl w:val="1"/>
        <w:rPr>
          <w:rFonts w:hint="eastAsia" w:ascii="宋体" w:hAnsi="宋体" w:cs="宋体"/>
          <w:b/>
          <w:sz w:val="24"/>
          <w:szCs w:val="24"/>
          <w:highlight w:val="none"/>
        </w:rPr>
      </w:pPr>
      <w:r>
        <w:rPr>
          <w:rFonts w:hint="eastAsia" w:ascii="宋体" w:hAnsi="宋体" w:cs="宋体"/>
          <w:b/>
          <w:color w:val="auto"/>
          <w:sz w:val="24"/>
          <w:szCs w:val="24"/>
          <w:highlight w:val="none"/>
          <w:lang w:eastAsia="zh-CN"/>
        </w:rPr>
        <w:t>八、</w:t>
      </w:r>
      <w:r>
        <w:rPr>
          <w:rFonts w:hint="eastAsia" w:ascii="宋体" w:hAnsi="宋体" w:cs="宋体"/>
          <w:b/>
          <w:sz w:val="24"/>
          <w:szCs w:val="24"/>
          <w:highlight w:val="none"/>
        </w:rPr>
        <w:t>供应商近3年类似业绩</w:t>
      </w:r>
    </w:p>
    <w:p w14:paraId="5502A40F">
      <w:pPr>
        <w:pStyle w:val="2"/>
        <w:numPr>
          <w:ilvl w:val="0"/>
          <w:numId w:val="0"/>
        </w:numPr>
        <w:rPr>
          <w:rFonts w:hint="eastAsia"/>
          <w:highlight w:val="none"/>
        </w:rPr>
      </w:pPr>
    </w:p>
    <w:p w14:paraId="5A49BA97">
      <w:pPr>
        <w:pStyle w:val="3"/>
        <w:rPr>
          <w:rFonts w:hint="eastAsia"/>
          <w:highlight w:val="none"/>
        </w:rPr>
      </w:pPr>
    </w:p>
    <w:p w14:paraId="04EA3393">
      <w:pPr>
        <w:pStyle w:val="37"/>
        <w:ind w:left="0" w:leftChars="0" w:firstLine="0" w:firstLineChars="0"/>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近三年（</w:t>
      </w:r>
      <w:r>
        <w:rPr>
          <w:rFonts w:hint="eastAsia" w:ascii="宋体" w:hAnsi="宋体" w:cs="宋体"/>
          <w:sz w:val="24"/>
          <w:highlight w:val="none"/>
          <w:lang w:val="en-US" w:eastAsia="zh-CN"/>
        </w:rPr>
        <w:t>2023年7月1日至今，以合同签订时间为准</w:t>
      </w:r>
      <w:r>
        <w:rPr>
          <w:rFonts w:hint="eastAsia" w:ascii="宋体" w:hAnsi="宋体" w:cs="宋体"/>
          <w:sz w:val="24"/>
          <w:highlight w:val="none"/>
          <w:lang w:eastAsia="zh-CN"/>
        </w:rPr>
        <w:t>）</w:t>
      </w:r>
    </w:p>
    <w:p w14:paraId="31791101">
      <w:pPr>
        <w:pStyle w:val="37"/>
        <w:rPr>
          <w:rFonts w:hint="eastAsia" w:ascii="宋体" w:hAnsi="宋体" w:cs="宋体"/>
          <w:sz w:val="24"/>
          <w:highlight w:val="none"/>
        </w:rPr>
      </w:pPr>
    </w:p>
    <w:tbl>
      <w:tblPr>
        <w:tblStyle w:val="31"/>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3491"/>
        <w:gridCol w:w="2654"/>
        <w:gridCol w:w="1757"/>
      </w:tblGrid>
      <w:tr w14:paraId="034FE8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tcBorders>
              <w:top w:val="single" w:color="auto" w:sz="8" w:space="0"/>
            </w:tcBorders>
            <w:noWrap w:val="0"/>
            <w:vAlign w:val="center"/>
          </w:tcPr>
          <w:p w14:paraId="2146B2C2">
            <w:pPr>
              <w:jc w:val="center"/>
              <w:rPr>
                <w:rFonts w:ascii="宋体"/>
                <w:sz w:val="24"/>
                <w:highlight w:val="none"/>
              </w:rPr>
            </w:pPr>
            <w:r>
              <w:rPr>
                <w:rFonts w:hint="eastAsia" w:ascii="宋体" w:hAnsi="宋体"/>
                <w:sz w:val="24"/>
                <w:highlight w:val="none"/>
              </w:rPr>
              <w:t>序号</w:t>
            </w:r>
          </w:p>
        </w:tc>
        <w:tc>
          <w:tcPr>
            <w:tcW w:w="1909" w:type="pct"/>
            <w:tcBorders>
              <w:top w:val="single" w:color="auto" w:sz="8" w:space="0"/>
            </w:tcBorders>
            <w:noWrap w:val="0"/>
            <w:vAlign w:val="center"/>
          </w:tcPr>
          <w:p w14:paraId="638C9B78">
            <w:pPr>
              <w:jc w:val="center"/>
              <w:rPr>
                <w:rFonts w:hint="default" w:ascii="宋体" w:eastAsia="宋体"/>
                <w:sz w:val="24"/>
                <w:highlight w:val="none"/>
                <w:lang w:val="en-US" w:eastAsia="zh-CN"/>
              </w:rPr>
            </w:pPr>
            <w:r>
              <w:rPr>
                <w:rFonts w:hint="eastAsia" w:ascii="宋体" w:hAnsi="宋体"/>
                <w:sz w:val="24"/>
                <w:highlight w:val="none"/>
                <w:lang w:val="en-US" w:eastAsia="zh-CN"/>
              </w:rPr>
              <w:t>项目名称</w:t>
            </w:r>
          </w:p>
        </w:tc>
        <w:tc>
          <w:tcPr>
            <w:tcW w:w="1451" w:type="pct"/>
            <w:tcBorders>
              <w:top w:val="single" w:color="auto" w:sz="8" w:space="0"/>
            </w:tcBorders>
            <w:noWrap w:val="0"/>
            <w:vAlign w:val="center"/>
          </w:tcPr>
          <w:p w14:paraId="2A2D430D">
            <w:pPr>
              <w:jc w:val="center"/>
              <w:rPr>
                <w:rFonts w:hint="default" w:ascii="宋体" w:eastAsia="宋体"/>
                <w:sz w:val="24"/>
                <w:highlight w:val="none"/>
                <w:lang w:val="en-US" w:eastAsia="zh-CN"/>
              </w:rPr>
            </w:pPr>
            <w:r>
              <w:rPr>
                <w:rFonts w:hint="eastAsia" w:ascii="宋体" w:hAnsi="宋体"/>
                <w:sz w:val="24"/>
                <w:highlight w:val="none"/>
                <w:lang w:val="en-US" w:eastAsia="zh-CN"/>
              </w:rPr>
              <w:t>合同签订时间</w:t>
            </w:r>
          </w:p>
        </w:tc>
        <w:tc>
          <w:tcPr>
            <w:tcW w:w="961" w:type="pct"/>
            <w:tcBorders>
              <w:top w:val="single" w:color="auto" w:sz="8" w:space="0"/>
            </w:tcBorders>
            <w:noWrap w:val="0"/>
            <w:vAlign w:val="center"/>
          </w:tcPr>
          <w:p w14:paraId="7B4643BD">
            <w:pPr>
              <w:jc w:val="center"/>
              <w:rPr>
                <w:rFonts w:hint="default" w:ascii="宋体" w:hAnsi="宋体"/>
                <w:sz w:val="24"/>
                <w:highlight w:val="none"/>
                <w:lang w:val="en-US" w:eastAsia="zh-CN"/>
              </w:rPr>
            </w:pPr>
            <w:r>
              <w:rPr>
                <w:rFonts w:hint="eastAsia" w:ascii="宋体" w:hAnsi="宋体"/>
                <w:sz w:val="24"/>
                <w:highlight w:val="none"/>
                <w:lang w:val="en-US" w:eastAsia="zh-CN"/>
              </w:rPr>
              <w:t>备注</w:t>
            </w:r>
          </w:p>
        </w:tc>
      </w:tr>
      <w:tr w14:paraId="4B88D7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4B656094">
            <w:pPr>
              <w:jc w:val="center"/>
              <w:rPr>
                <w:rFonts w:hint="eastAsia" w:ascii="宋体" w:eastAsia="宋体"/>
                <w:sz w:val="24"/>
                <w:highlight w:val="none"/>
                <w:lang w:val="en-US" w:eastAsia="zh-CN"/>
              </w:rPr>
            </w:pPr>
            <w:r>
              <w:rPr>
                <w:rFonts w:hint="eastAsia" w:ascii="宋体"/>
                <w:sz w:val="24"/>
                <w:highlight w:val="none"/>
                <w:lang w:val="en-US" w:eastAsia="zh-CN"/>
              </w:rPr>
              <w:t>1</w:t>
            </w:r>
          </w:p>
        </w:tc>
        <w:tc>
          <w:tcPr>
            <w:tcW w:w="1909" w:type="pct"/>
            <w:noWrap w:val="0"/>
            <w:vAlign w:val="center"/>
          </w:tcPr>
          <w:p w14:paraId="246577CA">
            <w:pPr>
              <w:jc w:val="center"/>
              <w:rPr>
                <w:rFonts w:ascii="宋体"/>
                <w:sz w:val="24"/>
                <w:highlight w:val="none"/>
              </w:rPr>
            </w:pPr>
          </w:p>
        </w:tc>
        <w:tc>
          <w:tcPr>
            <w:tcW w:w="1451" w:type="pct"/>
            <w:noWrap w:val="0"/>
            <w:vAlign w:val="center"/>
          </w:tcPr>
          <w:p w14:paraId="78A228E0">
            <w:pPr>
              <w:jc w:val="center"/>
              <w:rPr>
                <w:rFonts w:ascii="宋体"/>
                <w:sz w:val="24"/>
                <w:highlight w:val="none"/>
              </w:rPr>
            </w:pPr>
          </w:p>
        </w:tc>
        <w:tc>
          <w:tcPr>
            <w:tcW w:w="961" w:type="pct"/>
            <w:noWrap w:val="0"/>
            <w:vAlign w:val="center"/>
          </w:tcPr>
          <w:p w14:paraId="45EF2C8F">
            <w:pPr>
              <w:jc w:val="center"/>
              <w:rPr>
                <w:rFonts w:ascii="宋体"/>
                <w:sz w:val="24"/>
                <w:highlight w:val="none"/>
              </w:rPr>
            </w:pPr>
          </w:p>
        </w:tc>
      </w:tr>
      <w:tr w14:paraId="4268A0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128A86AF">
            <w:pPr>
              <w:jc w:val="center"/>
              <w:rPr>
                <w:rFonts w:hint="eastAsia" w:ascii="宋体" w:eastAsia="宋体"/>
                <w:sz w:val="24"/>
                <w:highlight w:val="none"/>
                <w:lang w:val="en-US" w:eastAsia="zh-CN"/>
              </w:rPr>
            </w:pPr>
            <w:r>
              <w:rPr>
                <w:rFonts w:hint="eastAsia" w:ascii="宋体"/>
                <w:sz w:val="24"/>
                <w:highlight w:val="none"/>
                <w:lang w:val="en-US" w:eastAsia="zh-CN"/>
              </w:rPr>
              <w:t>2</w:t>
            </w:r>
          </w:p>
        </w:tc>
        <w:tc>
          <w:tcPr>
            <w:tcW w:w="1909" w:type="pct"/>
            <w:noWrap w:val="0"/>
            <w:vAlign w:val="center"/>
          </w:tcPr>
          <w:p w14:paraId="7E87B6FE">
            <w:pPr>
              <w:jc w:val="center"/>
              <w:rPr>
                <w:rFonts w:ascii="宋体"/>
                <w:sz w:val="24"/>
                <w:highlight w:val="none"/>
              </w:rPr>
            </w:pPr>
          </w:p>
        </w:tc>
        <w:tc>
          <w:tcPr>
            <w:tcW w:w="1451" w:type="pct"/>
            <w:noWrap w:val="0"/>
            <w:vAlign w:val="center"/>
          </w:tcPr>
          <w:p w14:paraId="165B1A5E">
            <w:pPr>
              <w:jc w:val="center"/>
              <w:rPr>
                <w:rFonts w:ascii="宋体"/>
                <w:sz w:val="24"/>
                <w:highlight w:val="none"/>
              </w:rPr>
            </w:pPr>
          </w:p>
        </w:tc>
        <w:tc>
          <w:tcPr>
            <w:tcW w:w="961" w:type="pct"/>
            <w:noWrap w:val="0"/>
            <w:vAlign w:val="center"/>
          </w:tcPr>
          <w:p w14:paraId="70863369">
            <w:pPr>
              <w:jc w:val="center"/>
              <w:rPr>
                <w:rFonts w:ascii="宋体"/>
                <w:sz w:val="24"/>
                <w:highlight w:val="none"/>
              </w:rPr>
            </w:pPr>
          </w:p>
        </w:tc>
      </w:tr>
      <w:tr w14:paraId="3BD846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03F612D1">
            <w:pPr>
              <w:jc w:val="center"/>
              <w:rPr>
                <w:rFonts w:hint="eastAsia" w:ascii="宋体" w:eastAsia="宋体"/>
                <w:sz w:val="24"/>
                <w:highlight w:val="none"/>
                <w:lang w:val="en-US" w:eastAsia="zh-CN"/>
              </w:rPr>
            </w:pPr>
            <w:r>
              <w:rPr>
                <w:rFonts w:hint="eastAsia" w:ascii="宋体"/>
                <w:sz w:val="24"/>
                <w:highlight w:val="none"/>
                <w:lang w:val="en-US" w:eastAsia="zh-CN"/>
              </w:rPr>
              <w:t>3</w:t>
            </w:r>
          </w:p>
        </w:tc>
        <w:tc>
          <w:tcPr>
            <w:tcW w:w="1909" w:type="pct"/>
            <w:noWrap w:val="0"/>
            <w:vAlign w:val="center"/>
          </w:tcPr>
          <w:p w14:paraId="6B0E5861">
            <w:pPr>
              <w:jc w:val="center"/>
              <w:rPr>
                <w:rFonts w:ascii="宋体"/>
                <w:sz w:val="24"/>
                <w:highlight w:val="none"/>
              </w:rPr>
            </w:pPr>
          </w:p>
        </w:tc>
        <w:tc>
          <w:tcPr>
            <w:tcW w:w="1451" w:type="pct"/>
            <w:noWrap w:val="0"/>
            <w:vAlign w:val="center"/>
          </w:tcPr>
          <w:p w14:paraId="614BA61B">
            <w:pPr>
              <w:jc w:val="center"/>
              <w:rPr>
                <w:rFonts w:ascii="宋体"/>
                <w:sz w:val="24"/>
                <w:highlight w:val="none"/>
              </w:rPr>
            </w:pPr>
          </w:p>
        </w:tc>
        <w:tc>
          <w:tcPr>
            <w:tcW w:w="961" w:type="pct"/>
            <w:noWrap w:val="0"/>
            <w:vAlign w:val="center"/>
          </w:tcPr>
          <w:p w14:paraId="1D1828E6">
            <w:pPr>
              <w:jc w:val="center"/>
              <w:rPr>
                <w:rFonts w:ascii="宋体"/>
                <w:sz w:val="24"/>
                <w:highlight w:val="none"/>
              </w:rPr>
            </w:pPr>
          </w:p>
        </w:tc>
      </w:tr>
      <w:tr w14:paraId="409344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715E7ED6">
            <w:pPr>
              <w:jc w:val="center"/>
              <w:rPr>
                <w:rFonts w:hint="eastAsia" w:ascii="宋体" w:eastAsia="宋体"/>
                <w:sz w:val="24"/>
                <w:highlight w:val="none"/>
                <w:lang w:val="en-US" w:eastAsia="zh-CN"/>
              </w:rPr>
            </w:pPr>
            <w:r>
              <w:rPr>
                <w:rFonts w:hint="eastAsia" w:ascii="宋体"/>
                <w:sz w:val="24"/>
                <w:highlight w:val="none"/>
                <w:lang w:val="en-US" w:eastAsia="zh-CN"/>
              </w:rPr>
              <w:t>4</w:t>
            </w:r>
          </w:p>
        </w:tc>
        <w:tc>
          <w:tcPr>
            <w:tcW w:w="1909" w:type="pct"/>
            <w:noWrap w:val="0"/>
            <w:vAlign w:val="center"/>
          </w:tcPr>
          <w:p w14:paraId="2BFA50CF">
            <w:pPr>
              <w:jc w:val="center"/>
              <w:rPr>
                <w:rFonts w:ascii="宋体"/>
                <w:sz w:val="24"/>
                <w:highlight w:val="none"/>
              </w:rPr>
            </w:pPr>
          </w:p>
        </w:tc>
        <w:tc>
          <w:tcPr>
            <w:tcW w:w="1451" w:type="pct"/>
            <w:noWrap w:val="0"/>
            <w:vAlign w:val="center"/>
          </w:tcPr>
          <w:p w14:paraId="7121BCD7">
            <w:pPr>
              <w:jc w:val="center"/>
              <w:rPr>
                <w:rFonts w:ascii="宋体"/>
                <w:sz w:val="24"/>
                <w:highlight w:val="none"/>
              </w:rPr>
            </w:pPr>
          </w:p>
        </w:tc>
        <w:tc>
          <w:tcPr>
            <w:tcW w:w="961" w:type="pct"/>
            <w:noWrap w:val="0"/>
            <w:vAlign w:val="center"/>
          </w:tcPr>
          <w:p w14:paraId="19C976CD">
            <w:pPr>
              <w:jc w:val="center"/>
              <w:rPr>
                <w:rFonts w:ascii="宋体"/>
                <w:sz w:val="24"/>
                <w:highlight w:val="none"/>
              </w:rPr>
            </w:pPr>
          </w:p>
        </w:tc>
      </w:tr>
      <w:tr w14:paraId="0F4294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tcBorders>
              <w:bottom w:val="single" w:color="auto" w:sz="8" w:space="0"/>
            </w:tcBorders>
            <w:noWrap w:val="0"/>
            <w:vAlign w:val="center"/>
          </w:tcPr>
          <w:p w14:paraId="2AC3EBC6">
            <w:pPr>
              <w:jc w:val="center"/>
              <w:rPr>
                <w:rFonts w:hint="default" w:ascii="宋体" w:eastAsia="宋体"/>
                <w:sz w:val="24"/>
                <w:highlight w:val="none"/>
                <w:lang w:val="en-US" w:eastAsia="zh-CN"/>
              </w:rPr>
            </w:pPr>
            <w:r>
              <w:rPr>
                <w:rFonts w:hint="eastAsia" w:ascii="宋体"/>
                <w:sz w:val="24"/>
                <w:highlight w:val="none"/>
                <w:lang w:val="en-US" w:eastAsia="zh-CN"/>
              </w:rPr>
              <w:t>...</w:t>
            </w:r>
          </w:p>
        </w:tc>
        <w:tc>
          <w:tcPr>
            <w:tcW w:w="1909" w:type="pct"/>
            <w:tcBorders>
              <w:bottom w:val="single" w:color="auto" w:sz="8" w:space="0"/>
            </w:tcBorders>
            <w:noWrap w:val="0"/>
            <w:vAlign w:val="center"/>
          </w:tcPr>
          <w:p w14:paraId="0990377C">
            <w:pPr>
              <w:jc w:val="center"/>
              <w:rPr>
                <w:rFonts w:hint="default" w:ascii="宋体" w:eastAsia="宋体"/>
                <w:sz w:val="24"/>
                <w:highlight w:val="none"/>
                <w:lang w:val="en-US" w:eastAsia="zh-CN"/>
              </w:rPr>
            </w:pPr>
            <w:r>
              <w:rPr>
                <w:rFonts w:hint="eastAsia" w:ascii="宋体"/>
                <w:sz w:val="24"/>
                <w:highlight w:val="none"/>
                <w:lang w:val="en-US" w:eastAsia="zh-CN"/>
              </w:rPr>
              <w:t>......</w:t>
            </w:r>
          </w:p>
        </w:tc>
        <w:tc>
          <w:tcPr>
            <w:tcW w:w="1451" w:type="pct"/>
            <w:tcBorders>
              <w:bottom w:val="single" w:color="auto" w:sz="8" w:space="0"/>
            </w:tcBorders>
            <w:noWrap w:val="0"/>
            <w:vAlign w:val="center"/>
          </w:tcPr>
          <w:p w14:paraId="0BF4D04C">
            <w:pPr>
              <w:jc w:val="center"/>
              <w:rPr>
                <w:rFonts w:ascii="宋体"/>
                <w:sz w:val="24"/>
                <w:highlight w:val="none"/>
              </w:rPr>
            </w:pPr>
          </w:p>
        </w:tc>
        <w:tc>
          <w:tcPr>
            <w:tcW w:w="961" w:type="pct"/>
            <w:tcBorders>
              <w:bottom w:val="single" w:color="auto" w:sz="8" w:space="0"/>
            </w:tcBorders>
            <w:noWrap w:val="0"/>
            <w:vAlign w:val="center"/>
          </w:tcPr>
          <w:p w14:paraId="5ADA6149">
            <w:pPr>
              <w:jc w:val="center"/>
              <w:rPr>
                <w:rFonts w:ascii="宋体"/>
                <w:sz w:val="24"/>
                <w:highlight w:val="none"/>
              </w:rPr>
            </w:pPr>
          </w:p>
        </w:tc>
      </w:tr>
    </w:tbl>
    <w:p w14:paraId="2CDE9BCD">
      <w:pPr>
        <w:spacing w:line="360" w:lineRule="auto"/>
        <w:jc w:val="both"/>
        <w:rPr>
          <w:rFonts w:hint="eastAsia" w:ascii="宋体" w:hAnsi="宋体" w:eastAsia="宋体" w:cs="宋体"/>
          <w:bCs/>
          <w:color w:val="auto"/>
          <w:sz w:val="24"/>
          <w:szCs w:val="24"/>
          <w:highlight w:val="none"/>
          <w:lang w:eastAsia="zh-CN"/>
        </w:rPr>
      </w:pPr>
      <w:r>
        <w:rPr>
          <w:rFonts w:ascii="宋体" w:hAnsi="宋体" w:eastAsia="宋体"/>
          <w:color w:val="auto"/>
          <w:sz w:val="24"/>
          <w:szCs w:val="24"/>
          <w:highlight w:val="none"/>
        </w:rPr>
        <w:t>备注：</w:t>
      </w:r>
      <w:r>
        <w:rPr>
          <w:rFonts w:hint="eastAsia" w:ascii="宋体" w:hAnsi="宋体" w:eastAsia="宋体"/>
          <w:color w:val="auto"/>
          <w:sz w:val="24"/>
          <w:szCs w:val="24"/>
          <w:highlight w:val="none"/>
          <w:lang w:val="en-US" w:eastAsia="zh-CN"/>
        </w:rPr>
        <w:t>供应商</w:t>
      </w:r>
      <w:r>
        <w:rPr>
          <w:rFonts w:ascii="宋体" w:hAnsi="宋体" w:eastAsia="宋体"/>
          <w:color w:val="auto"/>
          <w:sz w:val="24"/>
          <w:szCs w:val="24"/>
          <w:highlight w:val="none"/>
        </w:rPr>
        <w:t>应根据</w:t>
      </w:r>
      <w:r>
        <w:rPr>
          <w:rFonts w:hint="eastAsia" w:ascii="宋体" w:hAnsi="宋体"/>
          <w:color w:val="auto"/>
          <w:sz w:val="24"/>
          <w:szCs w:val="24"/>
          <w:highlight w:val="none"/>
          <w:lang w:eastAsia="zh-CN"/>
        </w:rPr>
        <w:t>谈判</w:t>
      </w:r>
      <w:r>
        <w:rPr>
          <w:rFonts w:hint="eastAsia" w:ascii="宋体" w:hAnsi="宋体" w:eastAsia="宋体"/>
          <w:color w:val="auto"/>
          <w:sz w:val="24"/>
          <w:szCs w:val="24"/>
          <w:highlight w:val="none"/>
          <w:lang w:val="en-US" w:eastAsia="zh-CN"/>
        </w:rPr>
        <w:t>文件</w:t>
      </w:r>
      <w:r>
        <w:rPr>
          <w:rFonts w:ascii="宋体" w:hAnsi="宋体" w:eastAsia="宋体"/>
          <w:color w:val="auto"/>
          <w:sz w:val="24"/>
          <w:szCs w:val="24"/>
          <w:highlight w:val="none"/>
        </w:rPr>
        <w:t>要求在本表后附相关证明材料</w:t>
      </w:r>
      <w:r>
        <w:rPr>
          <w:rFonts w:hint="eastAsia" w:ascii="宋体" w:hAnsi="宋体"/>
          <w:color w:val="auto"/>
          <w:sz w:val="24"/>
          <w:szCs w:val="24"/>
          <w:highlight w:val="none"/>
          <w:lang w:eastAsia="zh-CN"/>
        </w:rPr>
        <w:t>（中标（成交）通知书、合同等，复印件加盖公章）</w:t>
      </w:r>
      <w:r>
        <w:rPr>
          <w:rFonts w:ascii="宋体" w:hAnsi="宋体" w:eastAsia="宋体"/>
          <w:color w:val="auto"/>
          <w:sz w:val="24"/>
          <w:szCs w:val="24"/>
          <w:highlight w:val="none"/>
        </w:rPr>
        <w:t>。</w:t>
      </w:r>
    </w:p>
    <w:p w14:paraId="261772FF">
      <w:pPr>
        <w:pageBreakBefore w:val="0"/>
        <w:numPr>
          <w:ilvl w:val="0"/>
          <w:numId w:val="0"/>
        </w:numPr>
        <w:overflowPunct/>
        <w:bidi w:val="0"/>
        <w:spacing w:line="520" w:lineRule="exact"/>
        <w:jc w:val="center"/>
        <w:outlineLvl w:val="1"/>
        <w:rPr>
          <w:rFonts w:hint="eastAsia" w:ascii="宋体" w:hAnsi="宋体" w:cs="宋体"/>
          <w:b/>
          <w:color w:val="auto"/>
          <w:sz w:val="24"/>
          <w:szCs w:val="24"/>
          <w:highlight w:val="none"/>
          <w:lang w:eastAsia="zh-CN"/>
        </w:rPr>
      </w:pPr>
    </w:p>
    <w:p w14:paraId="594C42A7">
      <w:pPr>
        <w:pStyle w:val="20"/>
        <w:rPr>
          <w:rFonts w:hint="eastAsia" w:ascii="宋体" w:hAnsi="宋体" w:cs="宋体"/>
          <w:b/>
          <w:color w:val="auto"/>
          <w:sz w:val="24"/>
          <w:szCs w:val="24"/>
          <w:highlight w:val="none"/>
          <w:lang w:eastAsia="zh-CN"/>
        </w:rPr>
      </w:pPr>
    </w:p>
    <w:p w14:paraId="1F8E49A7">
      <w:pPr>
        <w:pStyle w:val="20"/>
        <w:rPr>
          <w:rFonts w:hint="eastAsia" w:ascii="宋体" w:hAnsi="宋体" w:cs="宋体"/>
          <w:b/>
          <w:color w:val="auto"/>
          <w:sz w:val="24"/>
          <w:szCs w:val="24"/>
          <w:highlight w:val="none"/>
          <w:lang w:eastAsia="zh-CN"/>
        </w:rPr>
      </w:pPr>
    </w:p>
    <w:p w14:paraId="263C42E6">
      <w:pPr>
        <w:pStyle w:val="20"/>
        <w:rPr>
          <w:rFonts w:hint="eastAsia" w:ascii="宋体" w:hAnsi="宋体" w:cs="宋体"/>
          <w:b/>
          <w:color w:val="auto"/>
          <w:sz w:val="24"/>
          <w:szCs w:val="24"/>
          <w:highlight w:val="none"/>
          <w:lang w:eastAsia="zh-CN"/>
        </w:rPr>
      </w:pPr>
    </w:p>
    <w:p w14:paraId="3148572E">
      <w:pPr>
        <w:pStyle w:val="20"/>
        <w:rPr>
          <w:rFonts w:hint="eastAsia" w:ascii="宋体" w:hAnsi="宋体" w:cs="宋体"/>
          <w:b/>
          <w:color w:val="auto"/>
          <w:sz w:val="24"/>
          <w:szCs w:val="24"/>
          <w:highlight w:val="none"/>
          <w:lang w:eastAsia="zh-CN"/>
        </w:rPr>
      </w:pPr>
    </w:p>
    <w:p w14:paraId="0198FE92">
      <w:pPr>
        <w:pStyle w:val="20"/>
        <w:rPr>
          <w:rFonts w:hint="eastAsia" w:ascii="宋体" w:hAnsi="宋体" w:cs="宋体"/>
          <w:b/>
          <w:color w:val="auto"/>
          <w:sz w:val="24"/>
          <w:szCs w:val="24"/>
          <w:highlight w:val="none"/>
          <w:lang w:eastAsia="zh-CN"/>
        </w:rPr>
      </w:pPr>
    </w:p>
    <w:p w14:paraId="1EA81DCF">
      <w:pPr>
        <w:pStyle w:val="20"/>
        <w:rPr>
          <w:rFonts w:hint="eastAsia" w:ascii="宋体" w:hAnsi="宋体" w:cs="宋体"/>
          <w:b/>
          <w:color w:val="auto"/>
          <w:sz w:val="24"/>
          <w:szCs w:val="24"/>
          <w:highlight w:val="none"/>
          <w:lang w:eastAsia="zh-CN"/>
        </w:rPr>
      </w:pPr>
    </w:p>
    <w:p w14:paraId="5BE501F3">
      <w:pPr>
        <w:pStyle w:val="20"/>
        <w:rPr>
          <w:rFonts w:hint="eastAsia" w:ascii="宋体" w:hAnsi="宋体" w:cs="宋体"/>
          <w:b/>
          <w:color w:val="auto"/>
          <w:sz w:val="24"/>
          <w:szCs w:val="24"/>
          <w:highlight w:val="none"/>
          <w:lang w:eastAsia="zh-CN"/>
        </w:rPr>
      </w:pPr>
    </w:p>
    <w:p w14:paraId="21AED767">
      <w:pPr>
        <w:pStyle w:val="20"/>
        <w:rPr>
          <w:rFonts w:hint="eastAsia" w:ascii="宋体" w:hAnsi="宋体" w:cs="宋体"/>
          <w:b/>
          <w:color w:val="auto"/>
          <w:sz w:val="24"/>
          <w:szCs w:val="24"/>
          <w:highlight w:val="none"/>
          <w:lang w:eastAsia="zh-CN"/>
        </w:rPr>
      </w:pPr>
    </w:p>
    <w:p w14:paraId="7B4EABCD">
      <w:pPr>
        <w:pStyle w:val="20"/>
        <w:rPr>
          <w:rFonts w:hint="eastAsia" w:ascii="宋体" w:hAnsi="宋体" w:cs="宋体"/>
          <w:b/>
          <w:color w:val="auto"/>
          <w:sz w:val="24"/>
          <w:szCs w:val="24"/>
          <w:highlight w:val="none"/>
          <w:lang w:eastAsia="zh-CN"/>
        </w:rPr>
      </w:pPr>
    </w:p>
    <w:p w14:paraId="0B66D152">
      <w:pPr>
        <w:pStyle w:val="20"/>
        <w:rPr>
          <w:rFonts w:hint="eastAsia" w:ascii="宋体" w:hAnsi="宋体" w:cs="宋体"/>
          <w:b/>
          <w:color w:val="auto"/>
          <w:sz w:val="24"/>
          <w:szCs w:val="24"/>
          <w:highlight w:val="none"/>
          <w:lang w:eastAsia="zh-CN"/>
        </w:rPr>
      </w:pPr>
    </w:p>
    <w:p w14:paraId="4A0FCE84">
      <w:pPr>
        <w:pStyle w:val="20"/>
        <w:rPr>
          <w:rFonts w:hint="eastAsia" w:ascii="宋体" w:hAnsi="宋体" w:cs="宋体"/>
          <w:b/>
          <w:color w:val="auto"/>
          <w:sz w:val="24"/>
          <w:szCs w:val="24"/>
          <w:highlight w:val="none"/>
          <w:lang w:eastAsia="zh-CN"/>
        </w:rPr>
      </w:pPr>
    </w:p>
    <w:p w14:paraId="7A86337B">
      <w:pPr>
        <w:pStyle w:val="20"/>
        <w:rPr>
          <w:rFonts w:hint="eastAsia" w:ascii="宋体" w:hAnsi="宋体" w:cs="宋体"/>
          <w:b/>
          <w:color w:val="auto"/>
          <w:sz w:val="24"/>
          <w:szCs w:val="24"/>
          <w:highlight w:val="none"/>
          <w:lang w:eastAsia="zh-CN"/>
        </w:rPr>
      </w:pPr>
    </w:p>
    <w:p w14:paraId="0B8838BE">
      <w:pPr>
        <w:pStyle w:val="20"/>
        <w:rPr>
          <w:rFonts w:hint="eastAsia" w:ascii="宋体" w:hAnsi="宋体" w:cs="宋体"/>
          <w:b/>
          <w:color w:val="auto"/>
          <w:sz w:val="24"/>
          <w:szCs w:val="24"/>
          <w:highlight w:val="none"/>
          <w:lang w:eastAsia="zh-CN"/>
        </w:rPr>
      </w:pPr>
    </w:p>
    <w:p w14:paraId="3D014071">
      <w:pPr>
        <w:pStyle w:val="20"/>
        <w:rPr>
          <w:rFonts w:hint="eastAsia" w:ascii="宋体" w:hAnsi="宋体" w:cs="宋体"/>
          <w:b/>
          <w:color w:val="auto"/>
          <w:sz w:val="24"/>
          <w:szCs w:val="24"/>
          <w:highlight w:val="none"/>
          <w:lang w:eastAsia="zh-CN"/>
        </w:rPr>
      </w:pPr>
    </w:p>
    <w:p w14:paraId="3362AE23">
      <w:pPr>
        <w:pStyle w:val="20"/>
        <w:rPr>
          <w:rFonts w:hint="eastAsia" w:ascii="宋体" w:hAnsi="宋体" w:cs="宋体"/>
          <w:b/>
          <w:color w:val="auto"/>
          <w:sz w:val="24"/>
          <w:szCs w:val="24"/>
          <w:highlight w:val="none"/>
          <w:lang w:eastAsia="zh-CN"/>
        </w:rPr>
      </w:pPr>
    </w:p>
    <w:p w14:paraId="03903305">
      <w:pPr>
        <w:pStyle w:val="20"/>
        <w:rPr>
          <w:rFonts w:hint="eastAsia" w:ascii="宋体" w:hAnsi="宋体" w:cs="宋体"/>
          <w:b/>
          <w:color w:val="auto"/>
          <w:sz w:val="24"/>
          <w:szCs w:val="24"/>
          <w:highlight w:val="none"/>
          <w:lang w:eastAsia="zh-CN"/>
        </w:rPr>
      </w:pPr>
    </w:p>
    <w:p w14:paraId="1E32DEB3">
      <w:pPr>
        <w:pStyle w:val="20"/>
        <w:rPr>
          <w:rFonts w:hint="eastAsia" w:ascii="宋体" w:hAnsi="宋体" w:cs="宋体"/>
          <w:b/>
          <w:color w:val="auto"/>
          <w:sz w:val="24"/>
          <w:szCs w:val="24"/>
          <w:highlight w:val="none"/>
          <w:lang w:eastAsia="zh-CN"/>
        </w:rPr>
      </w:pPr>
    </w:p>
    <w:p w14:paraId="0D2ECEF9">
      <w:pPr>
        <w:pStyle w:val="20"/>
        <w:rPr>
          <w:rFonts w:hint="eastAsia" w:ascii="宋体" w:hAnsi="宋体" w:cs="宋体"/>
          <w:b/>
          <w:color w:val="auto"/>
          <w:sz w:val="24"/>
          <w:szCs w:val="24"/>
          <w:highlight w:val="none"/>
          <w:lang w:eastAsia="zh-CN"/>
        </w:rPr>
      </w:pPr>
    </w:p>
    <w:p w14:paraId="49FB3241">
      <w:pPr>
        <w:pStyle w:val="20"/>
        <w:rPr>
          <w:rFonts w:hint="eastAsia" w:ascii="宋体" w:hAnsi="宋体" w:cs="宋体"/>
          <w:b/>
          <w:color w:val="auto"/>
          <w:sz w:val="24"/>
          <w:szCs w:val="24"/>
          <w:highlight w:val="none"/>
          <w:lang w:eastAsia="zh-CN"/>
        </w:rPr>
      </w:pPr>
    </w:p>
    <w:p w14:paraId="3609872B">
      <w:pPr>
        <w:pageBreakBefore w:val="0"/>
        <w:numPr>
          <w:ilvl w:val="0"/>
          <w:numId w:val="0"/>
        </w:numPr>
        <w:overflowPunct/>
        <w:bidi w:val="0"/>
        <w:spacing w:line="520" w:lineRule="exact"/>
        <w:jc w:val="center"/>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九、</w:t>
      </w:r>
      <w:r>
        <w:rPr>
          <w:rFonts w:hint="eastAsia" w:ascii="宋体" w:hAnsi="宋体" w:cs="宋体"/>
          <w:b/>
          <w:color w:val="auto"/>
          <w:sz w:val="24"/>
          <w:szCs w:val="24"/>
          <w:highlight w:val="none"/>
        </w:rPr>
        <w:t>其他资料</w:t>
      </w:r>
    </w:p>
    <w:p w14:paraId="195AF153">
      <w:pPr>
        <w:pStyle w:val="37"/>
        <w:numPr>
          <w:ilvl w:val="0"/>
          <w:numId w:val="0"/>
        </w:numPr>
        <w:rPr>
          <w:highlight w:val="none"/>
        </w:rPr>
      </w:pPr>
    </w:p>
    <w:p w14:paraId="0D1E9CA7">
      <w:pPr>
        <w:jc w:val="center"/>
        <w:outlineLvl w:val="2"/>
        <w:rPr>
          <w:rFonts w:hint="eastAsia" w:ascii="宋体" w:hAnsi="宋体" w:cs="宋体"/>
          <w:b/>
          <w:sz w:val="24"/>
          <w:szCs w:val="32"/>
          <w:highlight w:val="none"/>
        </w:rPr>
      </w:pPr>
      <w:r>
        <w:rPr>
          <w:rFonts w:hint="eastAsia" w:ascii="宋体" w:hAnsi="宋体" w:cs="宋体"/>
          <w:b/>
          <w:bCs/>
          <w:spacing w:val="4"/>
          <w:sz w:val="24"/>
          <w:szCs w:val="24"/>
          <w:highlight w:val="none"/>
        </w:rPr>
        <w:t>（一）</w:t>
      </w:r>
      <w:bookmarkStart w:id="119" w:name="_Toc14867_WPSOffice_Level1"/>
      <w:bookmarkStart w:id="120" w:name="_Toc554_WPSOffice_Level1"/>
      <w:bookmarkStart w:id="121" w:name="_Toc26742"/>
      <w:bookmarkStart w:id="122" w:name="_Toc31011"/>
      <w:bookmarkStart w:id="123" w:name="_Toc21437_WPSOffice_Level1"/>
      <w:bookmarkStart w:id="124" w:name="_Toc30141_WPSOffice_Level1"/>
      <w:bookmarkStart w:id="125" w:name="_Toc13914"/>
      <w:bookmarkStart w:id="126" w:name="_Toc3357"/>
      <w:bookmarkStart w:id="127" w:name="_Toc18066"/>
      <w:r>
        <w:rPr>
          <w:rFonts w:hint="eastAsia" w:ascii="宋体" w:hAnsi="宋体" w:cs="宋体"/>
          <w:b/>
          <w:sz w:val="24"/>
          <w:szCs w:val="32"/>
          <w:highlight w:val="none"/>
        </w:rPr>
        <w:t>供应商承诺书</w:t>
      </w:r>
      <w:bookmarkEnd w:id="119"/>
      <w:bookmarkEnd w:id="120"/>
      <w:bookmarkEnd w:id="121"/>
      <w:bookmarkEnd w:id="122"/>
      <w:bookmarkEnd w:id="123"/>
      <w:bookmarkEnd w:id="124"/>
      <w:bookmarkEnd w:id="125"/>
      <w:bookmarkEnd w:id="126"/>
      <w:bookmarkEnd w:id="127"/>
    </w:p>
    <w:p w14:paraId="49F8EB48">
      <w:pPr>
        <w:pStyle w:val="2"/>
        <w:rPr>
          <w:rFonts w:hint="eastAsia" w:ascii="宋体" w:hAnsi="宋体" w:cs="宋体"/>
          <w:sz w:val="24"/>
          <w:szCs w:val="24"/>
          <w:highlight w:val="none"/>
        </w:rPr>
      </w:pPr>
    </w:p>
    <w:p w14:paraId="33EB70FC">
      <w:pPr>
        <w:pStyle w:val="17"/>
        <w:spacing w:line="360" w:lineRule="auto"/>
        <w:jc w:val="center"/>
        <w:rPr>
          <w:rFonts w:hint="eastAsia" w:hAnsi="宋体" w:cs="宋体"/>
          <w:b/>
          <w:sz w:val="24"/>
          <w:szCs w:val="24"/>
          <w:highlight w:val="none"/>
        </w:rPr>
      </w:pPr>
      <w:r>
        <w:rPr>
          <w:rFonts w:hint="eastAsia" w:hAnsi="宋体" w:cs="宋体"/>
          <w:b/>
          <w:sz w:val="24"/>
          <w:szCs w:val="24"/>
          <w:highlight w:val="none"/>
        </w:rPr>
        <w:t>1、陕西省政府采购供应商拒绝政府采购领域商业贿赂承诺书</w:t>
      </w:r>
    </w:p>
    <w:p w14:paraId="7DBAB22E">
      <w:pPr>
        <w:spacing w:line="360" w:lineRule="auto"/>
        <w:rPr>
          <w:rFonts w:hint="eastAsia" w:ascii="宋体" w:hAnsi="宋体" w:cs="宋体"/>
          <w:szCs w:val="24"/>
          <w:highlight w:val="none"/>
        </w:rPr>
      </w:pPr>
    </w:p>
    <w:p w14:paraId="765EA3A5">
      <w:pPr>
        <w:spacing w:line="360" w:lineRule="auto"/>
        <w:ind w:firstLine="330" w:firstLineChars="150"/>
        <w:rPr>
          <w:rFonts w:hint="eastAsia" w:ascii="宋体" w:hAnsi="宋体" w:cs="宋体"/>
          <w:sz w:val="22"/>
          <w:szCs w:val="28"/>
          <w:highlight w:val="none"/>
        </w:rPr>
      </w:pPr>
      <w:bookmarkStart w:id="128" w:name="_Toc11970"/>
      <w:bookmarkStart w:id="129" w:name="_Toc25411"/>
      <w:r>
        <w:rPr>
          <w:rFonts w:hint="eastAsia" w:ascii="宋体" w:hAnsi="宋体" w:cs="宋体"/>
          <w:sz w:val="22"/>
          <w:szCs w:val="28"/>
          <w:highlight w:val="none"/>
        </w:rPr>
        <w:t>为响应党中央、国务院关于治理政府采购领域商业贿赂行为的号召，我公司在此庄严承诺：</w:t>
      </w:r>
    </w:p>
    <w:p w14:paraId="7BD986A4">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1、在参与政府采购活动中遵纪守法、诚信经营、公平竞争。</w:t>
      </w:r>
    </w:p>
    <w:p w14:paraId="48D92F57">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2、不向采购人、采购代理机构和政府采购评审专家进行任何形式的商业贿赂以谋取交易机会。</w:t>
      </w:r>
    </w:p>
    <w:p w14:paraId="1489B39F">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3、不向政府采购代理机构和采购人提供虚假资质文件或采用虚假应标方式参与政府采购市场竞争并谋取中标、成交。</w:t>
      </w:r>
    </w:p>
    <w:p w14:paraId="517EB20B">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4、不采取“围标、陪标”等商业欺诈手段获得政府采购订单。</w:t>
      </w:r>
    </w:p>
    <w:p w14:paraId="634F9130">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5、不采取不正当手段诋毁、排挤其他供应商。</w:t>
      </w:r>
    </w:p>
    <w:p w14:paraId="26EFFD43">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6、不在提供商品和服务时“偷梁换柱、以次充好”损害采购人的合法权益。</w:t>
      </w:r>
    </w:p>
    <w:p w14:paraId="4CFFED95">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7、不与采购人、采购代理机构政府采购评审专家或其它供应商恶意串通，进行质疑和投诉，维护政府采购市场秩序。</w:t>
      </w:r>
    </w:p>
    <w:p w14:paraId="557C3B95">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8、尊重和接受政府采购监督管理部门的监督和政府采购代理机构招标采购要求，承担因违约行为给采购人造成的损失。</w:t>
      </w:r>
    </w:p>
    <w:p w14:paraId="6C4B4E8E">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9、不发生其他有悖于政府采购公开、公平、公正和诚信原则的行为。</w:t>
      </w:r>
    </w:p>
    <w:p w14:paraId="2D827EF8">
      <w:pPr>
        <w:spacing w:line="360" w:lineRule="auto"/>
        <w:ind w:firstLine="440" w:firstLineChars="200"/>
        <w:rPr>
          <w:rFonts w:hint="eastAsia" w:ascii="宋体" w:hAnsi="宋体" w:cs="宋体"/>
          <w:sz w:val="22"/>
          <w:szCs w:val="28"/>
          <w:highlight w:val="none"/>
        </w:rPr>
      </w:pPr>
    </w:p>
    <w:p w14:paraId="41B28DA1">
      <w:pPr>
        <w:pStyle w:val="20"/>
        <w:rPr>
          <w:rFonts w:hint="eastAsia" w:ascii="宋体" w:hAnsi="宋体" w:cs="宋体"/>
          <w:sz w:val="20"/>
          <w:szCs w:val="28"/>
          <w:highlight w:val="none"/>
        </w:rPr>
      </w:pPr>
    </w:p>
    <w:p w14:paraId="3AA28C79">
      <w:pPr>
        <w:pStyle w:val="12"/>
        <w:rPr>
          <w:rFonts w:hint="eastAsia" w:ascii="宋体" w:hAnsi="宋体" w:cs="宋体"/>
          <w:sz w:val="32"/>
          <w:szCs w:val="21"/>
          <w:highlight w:val="none"/>
        </w:rPr>
      </w:pPr>
    </w:p>
    <w:p w14:paraId="733408CD">
      <w:pPr>
        <w:spacing w:line="360" w:lineRule="auto"/>
        <w:ind w:firstLine="440" w:firstLineChars="200"/>
        <w:rPr>
          <w:rFonts w:hint="eastAsia" w:ascii="宋体" w:hAnsi="宋体" w:cs="宋体"/>
          <w:sz w:val="22"/>
          <w:szCs w:val="28"/>
          <w:highlight w:val="none"/>
          <w:u w:val="single"/>
        </w:rPr>
      </w:pPr>
      <w:r>
        <w:rPr>
          <w:rFonts w:hint="eastAsia" w:ascii="宋体" w:hAnsi="宋体" w:cs="宋体"/>
          <w:sz w:val="22"/>
          <w:szCs w:val="28"/>
          <w:highlight w:val="none"/>
        </w:rPr>
        <w:t>供应商名称：</w:t>
      </w:r>
      <w:r>
        <w:rPr>
          <w:rFonts w:hint="eastAsia" w:ascii="宋体" w:hAnsi="宋体" w:cs="宋体"/>
          <w:sz w:val="22"/>
          <w:szCs w:val="28"/>
          <w:highlight w:val="none"/>
          <w:u w:val="single"/>
        </w:rPr>
        <w:t xml:space="preserve">                        </w:t>
      </w:r>
      <w:r>
        <w:rPr>
          <w:rFonts w:hint="eastAsia" w:ascii="宋体" w:hAnsi="宋体" w:cs="宋体"/>
          <w:sz w:val="22"/>
          <w:szCs w:val="28"/>
          <w:highlight w:val="none"/>
        </w:rPr>
        <w:t>（公章）</w:t>
      </w:r>
    </w:p>
    <w:p w14:paraId="308DE72D">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2"/>
          <w:highlight w:val="none"/>
        </w:rPr>
        <w:t>法定代表人或委托代理人</w:t>
      </w:r>
      <w:r>
        <w:rPr>
          <w:rFonts w:hint="eastAsia" w:ascii="宋体" w:hAnsi="宋体" w:cs="宋体"/>
          <w:sz w:val="22"/>
          <w:szCs w:val="28"/>
          <w:highlight w:val="none"/>
        </w:rPr>
        <w:t>：</w:t>
      </w:r>
      <w:r>
        <w:rPr>
          <w:rFonts w:hint="eastAsia" w:ascii="宋体" w:hAnsi="宋体" w:cs="宋体"/>
          <w:sz w:val="22"/>
          <w:szCs w:val="28"/>
          <w:highlight w:val="none"/>
          <w:u w:val="single"/>
        </w:rPr>
        <w:t xml:space="preserve">            </w:t>
      </w:r>
      <w:r>
        <w:rPr>
          <w:rFonts w:hint="eastAsia" w:ascii="宋体" w:hAnsi="宋体" w:cs="宋体"/>
          <w:sz w:val="22"/>
          <w:szCs w:val="28"/>
          <w:highlight w:val="none"/>
        </w:rPr>
        <w:t xml:space="preserve">（签字或盖章）     </w:t>
      </w:r>
    </w:p>
    <w:p w14:paraId="6A1EEB4B">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地址：</w:t>
      </w:r>
      <w:r>
        <w:rPr>
          <w:rFonts w:hint="eastAsia" w:ascii="宋体" w:hAnsi="宋体" w:cs="宋体"/>
          <w:sz w:val="22"/>
          <w:szCs w:val="28"/>
          <w:highlight w:val="none"/>
          <w:u w:val="single"/>
        </w:rPr>
        <w:t xml:space="preserve">                             </w:t>
      </w:r>
      <w:r>
        <w:rPr>
          <w:rFonts w:hint="eastAsia" w:ascii="宋体" w:hAnsi="宋体" w:cs="宋体"/>
          <w:sz w:val="22"/>
          <w:szCs w:val="28"/>
          <w:highlight w:val="none"/>
        </w:rPr>
        <w:t xml:space="preserve">  </w:t>
      </w:r>
    </w:p>
    <w:p w14:paraId="4814CDD7">
      <w:pPr>
        <w:spacing w:line="360" w:lineRule="auto"/>
        <w:ind w:firstLine="440" w:firstLineChars="200"/>
        <w:rPr>
          <w:rFonts w:hint="eastAsia" w:ascii="宋体" w:hAnsi="宋体" w:cs="宋体"/>
          <w:sz w:val="22"/>
          <w:szCs w:val="28"/>
          <w:highlight w:val="none"/>
          <w:u w:val="single"/>
        </w:rPr>
      </w:pPr>
      <w:r>
        <w:rPr>
          <w:rFonts w:hint="eastAsia" w:ascii="宋体" w:hAnsi="宋体" w:cs="宋体"/>
          <w:sz w:val="22"/>
          <w:szCs w:val="28"/>
          <w:highlight w:val="none"/>
        </w:rPr>
        <w:t>邮编：</w:t>
      </w:r>
      <w:r>
        <w:rPr>
          <w:rFonts w:hint="eastAsia" w:ascii="宋体" w:hAnsi="宋体" w:cs="宋体"/>
          <w:sz w:val="22"/>
          <w:szCs w:val="28"/>
          <w:highlight w:val="none"/>
          <w:u w:val="single"/>
        </w:rPr>
        <w:t xml:space="preserve">                             </w:t>
      </w:r>
    </w:p>
    <w:p w14:paraId="5346A0C1">
      <w:pPr>
        <w:spacing w:line="360" w:lineRule="auto"/>
        <w:ind w:firstLine="440" w:firstLineChars="200"/>
        <w:rPr>
          <w:rFonts w:hint="eastAsia" w:ascii="宋体" w:hAnsi="宋体" w:cs="宋体"/>
          <w:sz w:val="22"/>
          <w:szCs w:val="28"/>
          <w:highlight w:val="none"/>
        </w:rPr>
      </w:pPr>
      <w:r>
        <w:rPr>
          <w:rFonts w:hint="eastAsia" w:ascii="宋体" w:hAnsi="宋体" w:cs="宋体"/>
          <w:sz w:val="22"/>
          <w:szCs w:val="28"/>
          <w:highlight w:val="none"/>
        </w:rPr>
        <w:t>电话：</w:t>
      </w:r>
      <w:r>
        <w:rPr>
          <w:rFonts w:hint="eastAsia" w:ascii="宋体" w:hAnsi="宋体" w:cs="宋体"/>
          <w:sz w:val="22"/>
          <w:szCs w:val="28"/>
          <w:highlight w:val="none"/>
          <w:u w:val="single"/>
        </w:rPr>
        <w:t xml:space="preserve">                             </w:t>
      </w:r>
    </w:p>
    <w:p w14:paraId="2391938E">
      <w:pPr>
        <w:spacing w:line="480" w:lineRule="auto"/>
        <w:ind w:firstLine="440" w:firstLineChars="200"/>
        <w:jc w:val="left"/>
        <w:rPr>
          <w:rFonts w:hint="eastAsia" w:ascii="宋体" w:hAnsi="宋体" w:cs="宋体"/>
          <w:sz w:val="28"/>
          <w:szCs w:val="28"/>
          <w:highlight w:val="none"/>
        </w:rPr>
      </w:pPr>
      <w:r>
        <w:rPr>
          <w:rFonts w:hint="eastAsia" w:ascii="宋体" w:hAnsi="宋体" w:cs="宋体"/>
          <w:sz w:val="22"/>
          <w:szCs w:val="22"/>
          <w:highlight w:val="none"/>
        </w:rPr>
        <w:t>日期：</w:t>
      </w:r>
      <w:r>
        <w:rPr>
          <w:rFonts w:hint="eastAsia" w:ascii="宋体" w:hAnsi="宋体" w:cs="宋体"/>
          <w:sz w:val="22"/>
          <w:szCs w:val="22"/>
          <w:highlight w:val="none"/>
          <w:u w:val="single"/>
        </w:rPr>
        <w:t xml:space="preserve">      </w:t>
      </w:r>
      <w:r>
        <w:rPr>
          <w:rFonts w:hint="eastAsia" w:ascii="宋体" w:hAnsi="宋体" w:cs="宋体"/>
          <w:sz w:val="22"/>
          <w:szCs w:val="22"/>
          <w:highlight w:val="none"/>
        </w:rPr>
        <w:t>年</w:t>
      </w:r>
      <w:r>
        <w:rPr>
          <w:rFonts w:hint="eastAsia" w:ascii="宋体" w:hAnsi="宋体" w:cs="宋体"/>
          <w:sz w:val="22"/>
          <w:szCs w:val="22"/>
          <w:highlight w:val="none"/>
          <w:u w:val="single"/>
        </w:rPr>
        <w:t xml:space="preserve">      </w:t>
      </w:r>
      <w:r>
        <w:rPr>
          <w:rFonts w:hint="eastAsia" w:ascii="宋体" w:hAnsi="宋体" w:cs="宋体"/>
          <w:sz w:val="22"/>
          <w:szCs w:val="22"/>
          <w:highlight w:val="none"/>
        </w:rPr>
        <w:t>月</w:t>
      </w:r>
      <w:r>
        <w:rPr>
          <w:rFonts w:hint="eastAsia" w:ascii="宋体" w:hAnsi="宋体" w:cs="宋体"/>
          <w:sz w:val="22"/>
          <w:szCs w:val="22"/>
          <w:highlight w:val="none"/>
          <w:u w:val="single"/>
        </w:rPr>
        <w:t xml:space="preserve">      </w:t>
      </w:r>
      <w:r>
        <w:rPr>
          <w:rFonts w:hint="eastAsia" w:ascii="宋体" w:hAnsi="宋体" w:cs="宋体"/>
          <w:sz w:val="22"/>
          <w:szCs w:val="22"/>
          <w:highlight w:val="none"/>
        </w:rPr>
        <w:t>日</w:t>
      </w:r>
    </w:p>
    <w:p w14:paraId="466202C4">
      <w:pPr>
        <w:spacing w:after="156" w:afterLines="50" w:line="360" w:lineRule="auto"/>
        <w:jc w:val="center"/>
        <w:rPr>
          <w:rFonts w:hint="eastAsia" w:ascii="宋体" w:hAnsi="宋体" w:cs="宋体"/>
          <w:b/>
          <w:sz w:val="28"/>
          <w:szCs w:val="28"/>
          <w:highlight w:val="none"/>
        </w:rPr>
      </w:pPr>
      <w:r>
        <w:rPr>
          <w:rFonts w:hint="eastAsia" w:ascii="宋体" w:hAnsi="宋体" w:cs="宋体"/>
          <w:sz w:val="22"/>
          <w:szCs w:val="28"/>
          <w:highlight w:val="none"/>
        </w:rPr>
        <w:br w:type="page"/>
      </w:r>
      <w:r>
        <w:rPr>
          <w:rFonts w:hint="eastAsia" w:ascii="宋体" w:hAnsi="宋体" w:cs="宋体"/>
          <w:b/>
          <w:sz w:val="28"/>
          <w:szCs w:val="28"/>
          <w:highlight w:val="none"/>
        </w:rPr>
        <w:t>2、宝鸡市政府采购供应商诚信承诺书</w:t>
      </w:r>
    </w:p>
    <w:p w14:paraId="207420EF">
      <w:pPr>
        <w:autoSpaceDE w:val="0"/>
        <w:autoSpaceDN w:val="0"/>
        <w:adjustRightInd w:val="0"/>
        <w:spacing w:line="360" w:lineRule="auto"/>
        <w:jc w:val="left"/>
        <w:rPr>
          <w:rFonts w:hint="eastAsia" w:ascii="宋体" w:hAnsi="宋体" w:cs="宋体"/>
          <w:sz w:val="22"/>
          <w:szCs w:val="22"/>
          <w:highlight w:val="none"/>
          <w:u w:val="single"/>
        </w:rPr>
      </w:pPr>
      <w:r>
        <w:rPr>
          <w:rFonts w:hint="eastAsia" w:ascii="宋体" w:hAnsi="宋体" w:cs="宋体"/>
          <w:sz w:val="22"/>
          <w:szCs w:val="22"/>
          <w:highlight w:val="none"/>
        </w:rPr>
        <w:t>致：</w:t>
      </w:r>
      <w:r>
        <w:rPr>
          <w:rFonts w:hint="eastAsia" w:ascii="宋体" w:hAnsi="宋体" w:cs="宋体"/>
          <w:sz w:val="22"/>
          <w:szCs w:val="22"/>
          <w:highlight w:val="none"/>
          <w:u w:val="single"/>
        </w:rPr>
        <w:t xml:space="preserve">           </w:t>
      </w:r>
      <w:r>
        <w:rPr>
          <w:rFonts w:hint="eastAsia" w:ascii="宋体" w:hAnsi="宋体" w:cs="宋体"/>
          <w:sz w:val="22"/>
          <w:szCs w:val="22"/>
          <w:highlight w:val="none"/>
        </w:rPr>
        <w:t>（采购人名称）</w:t>
      </w:r>
    </w:p>
    <w:p w14:paraId="68CFF02A">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统一社会信用代码为</w:t>
      </w:r>
      <w:r>
        <w:rPr>
          <w:rFonts w:hint="eastAsia" w:ascii="宋体" w:hAnsi="宋体" w:cs="宋体"/>
          <w:sz w:val="22"/>
          <w:szCs w:val="22"/>
          <w:highlight w:val="none"/>
          <w:u w:val="single"/>
        </w:rPr>
        <w:t xml:space="preserve">            </w:t>
      </w:r>
      <w:r>
        <w:rPr>
          <w:rFonts w:hint="eastAsia" w:ascii="宋体" w:hAnsi="宋体" w:cs="宋体"/>
          <w:sz w:val="22"/>
          <w:szCs w:val="22"/>
          <w:highlight w:val="none"/>
        </w:rPr>
        <w:t>的我方</w:t>
      </w:r>
      <w:r>
        <w:rPr>
          <w:rFonts w:hint="eastAsia" w:ascii="宋体" w:hAnsi="宋体" w:cs="宋体"/>
          <w:sz w:val="22"/>
          <w:szCs w:val="22"/>
          <w:highlight w:val="none"/>
          <w:u w:val="single"/>
        </w:rPr>
        <w:t xml:space="preserve">   （供应商名称）  </w:t>
      </w:r>
      <w:r>
        <w:rPr>
          <w:rFonts w:hint="eastAsia" w:ascii="宋体" w:hAnsi="宋体" w:cs="宋体"/>
          <w:sz w:val="22"/>
          <w:szCs w:val="22"/>
          <w:highlight w:val="none"/>
        </w:rPr>
        <w:t>自愿参加贵单位组织的编号为</w:t>
      </w:r>
      <w:r>
        <w:rPr>
          <w:rFonts w:hint="eastAsia" w:ascii="宋体" w:hAnsi="宋体" w:cs="宋体"/>
          <w:sz w:val="22"/>
          <w:szCs w:val="22"/>
          <w:highlight w:val="none"/>
          <w:u w:val="single"/>
        </w:rPr>
        <w:t xml:space="preserve">   （采购项目编号）  </w:t>
      </w:r>
      <w:r>
        <w:rPr>
          <w:rFonts w:hint="eastAsia" w:ascii="宋体" w:hAnsi="宋体" w:cs="宋体"/>
          <w:sz w:val="22"/>
          <w:szCs w:val="22"/>
          <w:highlight w:val="none"/>
        </w:rPr>
        <w:t>的项目</w:t>
      </w:r>
      <w:r>
        <w:rPr>
          <w:rFonts w:hint="eastAsia" w:ascii="宋体" w:hAnsi="宋体" w:cs="宋体"/>
          <w:sz w:val="22"/>
          <w:szCs w:val="22"/>
          <w:highlight w:val="none"/>
          <w:u w:val="single"/>
        </w:rPr>
        <w:t xml:space="preserve">   （项目名称）  </w:t>
      </w:r>
      <w:r>
        <w:rPr>
          <w:rFonts w:hint="eastAsia" w:ascii="宋体" w:hAnsi="宋体" w:cs="宋体"/>
          <w:sz w:val="22"/>
          <w:szCs w:val="22"/>
          <w:highlight w:val="none"/>
        </w:rPr>
        <w:t>的政府采购活动，我方已知悉并理解本项目采购文件的各项要求。为贯彻公开、公平、公正和诚实信用的政府采购原则，共同维护宝鸡政府采购市场良好秩序，我方郑重声明和承诺如下：</w:t>
      </w:r>
    </w:p>
    <w:p w14:paraId="0B96F2C4">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一、在参加本次政府采购活动中严格遵守《中</w:t>
      </w:r>
      <w:r>
        <w:rPr>
          <w:rFonts w:hint="eastAsia" w:ascii="宋体" w:hAnsi="宋体" w:cs="宋体"/>
          <w:sz w:val="22"/>
          <w:szCs w:val="22"/>
          <w:highlight w:val="none"/>
          <w:lang w:eastAsia="zh-CN"/>
        </w:rPr>
        <w:t>华</w:t>
      </w:r>
      <w:r>
        <w:rPr>
          <w:rFonts w:hint="eastAsia" w:ascii="宋体" w:hAnsi="宋体" w:cs="宋体"/>
          <w:sz w:val="22"/>
          <w:szCs w:val="22"/>
          <w:highlight w:val="none"/>
        </w:rPr>
        <w:t>人民共和国政府采购法》等法律、法规、规章及宝鸡市有关规定。</w:t>
      </w:r>
    </w:p>
    <w:p w14:paraId="1937C188">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二、我方郑重声明，在参加本次政府采购活动前三年内，无因违法经营受到刑事处罚或者责令停产停业、吊销许可证或者执照、较大数额罚款等重大违法记录。</w:t>
      </w:r>
    </w:p>
    <w:p w14:paraId="56C01B49">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我方同时声明，在参加本次政府采购活动前，未被列入失信被执行人、重大税收违法</w:t>
      </w:r>
      <w:r>
        <w:rPr>
          <w:rFonts w:hint="eastAsia" w:ascii="宋体" w:hAnsi="宋体" w:cs="宋体"/>
          <w:sz w:val="22"/>
          <w:szCs w:val="22"/>
          <w:highlight w:val="none"/>
          <w:lang w:eastAsia="zh-CN"/>
        </w:rPr>
        <w:t>失信主体</w:t>
      </w:r>
      <w:r>
        <w:rPr>
          <w:rFonts w:hint="eastAsia" w:ascii="宋体" w:hAnsi="宋体" w:cs="宋体"/>
          <w:sz w:val="22"/>
          <w:szCs w:val="22"/>
          <w:highlight w:val="none"/>
        </w:rPr>
        <w:t>、政府采购严重违法失信行为记录名单。</w:t>
      </w:r>
    </w:p>
    <w:p w14:paraId="51C70EEE">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我方对以上声明的真实性负责，接受采购人、采购代理机构根据相关政策规定进行的信用记录查询。如发现以上声明不实，我方承担相应后果。</w:t>
      </w:r>
    </w:p>
    <w:p w14:paraId="1F20B8D1">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三、我方郑重承诺，在参加本次政府采购活动中：</w:t>
      </w:r>
    </w:p>
    <w:p w14:paraId="4C784D21">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 xml:space="preserve">（1）不向采购人、采购代理机构和评审专家提供任何形式的商业贿赂或者提供其他不正当利益。对索取或接受商业贿赂的单位和个人，及时向财政部门和监察机关举报；  </w:t>
      </w:r>
    </w:p>
    <w:p w14:paraId="71A99CB8">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（2）不与其它供应商串通采取围标、陪标等商业欺诈手段谋取中标（成交）；</w:t>
      </w:r>
    </w:p>
    <w:p w14:paraId="055B6C53">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（3）不出借或借用资质；</w:t>
      </w:r>
    </w:p>
    <w:p w14:paraId="1010EE46">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（4）不与采购人、采购代理机构、评审专家恶意串通；</w:t>
      </w:r>
    </w:p>
    <w:p w14:paraId="6797CA20">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（5）不采取不正当手段诋毁、排挤其他投标单位；</w:t>
      </w:r>
    </w:p>
    <w:p w14:paraId="66A746EC">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（6）不以虚假材料谋取中标（成交）；</w:t>
      </w:r>
    </w:p>
    <w:p w14:paraId="6599FF92">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（7）不以低于成本价或恶意低价竞争；</w:t>
      </w:r>
    </w:p>
    <w:p w14:paraId="1D8BF425">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（8）不与采购人在招标采购过程中进行协商</w:t>
      </w:r>
      <w:r>
        <w:rPr>
          <w:rFonts w:hint="eastAsia" w:ascii="宋体" w:hAnsi="宋体" w:cs="宋体"/>
          <w:sz w:val="22"/>
          <w:szCs w:val="22"/>
          <w:highlight w:val="none"/>
          <w:lang w:eastAsia="zh-CN"/>
        </w:rPr>
        <w:t>谈判</w:t>
      </w:r>
      <w:r>
        <w:rPr>
          <w:rFonts w:hint="eastAsia" w:ascii="宋体" w:hAnsi="宋体" w:cs="宋体"/>
          <w:sz w:val="22"/>
          <w:szCs w:val="22"/>
          <w:highlight w:val="none"/>
        </w:rPr>
        <w:t>；</w:t>
      </w:r>
    </w:p>
    <w:p w14:paraId="66B4628C">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（9）中标或者成交后不得提供假冒伪劣产品；</w:t>
      </w:r>
    </w:p>
    <w:p w14:paraId="7E4D2179">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（10）中标或者成交后非因不可抗力不得变更投标（响应）文件中承诺的项目管理实施人员；</w:t>
      </w:r>
    </w:p>
    <w:p w14:paraId="2F94C83D">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（11）中标或者成交后无正当理由不得拒不与采购人签订政府采购合同；</w:t>
      </w:r>
    </w:p>
    <w:p w14:paraId="4CC5159E">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（12）不得有未按照采购文件确定的事项与采购人签订政府采购合同，或者与采购人另行订立背离合同实质性内容协议的行为；</w:t>
      </w:r>
    </w:p>
    <w:p w14:paraId="657C2F3E">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（13）不转包或违法分包政府采购合同，不擅自变更、中止或者终止政府采购合同；</w:t>
      </w:r>
    </w:p>
    <w:p w14:paraId="70E67FC7">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（14）不捏造事实、提供虚假材料或者以非法手段取得证明材料进行质疑、投诉；</w:t>
      </w:r>
    </w:p>
    <w:p w14:paraId="575020CE">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（15）不得有拒绝有关部门监督检查或者提供虚假情况的行为；</w:t>
      </w:r>
    </w:p>
    <w:p w14:paraId="7978BBAF">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（16）不得有其他违反国家法律法规和规章要求的违法犯罪或者失信行为。</w:t>
      </w:r>
    </w:p>
    <w:p w14:paraId="44981369">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 xml:space="preserve">四、如有违反以上声明或者承诺之一情形的，我方知悉并接受采购人、采购代理机构和政府采购监督管理部门等政府职能部门将采取以下一种或几种方式追究我方责任： </w:t>
      </w:r>
    </w:p>
    <w:p w14:paraId="426AE749">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1、投标（响应）无效；</w:t>
      </w:r>
    </w:p>
    <w:p w14:paraId="43DFB3FF">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2、不予退还</w:t>
      </w:r>
      <w:r>
        <w:rPr>
          <w:rFonts w:hint="eastAsia" w:ascii="宋体" w:hAnsi="宋体" w:cs="宋体"/>
          <w:sz w:val="22"/>
          <w:szCs w:val="22"/>
          <w:highlight w:val="none"/>
          <w:lang w:eastAsia="zh-CN"/>
        </w:rPr>
        <w:t>谈判</w:t>
      </w:r>
      <w:r>
        <w:rPr>
          <w:rFonts w:hint="eastAsia" w:ascii="宋体" w:hAnsi="宋体" w:cs="宋体"/>
          <w:sz w:val="22"/>
          <w:szCs w:val="22"/>
          <w:highlight w:val="none"/>
        </w:rPr>
        <w:t>保证金或者履约保证金；</w:t>
      </w:r>
    </w:p>
    <w:p w14:paraId="3D9C1CE5">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3、约谈法人代表或者主要负责人，责令整改；</w:t>
      </w:r>
    </w:p>
    <w:p w14:paraId="19853A2B">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4、中标（成交）无效；</w:t>
      </w:r>
    </w:p>
    <w:p w14:paraId="1CD5A832">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5、处以采购金额千分之五以上千分之十以下的罚款，列入不良行为记录名单，在一至三年内禁止参加政府采购活动；</w:t>
      </w:r>
    </w:p>
    <w:p w14:paraId="1871317B">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6、没收违法得所得；</w:t>
      </w:r>
    </w:p>
    <w:p w14:paraId="48984DEE">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7、吊销营业执照；</w:t>
      </w:r>
    </w:p>
    <w:p w14:paraId="0EC8AED3">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8、政府相关部门的联合惩戒措施；</w:t>
      </w:r>
    </w:p>
    <w:p w14:paraId="0048231D">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9、追究民事责任；</w:t>
      </w:r>
    </w:p>
    <w:p w14:paraId="2B680FEA">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10、追究刑事责任；</w:t>
      </w:r>
    </w:p>
    <w:p w14:paraId="23C29E73">
      <w:pPr>
        <w:spacing w:line="420" w:lineRule="exact"/>
        <w:ind w:firstLine="440" w:firstLineChars="200"/>
        <w:jc w:val="left"/>
        <w:rPr>
          <w:rFonts w:hint="eastAsia" w:ascii="宋体" w:hAnsi="宋体" w:cs="宋体"/>
          <w:sz w:val="22"/>
          <w:szCs w:val="22"/>
          <w:highlight w:val="none"/>
        </w:rPr>
      </w:pPr>
      <w:r>
        <w:rPr>
          <w:rFonts w:hint="eastAsia" w:ascii="宋体" w:hAnsi="宋体" w:cs="宋体"/>
          <w:sz w:val="22"/>
          <w:szCs w:val="22"/>
          <w:highlight w:val="none"/>
        </w:rPr>
        <w:t>11、法律法规规定的其他处理处罚措施。</w:t>
      </w:r>
    </w:p>
    <w:p w14:paraId="11B38374">
      <w:pPr>
        <w:widowControl/>
        <w:spacing w:before="100" w:after="100" w:line="400" w:lineRule="exact"/>
        <w:jc w:val="left"/>
        <w:rPr>
          <w:rFonts w:hint="eastAsia" w:ascii="宋体" w:hAnsi="宋体" w:cs="宋体"/>
          <w:kern w:val="0"/>
          <w:sz w:val="22"/>
          <w:szCs w:val="22"/>
          <w:highlight w:val="none"/>
        </w:rPr>
      </w:pPr>
    </w:p>
    <w:p w14:paraId="1A2D01CA">
      <w:pPr>
        <w:spacing w:line="400" w:lineRule="exact"/>
        <w:jc w:val="left"/>
        <w:rPr>
          <w:rFonts w:hint="eastAsia" w:ascii="宋体" w:hAnsi="宋体" w:cs="宋体"/>
          <w:b/>
          <w:bCs/>
          <w:sz w:val="22"/>
          <w:szCs w:val="22"/>
          <w:highlight w:val="none"/>
        </w:rPr>
      </w:pPr>
    </w:p>
    <w:p w14:paraId="49D90E0B">
      <w:pPr>
        <w:spacing w:line="400" w:lineRule="exact"/>
        <w:jc w:val="left"/>
        <w:rPr>
          <w:rFonts w:hint="eastAsia" w:ascii="宋体" w:hAnsi="宋体" w:cs="宋体"/>
          <w:b/>
          <w:bCs/>
          <w:sz w:val="22"/>
          <w:szCs w:val="22"/>
          <w:highlight w:val="none"/>
        </w:rPr>
      </w:pPr>
    </w:p>
    <w:p w14:paraId="14D9FBBE">
      <w:pPr>
        <w:spacing w:line="400" w:lineRule="exact"/>
        <w:jc w:val="left"/>
        <w:rPr>
          <w:rFonts w:hint="eastAsia" w:ascii="宋体" w:hAnsi="宋体" w:cs="宋体"/>
          <w:sz w:val="22"/>
          <w:szCs w:val="22"/>
          <w:highlight w:val="none"/>
        </w:rPr>
      </w:pPr>
      <w:r>
        <w:rPr>
          <w:rFonts w:hint="eastAsia" w:ascii="宋体" w:hAnsi="宋体" w:cs="宋体"/>
          <w:sz w:val="22"/>
          <w:szCs w:val="22"/>
          <w:highlight w:val="none"/>
        </w:rPr>
        <w:t>供应商名称：</w:t>
      </w:r>
      <w:r>
        <w:rPr>
          <w:rFonts w:hint="eastAsia" w:ascii="宋体" w:hAnsi="宋体" w:cs="宋体"/>
          <w:sz w:val="22"/>
          <w:szCs w:val="22"/>
          <w:highlight w:val="none"/>
          <w:u w:val="single"/>
        </w:rPr>
        <w:t xml:space="preserve">                            </w:t>
      </w:r>
      <w:r>
        <w:rPr>
          <w:rFonts w:hint="eastAsia" w:ascii="宋体" w:hAnsi="宋体" w:cs="宋体"/>
          <w:sz w:val="22"/>
          <w:szCs w:val="22"/>
          <w:highlight w:val="none"/>
        </w:rPr>
        <w:t>（公章）</w:t>
      </w:r>
    </w:p>
    <w:p w14:paraId="2EDE553F">
      <w:pPr>
        <w:spacing w:line="400" w:lineRule="exact"/>
        <w:ind w:firstLine="3520" w:firstLineChars="1600"/>
        <w:jc w:val="left"/>
        <w:rPr>
          <w:rFonts w:hint="eastAsia" w:ascii="宋体" w:hAnsi="宋体" w:cs="宋体"/>
          <w:sz w:val="22"/>
          <w:szCs w:val="22"/>
          <w:highlight w:val="none"/>
        </w:rPr>
      </w:pPr>
    </w:p>
    <w:p w14:paraId="39B62A33">
      <w:pPr>
        <w:spacing w:line="400" w:lineRule="exact"/>
        <w:jc w:val="left"/>
        <w:rPr>
          <w:rFonts w:hint="eastAsia" w:ascii="宋体" w:hAnsi="宋体" w:cs="宋体"/>
          <w:sz w:val="22"/>
          <w:szCs w:val="22"/>
          <w:highlight w:val="none"/>
          <w:u w:val="single"/>
        </w:rPr>
      </w:pPr>
      <w:r>
        <w:rPr>
          <w:rFonts w:hint="eastAsia" w:ascii="宋体" w:hAnsi="宋体" w:cs="宋体"/>
          <w:sz w:val="22"/>
          <w:szCs w:val="22"/>
          <w:highlight w:val="none"/>
        </w:rPr>
        <w:t>法定代表人或委托代理人：</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（签字或盖章）</w:t>
      </w:r>
    </w:p>
    <w:p w14:paraId="41218DC6">
      <w:pPr>
        <w:spacing w:line="400" w:lineRule="exact"/>
        <w:ind w:firstLine="3520" w:firstLineChars="1600"/>
        <w:jc w:val="left"/>
        <w:rPr>
          <w:rFonts w:hint="eastAsia" w:ascii="宋体" w:hAnsi="宋体" w:cs="宋体"/>
          <w:sz w:val="22"/>
          <w:szCs w:val="22"/>
          <w:highlight w:val="none"/>
        </w:rPr>
      </w:pPr>
    </w:p>
    <w:p w14:paraId="1813A52E">
      <w:pPr>
        <w:spacing w:line="400" w:lineRule="exact"/>
        <w:jc w:val="left"/>
        <w:rPr>
          <w:rFonts w:hint="eastAsia" w:ascii="宋体" w:hAnsi="宋体" w:cs="宋体"/>
          <w:b/>
          <w:sz w:val="22"/>
          <w:szCs w:val="22"/>
          <w:highlight w:val="none"/>
        </w:rPr>
      </w:pPr>
      <w:r>
        <w:rPr>
          <w:rFonts w:hint="eastAsia" w:ascii="宋体" w:hAnsi="宋体" w:cs="宋体"/>
          <w:sz w:val="22"/>
          <w:szCs w:val="22"/>
          <w:highlight w:val="none"/>
        </w:rPr>
        <w:t>日    期：</w:t>
      </w:r>
      <w:r>
        <w:rPr>
          <w:rFonts w:hint="eastAsia" w:ascii="宋体" w:hAnsi="宋体" w:cs="宋体"/>
          <w:sz w:val="22"/>
          <w:szCs w:val="22"/>
          <w:highlight w:val="none"/>
          <w:u w:val="single"/>
        </w:rPr>
        <w:t xml:space="preserve">                                 </w:t>
      </w:r>
    </w:p>
    <w:p w14:paraId="3E8A717C">
      <w:pPr>
        <w:spacing w:line="500" w:lineRule="exact"/>
        <w:jc w:val="center"/>
        <w:outlineLvl w:val="2"/>
        <w:rPr>
          <w:rFonts w:hint="eastAsia" w:ascii="宋体" w:hAnsi="宋体" w:cs="宋体"/>
          <w:b/>
          <w:sz w:val="28"/>
          <w:szCs w:val="28"/>
          <w:highlight w:val="none"/>
        </w:rPr>
      </w:pPr>
      <w:r>
        <w:rPr>
          <w:rFonts w:hint="eastAsia" w:ascii="宋体" w:hAnsi="宋体" w:cs="宋体"/>
          <w:sz w:val="22"/>
          <w:szCs w:val="28"/>
          <w:highlight w:val="none"/>
        </w:rPr>
        <w:br w:type="page"/>
      </w:r>
      <w:bookmarkEnd w:id="128"/>
      <w:bookmarkEnd w:id="129"/>
      <w:bookmarkStart w:id="130" w:name="_Toc29450"/>
      <w:bookmarkStart w:id="131" w:name="_Toc8136"/>
      <w:r>
        <w:rPr>
          <w:rFonts w:hint="eastAsia" w:ascii="宋体" w:hAnsi="宋体" w:cs="宋体"/>
          <w:b/>
          <w:sz w:val="28"/>
          <w:szCs w:val="28"/>
          <w:highlight w:val="none"/>
        </w:rPr>
        <w:t>（二）供应商认为有必要补充说明的事宜</w:t>
      </w:r>
      <w:bookmarkEnd w:id="130"/>
      <w:bookmarkEnd w:id="131"/>
    </w:p>
    <w:p w14:paraId="77CEFDFE">
      <w:pPr>
        <w:spacing w:line="300" w:lineRule="auto"/>
        <w:rPr>
          <w:rFonts w:hint="eastAsia" w:ascii="宋体" w:hAnsi="宋体" w:cs="宋体"/>
          <w:sz w:val="28"/>
          <w:szCs w:val="28"/>
          <w:highlight w:val="none"/>
        </w:rPr>
      </w:pPr>
    </w:p>
    <w:p w14:paraId="587E5EED">
      <w:pPr>
        <w:pageBreakBefore w:val="0"/>
        <w:overflowPunct/>
        <w:bidi w:val="0"/>
        <w:spacing w:line="520" w:lineRule="exact"/>
        <w:rPr>
          <w:rFonts w:ascii="宋体" w:hAnsi="宋体" w:cs="宋体"/>
          <w:color w:val="auto"/>
          <w:sz w:val="32"/>
          <w:szCs w:val="32"/>
          <w:highlight w:val="none"/>
        </w:rPr>
      </w:pPr>
    </w:p>
    <w:p w14:paraId="51D8E85C">
      <w:pPr>
        <w:pageBreakBefore w:val="0"/>
        <w:overflowPunct/>
        <w:bidi w:val="0"/>
        <w:spacing w:line="520" w:lineRule="exact"/>
        <w:rPr>
          <w:rFonts w:ascii="宋体" w:hAnsi="宋体" w:cs="宋体"/>
          <w:color w:val="auto"/>
          <w:sz w:val="32"/>
          <w:szCs w:val="32"/>
          <w:highlight w:val="none"/>
        </w:rPr>
      </w:pPr>
    </w:p>
    <w:p w14:paraId="4CBBCD64">
      <w:pPr>
        <w:pageBreakBefore w:val="0"/>
        <w:overflowPunct/>
        <w:bidi w:val="0"/>
        <w:spacing w:line="520" w:lineRule="exact"/>
        <w:rPr>
          <w:rFonts w:ascii="宋体" w:hAnsi="宋体" w:cs="宋体"/>
          <w:color w:val="auto"/>
          <w:sz w:val="32"/>
          <w:szCs w:val="32"/>
          <w:highlight w:val="none"/>
        </w:rPr>
      </w:pPr>
    </w:p>
    <w:p w14:paraId="2CABD292">
      <w:pPr>
        <w:pageBreakBefore w:val="0"/>
        <w:overflowPunct/>
        <w:bidi w:val="0"/>
        <w:spacing w:line="520" w:lineRule="exact"/>
        <w:ind w:right="540" w:rightChars="257" w:firstLine="3920" w:firstLineChars="14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                </w:t>
      </w:r>
    </w:p>
    <w:p w14:paraId="6BED5D05">
      <w:pPr>
        <w:pageBreakBefore w:val="0"/>
        <w:overflowPunct/>
        <w:bidi w:val="0"/>
        <w:spacing w:line="520" w:lineRule="exact"/>
        <w:rPr>
          <w:rFonts w:ascii="宋体" w:hAnsi="宋体" w:cs="宋体"/>
          <w:color w:val="auto"/>
          <w:sz w:val="32"/>
          <w:szCs w:val="32"/>
          <w:highlight w:val="none"/>
        </w:rPr>
      </w:pPr>
    </w:p>
    <w:p w14:paraId="57A9743D">
      <w:pPr>
        <w:pageBreakBefore w:val="0"/>
        <w:overflowPunct/>
        <w:bidi w:val="0"/>
        <w:spacing w:line="520" w:lineRule="exact"/>
        <w:rPr>
          <w:rFonts w:ascii="宋体" w:hAnsi="宋体" w:cs="宋体"/>
          <w:color w:val="auto"/>
          <w:sz w:val="32"/>
          <w:szCs w:val="32"/>
          <w:highlight w:val="none"/>
        </w:rPr>
      </w:pPr>
    </w:p>
    <w:p w14:paraId="257E1EBA">
      <w:pPr>
        <w:pStyle w:val="2"/>
        <w:pageBreakBefore w:val="0"/>
        <w:overflowPunct/>
        <w:bidi w:val="0"/>
        <w:spacing w:line="520" w:lineRule="exact"/>
        <w:rPr>
          <w:rFonts w:ascii="宋体" w:hAnsi="宋体" w:cs="宋体"/>
          <w:color w:val="auto"/>
          <w:sz w:val="32"/>
          <w:szCs w:val="32"/>
          <w:highlight w:val="none"/>
        </w:rPr>
      </w:pPr>
    </w:p>
    <w:p w14:paraId="721B17B8">
      <w:pPr>
        <w:pStyle w:val="3"/>
        <w:rPr>
          <w:rFonts w:ascii="宋体" w:hAnsi="宋体" w:cs="宋体"/>
          <w:color w:val="auto"/>
          <w:sz w:val="32"/>
          <w:szCs w:val="32"/>
          <w:highlight w:val="none"/>
        </w:rPr>
      </w:pPr>
    </w:p>
    <w:p w14:paraId="641F213C">
      <w:pPr>
        <w:pStyle w:val="3"/>
        <w:pageBreakBefore w:val="0"/>
        <w:overflowPunct/>
        <w:bidi w:val="0"/>
        <w:spacing w:line="520" w:lineRule="exact"/>
        <w:ind w:left="0" w:leftChars="0" w:firstLine="0" w:firstLineChars="0"/>
        <w:rPr>
          <w:sz w:val="22"/>
          <w:szCs w:val="21"/>
          <w:highlight w:val="none"/>
        </w:rPr>
      </w:pPr>
    </w:p>
    <w:bookmarkEnd w:id="114"/>
    <w:bookmarkEnd w:id="115"/>
    <w:bookmarkEnd w:id="116"/>
    <w:bookmarkEnd w:id="117"/>
    <w:p w14:paraId="0C3BD154">
      <w:pPr>
        <w:rPr>
          <w:rFonts w:hint="eastAsia" w:ascii="宋体" w:hAnsi="宋体" w:eastAsia="宋体" w:cs="宋体"/>
          <w:sz w:val="22"/>
          <w:szCs w:val="21"/>
          <w:highlight w:val="none"/>
        </w:rPr>
      </w:pPr>
    </w:p>
    <w:sectPr>
      <w:headerReference r:id="rId12" w:type="first"/>
      <w:footerReference r:id="rId13" w:type="even"/>
      <w:pgSz w:w="11906" w:h="16838"/>
      <w:pgMar w:top="1417" w:right="1417" w:bottom="1417" w:left="1559" w:header="850"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Noto Sans Mono CJK JP Regular">
    <w:altName w:val="Segoe Print"/>
    <w:panose1 w:val="000000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82BEB">
    <w:pPr>
      <w:ind w:right="360"/>
      <w:rPr>
        <w:rFonts w:hint="eastAsia" w:ascii="仿宋_GB2312" w:eastAsia="仿宋_GB2312"/>
        <w:szCs w:val="24"/>
      </w:rPr>
    </w:pPr>
  </w:p>
  <w:p w14:paraId="59872DDD">
    <w:pPr>
      <w:pStyle w:val="20"/>
      <w:rPr>
        <w:rFonts w:hint="default" w:eastAsia="宋体"/>
        <w:szCs w:val="24"/>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D305B8">
                          <w:pPr>
                            <w:pStyle w:val="20"/>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AA/wLHLAQAAnAMAAA4AAAAAAAAAAQAgAAAAHgEAAGRycy9lMm9E&#10;b2MueG1sUEsFBgAAAAAGAAYAWQEAAFsFAAAAAA==&#10;">
              <v:fill on="f" focussize="0,0"/>
              <v:stroke on="f"/>
              <v:imagedata o:title=""/>
              <o:lock v:ext="edit" aspectratio="f"/>
              <v:textbox inset="0mm,0mm,0mm,0mm" style="mso-fit-shape-to-text:t;">
                <w:txbxContent>
                  <w:p w14:paraId="7AD305B8">
                    <w:pPr>
                      <w:pStyle w:val="20"/>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宋体" w:hAnsi="宋体" w:cs="宋体"/>
        <w:szCs w:val="18"/>
      </w:rPr>
      <w:t xml:space="preserve">公司地址：宝鸡市高新五路华厦悦世界壹空间1408室             </w:t>
    </w:r>
    <w:r>
      <w:rPr>
        <w:rFonts w:hint="eastAsia" w:ascii="宋体" w:hAnsi="宋体" w:cs="宋体"/>
        <w:szCs w:val="18"/>
        <w:lang w:val="en-US" w:eastAsia="zh-CN"/>
      </w:rPr>
      <w:t xml:space="preserve">           </w:t>
    </w:r>
    <w:r>
      <w:rPr>
        <w:rFonts w:hint="eastAsia" w:ascii="宋体" w:hAnsi="宋体" w:cs="宋体"/>
        <w:szCs w:val="18"/>
      </w:rPr>
      <w:t xml:space="preserve">     </w:t>
    </w:r>
    <w:r>
      <w:rPr>
        <w:rFonts w:hint="eastAsia" w:ascii="宋体" w:hAnsi="宋体" w:cs="宋体"/>
        <w:szCs w:val="18"/>
        <w:lang w:val="en-US" w:eastAsia="zh-CN"/>
      </w:rPr>
      <w:t xml:space="preserve"> </w:t>
    </w:r>
    <w:r>
      <w:rPr>
        <w:rFonts w:hint="eastAsia" w:ascii="宋体" w:hAnsi="宋体" w:cs="宋体"/>
        <w:szCs w:val="18"/>
      </w:rPr>
      <w:t>联系电话：</w:t>
    </w:r>
    <w:r>
      <w:rPr>
        <w:rFonts w:hint="eastAsia" w:ascii="宋体" w:hAnsi="宋体" w:cs="宋体"/>
        <w:szCs w:val="18"/>
        <w:lang w:val="en-US" w:eastAsia="zh-CN"/>
      </w:rPr>
      <w:t>0917-3235808</w:t>
    </w:r>
  </w:p>
  <w:p w14:paraId="10D520B6">
    <w:pPr>
      <w:ind w:right="360"/>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01CEC">
    <w:pPr>
      <w:tabs>
        <w:tab w:val="center" w:pos="4153"/>
        <w:tab w:val="right" w:pos="8306"/>
      </w:tabs>
      <w:snapToGrid w:val="0"/>
      <w:jc w:val="left"/>
      <w:rPr>
        <w:rFonts w:hint="eastAsi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47C0D">
    <w:pPr>
      <w:pStyle w:val="20"/>
    </w:pPr>
    <w:r>
      <w:rPr>
        <w:rFonts w:hint="eastAsia" w:ascii="宋体" w:hAnsi="宋体" w:cs="宋体"/>
        <w:szCs w:val="18"/>
      </w:rPr>
      <w:t>公司地址：宝鸡市高新五路华厦悦世界壹空间1408室                     联系电话：15229216085/13379374585</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67AA5A3A">
                          <w:pPr>
                            <w:pStyle w:val="20"/>
                          </w:pP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IaHa02AEAALMDAAAOAAAAAAAAAAEAIAAA&#10;AB4BAABkcnMvZTJvRG9jLnhtbFBLBQYAAAAABgAGAFkBAABoBQAAAAA=&#10;">
              <v:fill on="f" focussize="0,0"/>
              <v:stroke on="f"/>
              <v:imagedata o:title=""/>
              <o:lock v:ext="edit" aspectratio="f"/>
              <v:textbox inset="0mm,0mm,0mm,0mm" style="mso-fit-shape-to-text:t;">
                <w:txbxContent>
                  <w:p w14:paraId="67AA5A3A">
                    <w:pPr>
                      <w:pStyle w:val="2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265FE">
    <w:pPr>
      <w:pStyle w:val="20"/>
      <w:rPr>
        <w:rFonts w:hint="default"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DE7FC3">
                          <w:pPr>
                            <w:pStyle w:val="20"/>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T9axMoBAACc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IoSxy0O/PL92+XHr8vPr2RZ&#10;vV5mhfoANSY+BExNw50fcG9mP6AzEx9UtPmLlAjGUd/zVV85JCLyo/Vqva4wJDA2XxCfPT4PEdJb&#10;6S3JRkMjDrDoyk/vIY2pc0qu5vy9NqYM0bi/HIiZPSz3PvaYrTTsh4nQ3rdn5NPj7BvqcNUpMe8c&#10;SpvXZDbibOxn4xiiPnRlj3I9CLfHhE2U3nKFEXYqjEMr7KYFy1vx571kPf5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gT9axMoBAACcAwAADgAAAAAAAAABACAAAAAeAQAAZHJzL2Uyb0Rv&#10;Yy54bWxQSwUGAAAAAAYABgBZAQAAWgUAAAAA&#10;">
              <v:fill on="f" focussize="0,0"/>
              <v:stroke on="f"/>
              <v:imagedata o:title=""/>
              <o:lock v:ext="edit" aspectratio="f"/>
              <v:textbox inset="0mm,0mm,0mm,0mm" style="mso-fit-shape-to-text:t;">
                <w:txbxContent>
                  <w:p w14:paraId="3CDE7FC3">
                    <w:pPr>
                      <w:pStyle w:val="20"/>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宋体" w:hAnsi="宋体" w:cs="宋体"/>
        <w:szCs w:val="18"/>
      </w:rPr>
      <w:t xml:space="preserve">公司地址：宝鸡市高新五路华厦悦世界壹空间1408室                  </w:t>
    </w:r>
    <w:r>
      <w:rPr>
        <w:rFonts w:hint="eastAsia" w:ascii="宋体" w:hAnsi="宋体" w:cs="宋体"/>
        <w:szCs w:val="18"/>
        <w:lang w:val="en-US" w:eastAsia="zh-CN"/>
      </w:rPr>
      <w:t xml:space="preserve">            </w:t>
    </w:r>
    <w:r>
      <w:rPr>
        <w:rFonts w:hint="eastAsia" w:ascii="宋体" w:hAnsi="宋体" w:cs="宋体"/>
        <w:szCs w:val="18"/>
      </w:rPr>
      <w:t>联系电话：</w:t>
    </w:r>
    <w:r>
      <w:rPr>
        <w:rFonts w:hint="eastAsia" w:ascii="宋体" w:hAnsi="宋体" w:cs="宋体"/>
        <w:szCs w:val="18"/>
        <w:lang w:val="en-US" w:eastAsia="zh-CN"/>
      </w:rPr>
      <w:t>0917-3235808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A738C">
    <w:pPr>
      <w:pStyle w:val="20"/>
      <w:rPr>
        <w:szCs w:val="24"/>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4D3760">
                          <w:pPr>
                            <w:pStyle w:val="2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pHVns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bEcYsDv3z/dvnx6/LzK1lW&#10;L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ppHVnsoBAACcAwAADgAAAAAAAAABACAAAAAeAQAAZHJzL2Uyb0Rv&#10;Yy54bWxQSwUGAAAAAAYABgBZAQAAWgUAAAAA&#10;">
              <v:fill on="f" focussize="0,0"/>
              <v:stroke on="f"/>
              <v:imagedata o:title=""/>
              <o:lock v:ext="edit" aspectratio="f"/>
              <v:textbox inset="0mm,0mm,0mm,0mm" style="mso-fit-shape-to-text:t;">
                <w:txbxContent>
                  <w:p w14:paraId="1A4D3760">
                    <w:pPr>
                      <w:pStyle w:val="2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cs="宋体"/>
        <w:szCs w:val="18"/>
      </w:rPr>
      <w:t>公司地址：宝鸡市高新五路华厦悦世界壹空间1408室                   联系电话：15229216085/13379374585</w:t>
    </w:r>
  </w:p>
  <w:p w14:paraId="518F9E12">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49153">
    <w:pPr>
      <w:pStyle w:val="20"/>
      <w:framePr w:wrap="around" w:vAnchor="text" w:hAnchor="margin" w:xAlign="center" w:y="1"/>
      <w:rPr>
        <w:rStyle w:val="35"/>
      </w:rPr>
    </w:pPr>
    <w:r>
      <w:fldChar w:fldCharType="begin"/>
    </w:r>
    <w:r>
      <w:rPr>
        <w:rStyle w:val="35"/>
      </w:rPr>
      <w:instrText xml:space="preserve">PAGE  </w:instrText>
    </w:r>
    <w:r>
      <w:fldChar w:fldCharType="end"/>
    </w:r>
  </w:p>
  <w:p w14:paraId="46F5FEAC">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55FA0">
    <w:pPr>
      <w:pStyle w:val="21"/>
      <w:pBdr>
        <w:bottom w:val="none" w:color="auto" w:sz="0" w:space="1"/>
      </w:pBdr>
      <w:jc w:val="left"/>
      <w:rPr>
        <w:rFonts w:hint="eastAsia"/>
        <w:u w:val="single"/>
      </w:rPr>
    </w:pPr>
    <w:r>
      <w:rPr>
        <w:rFonts w:hint="eastAsia"/>
        <w:u w:val="single"/>
      </w:rPr>
      <w:drawing>
        <wp:inline distT="0" distB="0" distL="114300" distR="114300">
          <wp:extent cx="270510" cy="167640"/>
          <wp:effectExtent l="0" t="0" r="15240" b="3810"/>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1"/>
                  <a:stretch>
                    <a:fillRect/>
                  </a:stretch>
                </pic:blipFill>
                <pic:spPr>
                  <a:xfrm>
                    <a:off x="0" y="0"/>
                    <a:ext cx="270510" cy="167640"/>
                  </a:xfrm>
                  <a:prstGeom prst="rect">
                    <a:avLst/>
                  </a:prstGeom>
                  <a:noFill/>
                  <a:ln>
                    <a:noFill/>
                  </a:ln>
                </pic:spPr>
              </pic:pic>
            </a:graphicData>
          </a:graphic>
        </wp:inline>
      </w:drawing>
    </w:r>
    <w:r>
      <w:rPr>
        <w:rFonts w:hint="eastAsia"/>
        <w:u w:val="single"/>
      </w:rPr>
      <w:t xml:space="preserve">陕西鑫盛龙泽项目管理有限公司                                                                          </w:t>
    </w:r>
  </w:p>
  <w:p w14:paraId="57A12DE5">
    <w:pPr>
      <w:pStyle w:val="21"/>
      <w:pBdr>
        <w:bottom w:val="none" w:color="auto" w:sz="0" w:space="1"/>
      </w:pBdr>
      <w:ind w:left="3040" w:leftChars="1105" w:hanging="720" w:hangingChars="400"/>
      <w:rPr>
        <w:rFonts w:hint="eastAsia" w:ascii="宋体" w:hAnsi="宋体"/>
        <w:u w:val="double"/>
      </w:rPr>
    </w:pPr>
    <w:r>
      <w:rPr>
        <w:rFonts w:hint="eastAsia"/>
      </w:rPr>
      <w:t xml:space="preserve">               </w:t>
    </w:r>
    <w:r>
      <w:rPr>
        <w:rFonts w:hint="eastAsia"/>
        <w:sz w:val="16"/>
        <w:szCs w:val="16"/>
      </w:rPr>
      <w:t>SHANXI  XINSHENG  LONGZE  PROJECT  MANAGEMENT  CO.LTD</w:t>
    </w:r>
  </w:p>
  <w:p w14:paraId="571A5408">
    <w:pPr>
      <w:pStyle w:val="21"/>
      <w:pBdr>
        <w:bottom w:val="none" w:color="auto" w:sz="0" w:space="1"/>
      </w:pBdr>
      <w:rPr>
        <w:spacing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823D4">
    <w:pPr>
      <w:pStyle w:val="21"/>
      <w:pBdr>
        <w:bottom w:val="none" w:color="auto" w:sz="0" w:space="1"/>
      </w:pBdr>
      <w:jc w:val="left"/>
      <w:rPr>
        <w:rFonts w:hint="eastAsia"/>
        <w:u w:val="single"/>
      </w:rPr>
    </w:pPr>
    <w:r>
      <w:rPr>
        <w:rFonts w:hint="eastAsia"/>
        <w:u w:val="single"/>
      </w:rPr>
      <w:drawing>
        <wp:inline distT="0" distB="0" distL="114300" distR="114300">
          <wp:extent cx="270510" cy="167640"/>
          <wp:effectExtent l="0" t="0" r="15240" b="381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icPr>
                <pic:blipFill>
                  <a:blip r:embed="rId1"/>
                  <a:stretch>
                    <a:fillRect/>
                  </a:stretch>
                </pic:blipFill>
                <pic:spPr>
                  <a:xfrm>
                    <a:off x="0" y="0"/>
                    <a:ext cx="270510" cy="167640"/>
                  </a:xfrm>
                  <a:prstGeom prst="rect">
                    <a:avLst/>
                  </a:prstGeom>
                  <a:noFill/>
                  <a:ln>
                    <a:noFill/>
                  </a:ln>
                </pic:spPr>
              </pic:pic>
            </a:graphicData>
          </a:graphic>
        </wp:inline>
      </w:drawing>
    </w:r>
    <w:r>
      <w:rPr>
        <w:rFonts w:hint="eastAsia"/>
        <w:u w:val="single"/>
      </w:rPr>
      <w:t xml:space="preserve">陕西鑫盛龙泽项目管理有限公司                                                                          </w:t>
    </w:r>
  </w:p>
  <w:p w14:paraId="669E26D6">
    <w:pPr>
      <w:pStyle w:val="21"/>
      <w:pBdr>
        <w:bottom w:val="none" w:color="auto" w:sz="0" w:space="1"/>
      </w:pBdr>
      <w:ind w:left="3040" w:leftChars="1105" w:hanging="720" w:hangingChars="400"/>
      <w:rPr>
        <w:rFonts w:hint="eastAsia" w:ascii="宋体" w:hAnsi="宋体"/>
        <w:u w:val="double"/>
      </w:rPr>
    </w:pPr>
    <w:r>
      <w:rPr>
        <w:rFonts w:hint="eastAsia"/>
      </w:rPr>
      <w:t xml:space="preserve">               </w:t>
    </w:r>
    <w:r>
      <w:rPr>
        <w:rFonts w:hint="eastAsia"/>
        <w:sz w:val="16"/>
        <w:szCs w:val="16"/>
      </w:rPr>
      <w:t>SHANXI  XINSHENG  LONGZE  PROJECT  MANAGEMENT  CO.LTD</w:t>
    </w:r>
  </w:p>
  <w:p w14:paraId="66A12A23">
    <w:pPr>
      <w:pStyle w:val="2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FAAEE">
    <w:pPr>
      <w:pStyle w:val="21"/>
      <w:pBdr>
        <w:bottom w:val="none" w:color="auto" w:sz="0" w:space="1"/>
      </w:pBdr>
      <w:jc w:val="left"/>
      <w:rPr>
        <w:rFonts w:hint="eastAsia"/>
        <w:u w:val="single"/>
      </w:rPr>
    </w:pPr>
    <w:r>
      <w:rPr>
        <w:rFonts w:hint="eastAsia"/>
        <w:u w:val="single"/>
      </w:rPr>
      <w:drawing>
        <wp:inline distT="0" distB="0" distL="114300" distR="114300">
          <wp:extent cx="270510" cy="167640"/>
          <wp:effectExtent l="0" t="0" r="15240" b="3810"/>
          <wp:docPr id="6"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图片1"/>
                  <pic:cNvPicPr>
                    <a:picLocks noChangeAspect="1"/>
                  </pic:cNvPicPr>
                </pic:nvPicPr>
                <pic:blipFill>
                  <a:blip r:embed="rId1"/>
                  <a:stretch>
                    <a:fillRect/>
                  </a:stretch>
                </pic:blipFill>
                <pic:spPr>
                  <a:xfrm>
                    <a:off x="0" y="0"/>
                    <a:ext cx="270510" cy="167640"/>
                  </a:xfrm>
                  <a:prstGeom prst="rect">
                    <a:avLst/>
                  </a:prstGeom>
                  <a:noFill/>
                  <a:ln>
                    <a:noFill/>
                  </a:ln>
                </pic:spPr>
              </pic:pic>
            </a:graphicData>
          </a:graphic>
        </wp:inline>
      </w:drawing>
    </w:r>
    <w:r>
      <w:rPr>
        <w:rFonts w:hint="eastAsia"/>
        <w:u w:val="single"/>
      </w:rPr>
      <w:t xml:space="preserve">陕西鑫盛龙泽项目管理有限公司                                                                          </w:t>
    </w:r>
  </w:p>
  <w:p w14:paraId="70199713">
    <w:pPr>
      <w:pStyle w:val="21"/>
      <w:pBdr>
        <w:bottom w:val="none" w:color="auto" w:sz="0" w:space="1"/>
      </w:pBdr>
      <w:ind w:left="3040" w:leftChars="1105" w:hanging="720" w:hangingChars="400"/>
    </w:pPr>
    <w:r>
      <w:rPr>
        <w:rFonts w:hint="eastAsia"/>
      </w:rPr>
      <w:t xml:space="preserve">             </w:t>
    </w:r>
    <w:r>
      <w:rPr>
        <w:rFonts w:hint="eastAsia"/>
        <w:sz w:val="16"/>
        <w:szCs w:val="16"/>
      </w:rPr>
      <w:t>SHANXI  XINSHENG  LONGZE  PROJECT  MANAGEMENT  CO.LTD</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B14D8">
    <w:pPr>
      <w:pStyle w:val="21"/>
      <w:pBdr>
        <w:bottom w:val="none" w:color="auto" w:sz="0" w:space="1"/>
      </w:pBdr>
      <w:jc w:val="left"/>
      <w:rPr>
        <w:rFonts w:hint="eastAsia"/>
        <w:u w:val="single"/>
      </w:rPr>
    </w:pPr>
    <w:r>
      <w:rPr>
        <w:rFonts w:hint="eastAsia"/>
        <w:u w:val="single"/>
      </w:rPr>
      <w:drawing>
        <wp:inline distT="0" distB="0" distL="114300" distR="114300">
          <wp:extent cx="270510" cy="167640"/>
          <wp:effectExtent l="0" t="0" r="15240" b="3810"/>
          <wp:docPr id="5"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图片1"/>
                  <pic:cNvPicPr>
                    <a:picLocks noChangeAspect="1"/>
                  </pic:cNvPicPr>
                </pic:nvPicPr>
                <pic:blipFill>
                  <a:blip r:embed="rId1"/>
                  <a:stretch>
                    <a:fillRect/>
                  </a:stretch>
                </pic:blipFill>
                <pic:spPr>
                  <a:xfrm>
                    <a:off x="0" y="0"/>
                    <a:ext cx="270510" cy="167640"/>
                  </a:xfrm>
                  <a:prstGeom prst="rect">
                    <a:avLst/>
                  </a:prstGeom>
                  <a:noFill/>
                  <a:ln>
                    <a:noFill/>
                  </a:ln>
                </pic:spPr>
              </pic:pic>
            </a:graphicData>
          </a:graphic>
        </wp:inline>
      </w:drawing>
    </w:r>
    <w:r>
      <w:rPr>
        <w:rFonts w:hint="eastAsia"/>
        <w:u w:val="single"/>
      </w:rPr>
      <w:t xml:space="preserve">陕西鑫盛龙泽项目管理有限公司                                                                          </w:t>
    </w:r>
  </w:p>
  <w:p w14:paraId="7F6FD150">
    <w:pPr>
      <w:pStyle w:val="21"/>
      <w:pBdr>
        <w:bottom w:val="none" w:color="auto" w:sz="0" w:space="1"/>
      </w:pBdr>
      <w:ind w:left="3040" w:leftChars="1105" w:hanging="720" w:hangingChars="400"/>
      <w:rPr>
        <w:u w:val="none"/>
      </w:rPr>
    </w:pPr>
    <w:r>
      <w:rPr>
        <w:rFonts w:hint="eastAsia"/>
      </w:rPr>
      <w:t xml:space="preserve">             </w:t>
    </w:r>
    <w:r>
      <w:rPr>
        <w:rFonts w:hint="eastAsia"/>
        <w:sz w:val="16"/>
        <w:szCs w:val="16"/>
      </w:rPr>
      <w:t>SHANXI  XINSHENG  LONGZE  PROJECT  MANAGEMENT  CO.LTD</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4E60A">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A9E362"/>
    <w:multiLevelType w:val="singleLevel"/>
    <w:tmpl w:val="9EA9E362"/>
    <w:lvl w:ilvl="0" w:tentative="0">
      <w:start w:val="4"/>
      <w:numFmt w:val="decimal"/>
      <w:suff w:val="nothing"/>
      <w:lvlText w:val="%1、"/>
      <w:lvlJc w:val="left"/>
    </w:lvl>
  </w:abstractNum>
  <w:abstractNum w:abstractNumId="1">
    <w:nsid w:val="BF1C5C6A"/>
    <w:multiLevelType w:val="singleLevel"/>
    <w:tmpl w:val="BF1C5C6A"/>
    <w:lvl w:ilvl="0" w:tentative="0">
      <w:start w:val="1"/>
      <w:numFmt w:val="chineseCounting"/>
      <w:suff w:val="nothing"/>
      <w:lvlText w:val="%1、"/>
      <w:lvlJc w:val="left"/>
      <w:rPr>
        <w:rFonts w:hint="eastAsia"/>
      </w:rPr>
    </w:lvl>
  </w:abstractNum>
  <w:abstractNum w:abstractNumId="2">
    <w:nsid w:val="C052A77C"/>
    <w:multiLevelType w:val="singleLevel"/>
    <w:tmpl w:val="C052A77C"/>
    <w:lvl w:ilvl="0" w:tentative="0">
      <w:start w:val="1"/>
      <w:numFmt w:val="chineseCounting"/>
      <w:suff w:val="space"/>
      <w:lvlText w:val="第%1章"/>
      <w:lvlJc w:val="left"/>
      <w:rPr>
        <w:rFonts w:hint="eastAsia"/>
      </w:rPr>
    </w:lvl>
  </w:abstractNum>
  <w:abstractNum w:abstractNumId="3">
    <w:nsid w:val="D53B27F5"/>
    <w:multiLevelType w:val="singleLevel"/>
    <w:tmpl w:val="D53B27F5"/>
    <w:lvl w:ilvl="0" w:tentative="0">
      <w:start w:val="5"/>
      <w:numFmt w:val="chineseCounting"/>
      <w:suff w:val="space"/>
      <w:lvlText w:val="第%1章"/>
      <w:lvlJc w:val="left"/>
      <w:rPr>
        <w:rFonts w:hint="eastAsia"/>
      </w:rPr>
    </w:lvl>
  </w:abstractNum>
  <w:abstractNum w:abstractNumId="4">
    <w:nsid w:val="1AEC1C3E"/>
    <w:multiLevelType w:val="singleLevel"/>
    <w:tmpl w:val="1AEC1C3E"/>
    <w:lvl w:ilvl="0" w:tentative="0">
      <w:start w:val="1"/>
      <w:numFmt w:val="decimal"/>
      <w:lvlText w:val="%1."/>
      <w:lvlJc w:val="left"/>
      <w:pPr>
        <w:tabs>
          <w:tab w:val="left" w:pos="312"/>
        </w:tabs>
      </w:pPr>
    </w:lvl>
  </w:abstractNum>
  <w:abstractNum w:abstractNumId="5">
    <w:nsid w:val="28885988"/>
    <w:multiLevelType w:val="singleLevel"/>
    <w:tmpl w:val="28885988"/>
    <w:lvl w:ilvl="0" w:tentative="0">
      <w:start w:val="1"/>
      <w:numFmt w:val="decimal"/>
      <w:suff w:val="nothing"/>
      <w:lvlText w:val="%1）"/>
      <w:lvlJc w:val="left"/>
    </w:lvl>
  </w:abstractNum>
  <w:abstractNum w:abstractNumId="6">
    <w:nsid w:val="51ED57B0"/>
    <w:multiLevelType w:val="singleLevel"/>
    <w:tmpl w:val="51ED57B0"/>
    <w:lvl w:ilvl="0" w:tentative="0">
      <w:start w:val="7"/>
      <w:numFmt w:val="decimal"/>
      <w:suff w:val="nothing"/>
      <w:lvlText w:val="%1、"/>
      <w:lvlJc w:val="left"/>
    </w:lvl>
  </w:abstractNum>
  <w:abstractNum w:abstractNumId="7">
    <w:nsid w:val="6796BD83"/>
    <w:multiLevelType w:val="singleLevel"/>
    <w:tmpl w:val="6796BD83"/>
    <w:lvl w:ilvl="0" w:tentative="0">
      <w:start w:val="1"/>
      <w:numFmt w:val="decimal"/>
      <w:suff w:val="nothing"/>
      <w:lvlText w:val="%1、"/>
      <w:lvlJc w:val="left"/>
      <w:pPr>
        <w:ind w:left="-20"/>
      </w:pPr>
    </w:lvl>
  </w:abstractNum>
  <w:num w:numId="1">
    <w:abstractNumId w:val="2"/>
  </w:num>
  <w:num w:numId="2">
    <w:abstractNumId w:val="0"/>
  </w:num>
  <w:num w:numId="3">
    <w:abstractNumId w:val="4"/>
  </w:num>
  <w:num w:numId="4">
    <w:abstractNumId w:val="6"/>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5NjA0ZmEyYTk2ZmY4M2U4YmViZjY0NGU3OGNlNTIifQ=="/>
  </w:docVars>
  <w:rsids>
    <w:rsidRoot w:val="00FB25EC"/>
    <w:rsid w:val="0000130B"/>
    <w:rsid w:val="00002A00"/>
    <w:rsid w:val="00002B98"/>
    <w:rsid w:val="00002D91"/>
    <w:rsid w:val="00003ED1"/>
    <w:rsid w:val="0000467A"/>
    <w:rsid w:val="000048F5"/>
    <w:rsid w:val="00004B36"/>
    <w:rsid w:val="00005A5B"/>
    <w:rsid w:val="00007CFD"/>
    <w:rsid w:val="00007DA5"/>
    <w:rsid w:val="00011849"/>
    <w:rsid w:val="0001233E"/>
    <w:rsid w:val="000129C3"/>
    <w:rsid w:val="00014474"/>
    <w:rsid w:val="000153E7"/>
    <w:rsid w:val="00015D48"/>
    <w:rsid w:val="00016074"/>
    <w:rsid w:val="00016A75"/>
    <w:rsid w:val="000223BE"/>
    <w:rsid w:val="00023681"/>
    <w:rsid w:val="00023C67"/>
    <w:rsid w:val="00024EF6"/>
    <w:rsid w:val="0002628F"/>
    <w:rsid w:val="00027B41"/>
    <w:rsid w:val="00027DC9"/>
    <w:rsid w:val="00030A03"/>
    <w:rsid w:val="00031BDF"/>
    <w:rsid w:val="00033A4B"/>
    <w:rsid w:val="000348A0"/>
    <w:rsid w:val="00034E54"/>
    <w:rsid w:val="00036010"/>
    <w:rsid w:val="000363DB"/>
    <w:rsid w:val="00041008"/>
    <w:rsid w:val="000418CD"/>
    <w:rsid w:val="000423AB"/>
    <w:rsid w:val="00042AB8"/>
    <w:rsid w:val="00043071"/>
    <w:rsid w:val="00043C34"/>
    <w:rsid w:val="00044975"/>
    <w:rsid w:val="00044E3C"/>
    <w:rsid w:val="000451EB"/>
    <w:rsid w:val="00045981"/>
    <w:rsid w:val="00045F29"/>
    <w:rsid w:val="0004613B"/>
    <w:rsid w:val="000468C6"/>
    <w:rsid w:val="00050480"/>
    <w:rsid w:val="000546AA"/>
    <w:rsid w:val="00054D22"/>
    <w:rsid w:val="000555FF"/>
    <w:rsid w:val="0005565B"/>
    <w:rsid w:val="00055899"/>
    <w:rsid w:val="00056B70"/>
    <w:rsid w:val="00056DB2"/>
    <w:rsid w:val="00061719"/>
    <w:rsid w:val="0006212D"/>
    <w:rsid w:val="000623AB"/>
    <w:rsid w:val="00062839"/>
    <w:rsid w:val="00063822"/>
    <w:rsid w:val="00064A58"/>
    <w:rsid w:val="0006557E"/>
    <w:rsid w:val="00065781"/>
    <w:rsid w:val="000658B9"/>
    <w:rsid w:val="00067555"/>
    <w:rsid w:val="00067849"/>
    <w:rsid w:val="00070CCB"/>
    <w:rsid w:val="000714F3"/>
    <w:rsid w:val="000723E3"/>
    <w:rsid w:val="0007245B"/>
    <w:rsid w:val="00072D1E"/>
    <w:rsid w:val="00072DAB"/>
    <w:rsid w:val="00073266"/>
    <w:rsid w:val="0007404B"/>
    <w:rsid w:val="00075A82"/>
    <w:rsid w:val="000776A3"/>
    <w:rsid w:val="00080978"/>
    <w:rsid w:val="0008287A"/>
    <w:rsid w:val="00085C2E"/>
    <w:rsid w:val="00086F3B"/>
    <w:rsid w:val="0008717C"/>
    <w:rsid w:val="00087BEB"/>
    <w:rsid w:val="000916EF"/>
    <w:rsid w:val="00091851"/>
    <w:rsid w:val="0009776B"/>
    <w:rsid w:val="00097A8A"/>
    <w:rsid w:val="000A00AE"/>
    <w:rsid w:val="000A19F4"/>
    <w:rsid w:val="000A340C"/>
    <w:rsid w:val="000A5823"/>
    <w:rsid w:val="000A5EC2"/>
    <w:rsid w:val="000A6A34"/>
    <w:rsid w:val="000A6CDF"/>
    <w:rsid w:val="000A73D3"/>
    <w:rsid w:val="000A73EB"/>
    <w:rsid w:val="000A74C5"/>
    <w:rsid w:val="000A7CFE"/>
    <w:rsid w:val="000B0971"/>
    <w:rsid w:val="000B0EAE"/>
    <w:rsid w:val="000B11CA"/>
    <w:rsid w:val="000B17BE"/>
    <w:rsid w:val="000B1E4C"/>
    <w:rsid w:val="000B2000"/>
    <w:rsid w:val="000B298E"/>
    <w:rsid w:val="000B2B57"/>
    <w:rsid w:val="000B506C"/>
    <w:rsid w:val="000B6344"/>
    <w:rsid w:val="000B6760"/>
    <w:rsid w:val="000C18DD"/>
    <w:rsid w:val="000C19DD"/>
    <w:rsid w:val="000C1C60"/>
    <w:rsid w:val="000C1D92"/>
    <w:rsid w:val="000C37ED"/>
    <w:rsid w:val="000C457C"/>
    <w:rsid w:val="000C46E6"/>
    <w:rsid w:val="000C5463"/>
    <w:rsid w:val="000C6B6C"/>
    <w:rsid w:val="000D09CE"/>
    <w:rsid w:val="000D10AE"/>
    <w:rsid w:val="000D1588"/>
    <w:rsid w:val="000D1B10"/>
    <w:rsid w:val="000D1D7C"/>
    <w:rsid w:val="000D36B1"/>
    <w:rsid w:val="000D3C70"/>
    <w:rsid w:val="000D43CF"/>
    <w:rsid w:val="000D451A"/>
    <w:rsid w:val="000D4713"/>
    <w:rsid w:val="000D66EC"/>
    <w:rsid w:val="000D799B"/>
    <w:rsid w:val="000E2FB1"/>
    <w:rsid w:val="000E31DA"/>
    <w:rsid w:val="000E41C3"/>
    <w:rsid w:val="000E43CB"/>
    <w:rsid w:val="000E4596"/>
    <w:rsid w:val="000E4847"/>
    <w:rsid w:val="000E4A3F"/>
    <w:rsid w:val="000E5020"/>
    <w:rsid w:val="000E6A35"/>
    <w:rsid w:val="000F0DDA"/>
    <w:rsid w:val="000F2608"/>
    <w:rsid w:val="000F36B7"/>
    <w:rsid w:val="000F49F6"/>
    <w:rsid w:val="000F4EBF"/>
    <w:rsid w:val="000F5DC7"/>
    <w:rsid w:val="000F7403"/>
    <w:rsid w:val="000F746F"/>
    <w:rsid w:val="000F7B51"/>
    <w:rsid w:val="000F7CEB"/>
    <w:rsid w:val="00100A91"/>
    <w:rsid w:val="00101AE8"/>
    <w:rsid w:val="00101DA2"/>
    <w:rsid w:val="00102060"/>
    <w:rsid w:val="0010240B"/>
    <w:rsid w:val="00102F0A"/>
    <w:rsid w:val="00103848"/>
    <w:rsid w:val="00103E86"/>
    <w:rsid w:val="00104A3E"/>
    <w:rsid w:val="00104DBB"/>
    <w:rsid w:val="00105458"/>
    <w:rsid w:val="00106808"/>
    <w:rsid w:val="00107B59"/>
    <w:rsid w:val="00110184"/>
    <w:rsid w:val="001101B9"/>
    <w:rsid w:val="00110E05"/>
    <w:rsid w:val="001139F1"/>
    <w:rsid w:val="00113BBC"/>
    <w:rsid w:val="00113C3E"/>
    <w:rsid w:val="00114C16"/>
    <w:rsid w:val="00114F0C"/>
    <w:rsid w:val="00115AFB"/>
    <w:rsid w:val="00115F3E"/>
    <w:rsid w:val="00116585"/>
    <w:rsid w:val="00116596"/>
    <w:rsid w:val="0011696D"/>
    <w:rsid w:val="00116AC5"/>
    <w:rsid w:val="00117742"/>
    <w:rsid w:val="00121D46"/>
    <w:rsid w:val="00121E6F"/>
    <w:rsid w:val="0012328C"/>
    <w:rsid w:val="00123755"/>
    <w:rsid w:val="00123A24"/>
    <w:rsid w:val="001267B1"/>
    <w:rsid w:val="001268B0"/>
    <w:rsid w:val="00126C2E"/>
    <w:rsid w:val="00127BE7"/>
    <w:rsid w:val="0013031D"/>
    <w:rsid w:val="0013038C"/>
    <w:rsid w:val="0013085F"/>
    <w:rsid w:val="00130B03"/>
    <w:rsid w:val="0013291C"/>
    <w:rsid w:val="00134702"/>
    <w:rsid w:val="00134AA4"/>
    <w:rsid w:val="00134C00"/>
    <w:rsid w:val="0013555D"/>
    <w:rsid w:val="00135568"/>
    <w:rsid w:val="0013699C"/>
    <w:rsid w:val="001413DC"/>
    <w:rsid w:val="00141539"/>
    <w:rsid w:val="001419CF"/>
    <w:rsid w:val="00141A1E"/>
    <w:rsid w:val="0014368E"/>
    <w:rsid w:val="00145F12"/>
    <w:rsid w:val="001461FB"/>
    <w:rsid w:val="001467D5"/>
    <w:rsid w:val="00147780"/>
    <w:rsid w:val="00147BA8"/>
    <w:rsid w:val="001505D8"/>
    <w:rsid w:val="00150B16"/>
    <w:rsid w:val="00151F2D"/>
    <w:rsid w:val="00152E1A"/>
    <w:rsid w:val="0015560D"/>
    <w:rsid w:val="00155E97"/>
    <w:rsid w:val="0015704F"/>
    <w:rsid w:val="00157E7F"/>
    <w:rsid w:val="00157EF9"/>
    <w:rsid w:val="00160052"/>
    <w:rsid w:val="00161185"/>
    <w:rsid w:val="001613F8"/>
    <w:rsid w:val="00162180"/>
    <w:rsid w:val="00162848"/>
    <w:rsid w:val="001630FA"/>
    <w:rsid w:val="00164C1E"/>
    <w:rsid w:val="00166A16"/>
    <w:rsid w:val="00167F92"/>
    <w:rsid w:val="00170912"/>
    <w:rsid w:val="00170B81"/>
    <w:rsid w:val="00170BE1"/>
    <w:rsid w:val="00171A3D"/>
    <w:rsid w:val="00171D6E"/>
    <w:rsid w:val="001735B7"/>
    <w:rsid w:val="00173D2D"/>
    <w:rsid w:val="00175264"/>
    <w:rsid w:val="00175695"/>
    <w:rsid w:val="0017717B"/>
    <w:rsid w:val="0017721E"/>
    <w:rsid w:val="001772C7"/>
    <w:rsid w:val="0017768D"/>
    <w:rsid w:val="0018006A"/>
    <w:rsid w:val="001802A1"/>
    <w:rsid w:val="001824A5"/>
    <w:rsid w:val="00183213"/>
    <w:rsid w:val="00184062"/>
    <w:rsid w:val="00184130"/>
    <w:rsid w:val="00185773"/>
    <w:rsid w:val="00185A1A"/>
    <w:rsid w:val="001864F5"/>
    <w:rsid w:val="0018692C"/>
    <w:rsid w:val="00187C90"/>
    <w:rsid w:val="0019068B"/>
    <w:rsid w:val="001909D2"/>
    <w:rsid w:val="00192A69"/>
    <w:rsid w:val="00192CF4"/>
    <w:rsid w:val="00193173"/>
    <w:rsid w:val="00193799"/>
    <w:rsid w:val="00193F00"/>
    <w:rsid w:val="00196562"/>
    <w:rsid w:val="001A0E3F"/>
    <w:rsid w:val="001A14B5"/>
    <w:rsid w:val="001A1D89"/>
    <w:rsid w:val="001A2510"/>
    <w:rsid w:val="001A27F2"/>
    <w:rsid w:val="001A4F21"/>
    <w:rsid w:val="001A5951"/>
    <w:rsid w:val="001A7B80"/>
    <w:rsid w:val="001B2AD6"/>
    <w:rsid w:val="001B32CC"/>
    <w:rsid w:val="001B37BD"/>
    <w:rsid w:val="001B4473"/>
    <w:rsid w:val="001B51EA"/>
    <w:rsid w:val="001B5872"/>
    <w:rsid w:val="001B5FA5"/>
    <w:rsid w:val="001B7757"/>
    <w:rsid w:val="001C05B0"/>
    <w:rsid w:val="001C0E05"/>
    <w:rsid w:val="001C0F78"/>
    <w:rsid w:val="001C389D"/>
    <w:rsid w:val="001C3F19"/>
    <w:rsid w:val="001C42B1"/>
    <w:rsid w:val="001C42DD"/>
    <w:rsid w:val="001C451E"/>
    <w:rsid w:val="001C6A4E"/>
    <w:rsid w:val="001C6ED6"/>
    <w:rsid w:val="001C73F8"/>
    <w:rsid w:val="001D05E8"/>
    <w:rsid w:val="001D1AA9"/>
    <w:rsid w:val="001D23BA"/>
    <w:rsid w:val="001D25C0"/>
    <w:rsid w:val="001D4030"/>
    <w:rsid w:val="001D447B"/>
    <w:rsid w:val="001D4A16"/>
    <w:rsid w:val="001D5128"/>
    <w:rsid w:val="001D5EB4"/>
    <w:rsid w:val="001D7C71"/>
    <w:rsid w:val="001D7FB0"/>
    <w:rsid w:val="001E021A"/>
    <w:rsid w:val="001E0350"/>
    <w:rsid w:val="001E28F5"/>
    <w:rsid w:val="001E43D9"/>
    <w:rsid w:val="001E44DC"/>
    <w:rsid w:val="001E73B5"/>
    <w:rsid w:val="001E74B1"/>
    <w:rsid w:val="001E7825"/>
    <w:rsid w:val="001F0533"/>
    <w:rsid w:val="001F1EDB"/>
    <w:rsid w:val="001F2B0F"/>
    <w:rsid w:val="001F3A62"/>
    <w:rsid w:val="001F3B34"/>
    <w:rsid w:val="001F5CF1"/>
    <w:rsid w:val="001F65C6"/>
    <w:rsid w:val="002009C4"/>
    <w:rsid w:val="00200D3C"/>
    <w:rsid w:val="00200D4A"/>
    <w:rsid w:val="00200E74"/>
    <w:rsid w:val="00201D61"/>
    <w:rsid w:val="002028FD"/>
    <w:rsid w:val="00202F21"/>
    <w:rsid w:val="00203D8F"/>
    <w:rsid w:val="00203E3D"/>
    <w:rsid w:val="00204931"/>
    <w:rsid w:val="00204C73"/>
    <w:rsid w:val="00207E99"/>
    <w:rsid w:val="002108B6"/>
    <w:rsid w:val="00211E16"/>
    <w:rsid w:val="002123A5"/>
    <w:rsid w:val="00213665"/>
    <w:rsid w:val="00213EC5"/>
    <w:rsid w:val="00215310"/>
    <w:rsid w:val="002157DB"/>
    <w:rsid w:val="00215B1E"/>
    <w:rsid w:val="00217B64"/>
    <w:rsid w:val="00217E05"/>
    <w:rsid w:val="00217EC7"/>
    <w:rsid w:val="00221DDD"/>
    <w:rsid w:val="00221EC5"/>
    <w:rsid w:val="00222006"/>
    <w:rsid w:val="0022439F"/>
    <w:rsid w:val="002259DC"/>
    <w:rsid w:val="002275EC"/>
    <w:rsid w:val="00227C7A"/>
    <w:rsid w:val="00227E45"/>
    <w:rsid w:val="002305EC"/>
    <w:rsid w:val="00231566"/>
    <w:rsid w:val="00231B44"/>
    <w:rsid w:val="002334A6"/>
    <w:rsid w:val="00234EA1"/>
    <w:rsid w:val="0023723D"/>
    <w:rsid w:val="00237BA8"/>
    <w:rsid w:val="00237E34"/>
    <w:rsid w:val="00240CE6"/>
    <w:rsid w:val="00241CC1"/>
    <w:rsid w:val="00242447"/>
    <w:rsid w:val="002427BD"/>
    <w:rsid w:val="00243C1A"/>
    <w:rsid w:val="00244497"/>
    <w:rsid w:val="0024578F"/>
    <w:rsid w:val="002477D5"/>
    <w:rsid w:val="0025097C"/>
    <w:rsid w:val="00250D05"/>
    <w:rsid w:val="0025122B"/>
    <w:rsid w:val="00252202"/>
    <w:rsid w:val="00253808"/>
    <w:rsid w:val="0025577E"/>
    <w:rsid w:val="00255BBF"/>
    <w:rsid w:val="00261456"/>
    <w:rsid w:val="002627B2"/>
    <w:rsid w:val="00262E6C"/>
    <w:rsid w:val="00265F5B"/>
    <w:rsid w:val="0026624F"/>
    <w:rsid w:val="00266394"/>
    <w:rsid w:val="00266F98"/>
    <w:rsid w:val="00267F38"/>
    <w:rsid w:val="00272DCA"/>
    <w:rsid w:val="002755E0"/>
    <w:rsid w:val="002766CB"/>
    <w:rsid w:val="00276ED5"/>
    <w:rsid w:val="00280454"/>
    <w:rsid w:val="0028107D"/>
    <w:rsid w:val="0028204F"/>
    <w:rsid w:val="0028324E"/>
    <w:rsid w:val="00284DFB"/>
    <w:rsid w:val="002872BD"/>
    <w:rsid w:val="002905E4"/>
    <w:rsid w:val="0029095C"/>
    <w:rsid w:val="0029190E"/>
    <w:rsid w:val="002932B6"/>
    <w:rsid w:val="0029353B"/>
    <w:rsid w:val="00293E21"/>
    <w:rsid w:val="00295D3C"/>
    <w:rsid w:val="00297303"/>
    <w:rsid w:val="0029732B"/>
    <w:rsid w:val="00297BB0"/>
    <w:rsid w:val="002A0604"/>
    <w:rsid w:val="002A0D8E"/>
    <w:rsid w:val="002A1111"/>
    <w:rsid w:val="002A16F8"/>
    <w:rsid w:val="002A28F1"/>
    <w:rsid w:val="002A2D0C"/>
    <w:rsid w:val="002A4A18"/>
    <w:rsid w:val="002A4CB1"/>
    <w:rsid w:val="002A4E1D"/>
    <w:rsid w:val="002A5091"/>
    <w:rsid w:val="002A56E6"/>
    <w:rsid w:val="002A6770"/>
    <w:rsid w:val="002A71B6"/>
    <w:rsid w:val="002A7D7B"/>
    <w:rsid w:val="002B1ADF"/>
    <w:rsid w:val="002B2394"/>
    <w:rsid w:val="002B2AF9"/>
    <w:rsid w:val="002B2E51"/>
    <w:rsid w:val="002B3EEA"/>
    <w:rsid w:val="002B4BDA"/>
    <w:rsid w:val="002B4C4B"/>
    <w:rsid w:val="002B5F2C"/>
    <w:rsid w:val="002B6670"/>
    <w:rsid w:val="002B67FE"/>
    <w:rsid w:val="002B7570"/>
    <w:rsid w:val="002B768F"/>
    <w:rsid w:val="002C0A88"/>
    <w:rsid w:val="002C105D"/>
    <w:rsid w:val="002C16DB"/>
    <w:rsid w:val="002C290B"/>
    <w:rsid w:val="002C32C1"/>
    <w:rsid w:val="002C47E0"/>
    <w:rsid w:val="002C5C43"/>
    <w:rsid w:val="002C6038"/>
    <w:rsid w:val="002C63B6"/>
    <w:rsid w:val="002C7727"/>
    <w:rsid w:val="002D129C"/>
    <w:rsid w:val="002D209F"/>
    <w:rsid w:val="002D24F9"/>
    <w:rsid w:val="002D3911"/>
    <w:rsid w:val="002D3A69"/>
    <w:rsid w:val="002D438B"/>
    <w:rsid w:val="002D5BEB"/>
    <w:rsid w:val="002D6C5E"/>
    <w:rsid w:val="002D791C"/>
    <w:rsid w:val="002D7B33"/>
    <w:rsid w:val="002E0626"/>
    <w:rsid w:val="002E062F"/>
    <w:rsid w:val="002E2500"/>
    <w:rsid w:val="002E38B8"/>
    <w:rsid w:val="002E65F5"/>
    <w:rsid w:val="002E7075"/>
    <w:rsid w:val="002E7A50"/>
    <w:rsid w:val="002E7C7F"/>
    <w:rsid w:val="002F0D8A"/>
    <w:rsid w:val="002F0E33"/>
    <w:rsid w:val="002F200F"/>
    <w:rsid w:val="002F2449"/>
    <w:rsid w:val="002F28A8"/>
    <w:rsid w:val="002F4312"/>
    <w:rsid w:val="002F4440"/>
    <w:rsid w:val="002F447F"/>
    <w:rsid w:val="002F63B0"/>
    <w:rsid w:val="00300403"/>
    <w:rsid w:val="00300BB4"/>
    <w:rsid w:val="00300BFD"/>
    <w:rsid w:val="00301B6B"/>
    <w:rsid w:val="00302B75"/>
    <w:rsid w:val="003030B1"/>
    <w:rsid w:val="003055FC"/>
    <w:rsid w:val="0030616F"/>
    <w:rsid w:val="00306A4D"/>
    <w:rsid w:val="003104C8"/>
    <w:rsid w:val="0031088B"/>
    <w:rsid w:val="00311586"/>
    <w:rsid w:val="003118E6"/>
    <w:rsid w:val="003126F0"/>
    <w:rsid w:val="00313BF6"/>
    <w:rsid w:val="00315534"/>
    <w:rsid w:val="003159A3"/>
    <w:rsid w:val="00316A26"/>
    <w:rsid w:val="00320150"/>
    <w:rsid w:val="00320163"/>
    <w:rsid w:val="00321F1B"/>
    <w:rsid w:val="00322552"/>
    <w:rsid w:val="003229B4"/>
    <w:rsid w:val="003238A5"/>
    <w:rsid w:val="00323914"/>
    <w:rsid w:val="00324B35"/>
    <w:rsid w:val="00325227"/>
    <w:rsid w:val="003254F3"/>
    <w:rsid w:val="003255F9"/>
    <w:rsid w:val="00325A63"/>
    <w:rsid w:val="003264EF"/>
    <w:rsid w:val="0032662D"/>
    <w:rsid w:val="003269EE"/>
    <w:rsid w:val="00327908"/>
    <w:rsid w:val="00327F32"/>
    <w:rsid w:val="003307FD"/>
    <w:rsid w:val="0033182A"/>
    <w:rsid w:val="00332DF3"/>
    <w:rsid w:val="00333B56"/>
    <w:rsid w:val="00333D3F"/>
    <w:rsid w:val="00334947"/>
    <w:rsid w:val="00335521"/>
    <w:rsid w:val="003355C6"/>
    <w:rsid w:val="00335E49"/>
    <w:rsid w:val="00336857"/>
    <w:rsid w:val="00337624"/>
    <w:rsid w:val="003405C4"/>
    <w:rsid w:val="00341419"/>
    <w:rsid w:val="00343082"/>
    <w:rsid w:val="003435F5"/>
    <w:rsid w:val="003438C0"/>
    <w:rsid w:val="00344A87"/>
    <w:rsid w:val="00344AF1"/>
    <w:rsid w:val="00344B2D"/>
    <w:rsid w:val="00345495"/>
    <w:rsid w:val="003469E7"/>
    <w:rsid w:val="00346BDE"/>
    <w:rsid w:val="0035015B"/>
    <w:rsid w:val="003504CF"/>
    <w:rsid w:val="00350919"/>
    <w:rsid w:val="00350CBD"/>
    <w:rsid w:val="00350F8C"/>
    <w:rsid w:val="00350FB2"/>
    <w:rsid w:val="00351E65"/>
    <w:rsid w:val="00352773"/>
    <w:rsid w:val="003546ED"/>
    <w:rsid w:val="003568E7"/>
    <w:rsid w:val="003575D8"/>
    <w:rsid w:val="00360318"/>
    <w:rsid w:val="0036035E"/>
    <w:rsid w:val="0036038A"/>
    <w:rsid w:val="0036097B"/>
    <w:rsid w:val="00361550"/>
    <w:rsid w:val="00361BCF"/>
    <w:rsid w:val="003631CA"/>
    <w:rsid w:val="003638B4"/>
    <w:rsid w:val="00364BF5"/>
    <w:rsid w:val="00364D61"/>
    <w:rsid w:val="00366D36"/>
    <w:rsid w:val="00366E10"/>
    <w:rsid w:val="003679F6"/>
    <w:rsid w:val="00367B77"/>
    <w:rsid w:val="00367D18"/>
    <w:rsid w:val="003745BD"/>
    <w:rsid w:val="00374B78"/>
    <w:rsid w:val="003758F0"/>
    <w:rsid w:val="0037712B"/>
    <w:rsid w:val="003773DB"/>
    <w:rsid w:val="0038059D"/>
    <w:rsid w:val="00382D27"/>
    <w:rsid w:val="0038333A"/>
    <w:rsid w:val="00383F52"/>
    <w:rsid w:val="003857C0"/>
    <w:rsid w:val="003909EE"/>
    <w:rsid w:val="0039100B"/>
    <w:rsid w:val="003919C8"/>
    <w:rsid w:val="003924A2"/>
    <w:rsid w:val="00393610"/>
    <w:rsid w:val="00393EFE"/>
    <w:rsid w:val="003964B9"/>
    <w:rsid w:val="0039666E"/>
    <w:rsid w:val="003966DD"/>
    <w:rsid w:val="00397254"/>
    <w:rsid w:val="00397EB4"/>
    <w:rsid w:val="003A2950"/>
    <w:rsid w:val="003A2C2A"/>
    <w:rsid w:val="003A4F7B"/>
    <w:rsid w:val="003A577F"/>
    <w:rsid w:val="003A58E0"/>
    <w:rsid w:val="003A66D4"/>
    <w:rsid w:val="003A72C0"/>
    <w:rsid w:val="003A7D7C"/>
    <w:rsid w:val="003B0D07"/>
    <w:rsid w:val="003B11EB"/>
    <w:rsid w:val="003B13B2"/>
    <w:rsid w:val="003B141C"/>
    <w:rsid w:val="003B2146"/>
    <w:rsid w:val="003B2B23"/>
    <w:rsid w:val="003B31A2"/>
    <w:rsid w:val="003B4B4D"/>
    <w:rsid w:val="003B50E7"/>
    <w:rsid w:val="003B51B0"/>
    <w:rsid w:val="003B5682"/>
    <w:rsid w:val="003B64F8"/>
    <w:rsid w:val="003B6500"/>
    <w:rsid w:val="003B6FA4"/>
    <w:rsid w:val="003B769A"/>
    <w:rsid w:val="003B7B28"/>
    <w:rsid w:val="003C0972"/>
    <w:rsid w:val="003C0D89"/>
    <w:rsid w:val="003C2D89"/>
    <w:rsid w:val="003C30BF"/>
    <w:rsid w:val="003C3630"/>
    <w:rsid w:val="003C3950"/>
    <w:rsid w:val="003C417B"/>
    <w:rsid w:val="003C56D6"/>
    <w:rsid w:val="003C5B32"/>
    <w:rsid w:val="003C6553"/>
    <w:rsid w:val="003C7439"/>
    <w:rsid w:val="003C7670"/>
    <w:rsid w:val="003C7C89"/>
    <w:rsid w:val="003D0591"/>
    <w:rsid w:val="003D0C90"/>
    <w:rsid w:val="003D27BF"/>
    <w:rsid w:val="003D3061"/>
    <w:rsid w:val="003D348C"/>
    <w:rsid w:val="003D39AB"/>
    <w:rsid w:val="003D3A73"/>
    <w:rsid w:val="003D7745"/>
    <w:rsid w:val="003D78DA"/>
    <w:rsid w:val="003E036E"/>
    <w:rsid w:val="003E0574"/>
    <w:rsid w:val="003E0E16"/>
    <w:rsid w:val="003E12CF"/>
    <w:rsid w:val="003E2413"/>
    <w:rsid w:val="003E30D5"/>
    <w:rsid w:val="003E3484"/>
    <w:rsid w:val="003E3B4E"/>
    <w:rsid w:val="003E4B15"/>
    <w:rsid w:val="003E6217"/>
    <w:rsid w:val="003E70C8"/>
    <w:rsid w:val="003E7EBE"/>
    <w:rsid w:val="003F0885"/>
    <w:rsid w:val="003F0F21"/>
    <w:rsid w:val="003F147C"/>
    <w:rsid w:val="003F1B83"/>
    <w:rsid w:val="003F2E97"/>
    <w:rsid w:val="003F426D"/>
    <w:rsid w:val="003F42C2"/>
    <w:rsid w:val="003F53FA"/>
    <w:rsid w:val="003F66E6"/>
    <w:rsid w:val="00401B72"/>
    <w:rsid w:val="00401BC9"/>
    <w:rsid w:val="004035C4"/>
    <w:rsid w:val="00403861"/>
    <w:rsid w:val="00403A01"/>
    <w:rsid w:val="00404808"/>
    <w:rsid w:val="0040503E"/>
    <w:rsid w:val="00405595"/>
    <w:rsid w:val="00411E23"/>
    <w:rsid w:val="004127CC"/>
    <w:rsid w:val="004136E8"/>
    <w:rsid w:val="004137D4"/>
    <w:rsid w:val="00414EFD"/>
    <w:rsid w:val="0041502E"/>
    <w:rsid w:val="004158A1"/>
    <w:rsid w:val="004167CC"/>
    <w:rsid w:val="00416992"/>
    <w:rsid w:val="004177BD"/>
    <w:rsid w:val="00421DF2"/>
    <w:rsid w:val="004221D6"/>
    <w:rsid w:val="00422EAE"/>
    <w:rsid w:val="0042320F"/>
    <w:rsid w:val="004246B6"/>
    <w:rsid w:val="00425E78"/>
    <w:rsid w:val="00425E7C"/>
    <w:rsid w:val="00426936"/>
    <w:rsid w:val="004278BE"/>
    <w:rsid w:val="00431E5F"/>
    <w:rsid w:val="004322DA"/>
    <w:rsid w:val="00432361"/>
    <w:rsid w:val="00433259"/>
    <w:rsid w:val="00434FE9"/>
    <w:rsid w:val="004353F8"/>
    <w:rsid w:val="004366C1"/>
    <w:rsid w:val="00436EB1"/>
    <w:rsid w:val="004374DF"/>
    <w:rsid w:val="00443B36"/>
    <w:rsid w:val="004444CE"/>
    <w:rsid w:val="0044529C"/>
    <w:rsid w:val="0044549F"/>
    <w:rsid w:val="00447CFF"/>
    <w:rsid w:val="00447FBA"/>
    <w:rsid w:val="0045003F"/>
    <w:rsid w:val="00450836"/>
    <w:rsid w:val="00450E5C"/>
    <w:rsid w:val="00454365"/>
    <w:rsid w:val="004547CE"/>
    <w:rsid w:val="00454A80"/>
    <w:rsid w:val="00454E10"/>
    <w:rsid w:val="00456020"/>
    <w:rsid w:val="00456C08"/>
    <w:rsid w:val="00457252"/>
    <w:rsid w:val="004617D6"/>
    <w:rsid w:val="0046187C"/>
    <w:rsid w:val="0046204A"/>
    <w:rsid w:val="0046205B"/>
    <w:rsid w:val="00462A2F"/>
    <w:rsid w:val="00462EC8"/>
    <w:rsid w:val="004634B0"/>
    <w:rsid w:val="00463657"/>
    <w:rsid w:val="00463DE5"/>
    <w:rsid w:val="00464B48"/>
    <w:rsid w:val="00464D9F"/>
    <w:rsid w:val="004657FF"/>
    <w:rsid w:val="0047258D"/>
    <w:rsid w:val="004725AD"/>
    <w:rsid w:val="00472901"/>
    <w:rsid w:val="0047382C"/>
    <w:rsid w:val="00473AAB"/>
    <w:rsid w:val="00473EF9"/>
    <w:rsid w:val="00474146"/>
    <w:rsid w:val="0047496D"/>
    <w:rsid w:val="00474E08"/>
    <w:rsid w:val="0047654A"/>
    <w:rsid w:val="00476A34"/>
    <w:rsid w:val="0047761C"/>
    <w:rsid w:val="00477D46"/>
    <w:rsid w:val="00480EE0"/>
    <w:rsid w:val="00482377"/>
    <w:rsid w:val="00484058"/>
    <w:rsid w:val="004841FC"/>
    <w:rsid w:val="00484341"/>
    <w:rsid w:val="004853B2"/>
    <w:rsid w:val="00485D66"/>
    <w:rsid w:val="004861C3"/>
    <w:rsid w:val="0048678D"/>
    <w:rsid w:val="004869AE"/>
    <w:rsid w:val="00486BEB"/>
    <w:rsid w:val="00490174"/>
    <w:rsid w:val="004902E6"/>
    <w:rsid w:val="00491450"/>
    <w:rsid w:val="00493FF3"/>
    <w:rsid w:val="00495ED2"/>
    <w:rsid w:val="0049625E"/>
    <w:rsid w:val="00496805"/>
    <w:rsid w:val="00497288"/>
    <w:rsid w:val="00497681"/>
    <w:rsid w:val="004A1C21"/>
    <w:rsid w:val="004A2777"/>
    <w:rsid w:val="004A4904"/>
    <w:rsid w:val="004A51C4"/>
    <w:rsid w:val="004A5435"/>
    <w:rsid w:val="004A5440"/>
    <w:rsid w:val="004A6071"/>
    <w:rsid w:val="004A6A6A"/>
    <w:rsid w:val="004A6C2B"/>
    <w:rsid w:val="004A709E"/>
    <w:rsid w:val="004A76C5"/>
    <w:rsid w:val="004A784D"/>
    <w:rsid w:val="004A7E63"/>
    <w:rsid w:val="004A7F39"/>
    <w:rsid w:val="004B01AA"/>
    <w:rsid w:val="004B1A3B"/>
    <w:rsid w:val="004B26EA"/>
    <w:rsid w:val="004B2AC1"/>
    <w:rsid w:val="004B34B6"/>
    <w:rsid w:val="004B3ED9"/>
    <w:rsid w:val="004B4CA6"/>
    <w:rsid w:val="004B6188"/>
    <w:rsid w:val="004B62BA"/>
    <w:rsid w:val="004B6736"/>
    <w:rsid w:val="004B7A14"/>
    <w:rsid w:val="004C0C5F"/>
    <w:rsid w:val="004C2311"/>
    <w:rsid w:val="004C2484"/>
    <w:rsid w:val="004C2A22"/>
    <w:rsid w:val="004C387C"/>
    <w:rsid w:val="004C3F92"/>
    <w:rsid w:val="004C4E0A"/>
    <w:rsid w:val="004C4F55"/>
    <w:rsid w:val="004C5B37"/>
    <w:rsid w:val="004C5EA2"/>
    <w:rsid w:val="004C64D4"/>
    <w:rsid w:val="004C6D7C"/>
    <w:rsid w:val="004D0A41"/>
    <w:rsid w:val="004D104C"/>
    <w:rsid w:val="004D1275"/>
    <w:rsid w:val="004D1A81"/>
    <w:rsid w:val="004D2850"/>
    <w:rsid w:val="004D2E45"/>
    <w:rsid w:val="004D4273"/>
    <w:rsid w:val="004D434B"/>
    <w:rsid w:val="004D4955"/>
    <w:rsid w:val="004D54AA"/>
    <w:rsid w:val="004D5E9F"/>
    <w:rsid w:val="004D635E"/>
    <w:rsid w:val="004E0F62"/>
    <w:rsid w:val="004E1E0D"/>
    <w:rsid w:val="004E1E47"/>
    <w:rsid w:val="004E4B0D"/>
    <w:rsid w:val="004E5220"/>
    <w:rsid w:val="004E5B81"/>
    <w:rsid w:val="004E7959"/>
    <w:rsid w:val="004F0652"/>
    <w:rsid w:val="004F0C9D"/>
    <w:rsid w:val="004F1476"/>
    <w:rsid w:val="004F189B"/>
    <w:rsid w:val="004F1E4C"/>
    <w:rsid w:val="004F1EB8"/>
    <w:rsid w:val="004F2956"/>
    <w:rsid w:val="004F29E6"/>
    <w:rsid w:val="004F3B90"/>
    <w:rsid w:val="004F728F"/>
    <w:rsid w:val="004F73E2"/>
    <w:rsid w:val="004F74F5"/>
    <w:rsid w:val="00501086"/>
    <w:rsid w:val="00501F39"/>
    <w:rsid w:val="0050203A"/>
    <w:rsid w:val="0050285E"/>
    <w:rsid w:val="00504793"/>
    <w:rsid w:val="00504D6D"/>
    <w:rsid w:val="00506135"/>
    <w:rsid w:val="0050643D"/>
    <w:rsid w:val="005065B4"/>
    <w:rsid w:val="005107C4"/>
    <w:rsid w:val="00510AB6"/>
    <w:rsid w:val="00510B94"/>
    <w:rsid w:val="00511859"/>
    <w:rsid w:val="00512359"/>
    <w:rsid w:val="005130C1"/>
    <w:rsid w:val="0051471C"/>
    <w:rsid w:val="005174AD"/>
    <w:rsid w:val="005177A8"/>
    <w:rsid w:val="00517A34"/>
    <w:rsid w:val="00517EA5"/>
    <w:rsid w:val="005201D2"/>
    <w:rsid w:val="005204A6"/>
    <w:rsid w:val="00520812"/>
    <w:rsid w:val="00520897"/>
    <w:rsid w:val="005226A4"/>
    <w:rsid w:val="00522F92"/>
    <w:rsid w:val="00523723"/>
    <w:rsid w:val="0052535E"/>
    <w:rsid w:val="0052629C"/>
    <w:rsid w:val="00526C02"/>
    <w:rsid w:val="00527C1C"/>
    <w:rsid w:val="00527EEC"/>
    <w:rsid w:val="0053005D"/>
    <w:rsid w:val="00530774"/>
    <w:rsid w:val="00530C46"/>
    <w:rsid w:val="00531632"/>
    <w:rsid w:val="0053178C"/>
    <w:rsid w:val="00531833"/>
    <w:rsid w:val="00531CE1"/>
    <w:rsid w:val="00531E2C"/>
    <w:rsid w:val="00533044"/>
    <w:rsid w:val="00533561"/>
    <w:rsid w:val="00533603"/>
    <w:rsid w:val="00533631"/>
    <w:rsid w:val="00534945"/>
    <w:rsid w:val="00534E52"/>
    <w:rsid w:val="00535A64"/>
    <w:rsid w:val="00535D1C"/>
    <w:rsid w:val="00535D5B"/>
    <w:rsid w:val="00536248"/>
    <w:rsid w:val="0053632E"/>
    <w:rsid w:val="00536A29"/>
    <w:rsid w:val="005371B9"/>
    <w:rsid w:val="00537343"/>
    <w:rsid w:val="0053750A"/>
    <w:rsid w:val="00537654"/>
    <w:rsid w:val="00540888"/>
    <w:rsid w:val="00540BAF"/>
    <w:rsid w:val="00541166"/>
    <w:rsid w:val="00541FA2"/>
    <w:rsid w:val="00542A11"/>
    <w:rsid w:val="00542DBD"/>
    <w:rsid w:val="005432A1"/>
    <w:rsid w:val="00545DAC"/>
    <w:rsid w:val="005460A6"/>
    <w:rsid w:val="00546C18"/>
    <w:rsid w:val="005473CD"/>
    <w:rsid w:val="005479EE"/>
    <w:rsid w:val="00550CA9"/>
    <w:rsid w:val="005513FA"/>
    <w:rsid w:val="005520FC"/>
    <w:rsid w:val="005523BE"/>
    <w:rsid w:val="00553B92"/>
    <w:rsid w:val="00553C56"/>
    <w:rsid w:val="005540CC"/>
    <w:rsid w:val="0055444F"/>
    <w:rsid w:val="00554F6A"/>
    <w:rsid w:val="00555248"/>
    <w:rsid w:val="00555A31"/>
    <w:rsid w:val="00555BA6"/>
    <w:rsid w:val="0055687C"/>
    <w:rsid w:val="00557368"/>
    <w:rsid w:val="00560192"/>
    <w:rsid w:val="00560CD9"/>
    <w:rsid w:val="00561435"/>
    <w:rsid w:val="0056187E"/>
    <w:rsid w:val="00561BB7"/>
    <w:rsid w:val="00562BFF"/>
    <w:rsid w:val="005636DB"/>
    <w:rsid w:val="005643C6"/>
    <w:rsid w:val="00565411"/>
    <w:rsid w:val="00565565"/>
    <w:rsid w:val="00565A20"/>
    <w:rsid w:val="005660DC"/>
    <w:rsid w:val="00566DFB"/>
    <w:rsid w:val="005677E3"/>
    <w:rsid w:val="0057147C"/>
    <w:rsid w:val="00574D0F"/>
    <w:rsid w:val="00575F22"/>
    <w:rsid w:val="00580C6A"/>
    <w:rsid w:val="00581087"/>
    <w:rsid w:val="005818DD"/>
    <w:rsid w:val="00581C22"/>
    <w:rsid w:val="005822C6"/>
    <w:rsid w:val="005827C8"/>
    <w:rsid w:val="00582A5F"/>
    <w:rsid w:val="00583637"/>
    <w:rsid w:val="00584F0D"/>
    <w:rsid w:val="005869A7"/>
    <w:rsid w:val="00587051"/>
    <w:rsid w:val="005878DA"/>
    <w:rsid w:val="00587AB9"/>
    <w:rsid w:val="005907BF"/>
    <w:rsid w:val="005911EF"/>
    <w:rsid w:val="0059191B"/>
    <w:rsid w:val="00592A8B"/>
    <w:rsid w:val="005930EE"/>
    <w:rsid w:val="00593243"/>
    <w:rsid w:val="0059401D"/>
    <w:rsid w:val="00595DFD"/>
    <w:rsid w:val="005A0054"/>
    <w:rsid w:val="005A0976"/>
    <w:rsid w:val="005A1272"/>
    <w:rsid w:val="005A25B8"/>
    <w:rsid w:val="005A2C5E"/>
    <w:rsid w:val="005A2D5C"/>
    <w:rsid w:val="005A3505"/>
    <w:rsid w:val="005A3D21"/>
    <w:rsid w:val="005A42BF"/>
    <w:rsid w:val="005A4543"/>
    <w:rsid w:val="005A6258"/>
    <w:rsid w:val="005A65D2"/>
    <w:rsid w:val="005A704F"/>
    <w:rsid w:val="005A7B03"/>
    <w:rsid w:val="005B0337"/>
    <w:rsid w:val="005B1808"/>
    <w:rsid w:val="005B1981"/>
    <w:rsid w:val="005B2B5D"/>
    <w:rsid w:val="005B48B1"/>
    <w:rsid w:val="005B4A9A"/>
    <w:rsid w:val="005B5B60"/>
    <w:rsid w:val="005B5D31"/>
    <w:rsid w:val="005B7563"/>
    <w:rsid w:val="005C0984"/>
    <w:rsid w:val="005C1E1D"/>
    <w:rsid w:val="005C3393"/>
    <w:rsid w:val="005C4161"/>
    <w:rsid w:val="005C4BAD"/>
    <w:rsid w:val="005C5969"/>
    <w:rsid w:val="005C5DD2"/>
    <w:rsid w:val="005C6ABC"/>
    <w:rsid w:val="005C6BC6"/>
    <w:rsid w:val="005D0520"/>
    <w:rsid w:val="005D1008"/>
    <w:rsid w:val="005D107F"/>
    <w:rsid w:val="005D2E5B"/>
    <w:rsid w:val="005D3B51"/>
    <w:rsid w:val="005D3EF2"/>
    <w:rsid w:val="005D42CB"/>
    <w:rsid w:val="005D4432"/>
    <w:rsid w:val="005D4442"/>
    <w:rsid w:val="005D449E"/>
    <w:rsid w:val="005D4D27"/>
    <w:rsid w:val="005D62C9"/>
    <w:rsid w:val="005D6498"/>
    <w:rsid w:val="005D781D"/>
    <w:rsid w:val="005D7F96"/>
    <w:rsid w:val="005E0B73"/>
    <w:rsid w:val="005E1AAD"/>
    <w:rsid w:val="005E1CFA"/>
    <w:rsid w:val="005E1F21"/>
    <w:rsid w:val="005E2B54"/>
    <w:rsid w:val="005E2E4F"/>
    <w:rsid w:val="005E4755"/>
    <w:rsid w:val="005E4EE7"/>
    <w:rsid w:val="005E5478"/>
    <w:rsid w:val="005E7E3F"/>
    <w:rsid w:val="005F0861"/>
    <w:rsid w:val="005F12F0"/>
    <w:rsid w:val="005F1573"/>
    <w:rsid w:val="005F15DD"/>
    <w:rsid w:val="005F2F43"/>
    <w:rsid w:val="005F3C4C"/>
    <w:rsid w:val="005F4D0F"/>
    <w:rsid w:val="005F6E8D"/>
    <w:rsid w:val="005F7033"/>
    <w:rsid w:val="005F7410"/>
    <w:rsid w:val="0060209F"/>
    <w:rsid w:val="00602516"/>
    <w:rsid w:val="0060276C"/>
    <w:rsid w:val="006028D1"/>
    <w:rsid w:val="00602AFA"/>
    <w:rsid w:val="006036D2"/>
    <w:rsid w:val="00603D7F"/>
    <w:rsid w:val="006048DB"/>
    <w:rsid w:val="00604A58"/>
    <w:rsid w:val="00604A9C"/>
    <w:rsid w:val="0060610B"/>
    <w:rsid w:val="00607704"/>
    <w:rsid w:val="00607A6B"/>
    <w:rsid w:val="00607E83"/>
    <w:rsid w:val="006102BD"/>
    <w:rsid w:val="0061044A"/>
    <w:rsid w:val="00610A1E"/>
    <w:rsid w:val="00610A6B"/>
    <w:rsid w:val="00610BFF"/>
    <w:rsid w:val="006127CE"/>
    <w:rsid w:val="00612A49"/>
    <w:rsid w:val="00612F6E"/>
    <w:rsid w:val="0061367C"/>
    <w:rsid w:val="0061394F"/>
    <w:rsid w:val="00614743"/>
    <w:rsid w:val="006161F5"/>
    <w:rsid w:val="00617C09"/>
    <w:rsid w:val="00617F5C"/>
    <w:rsid w:val="00620998"/>
    <w:rsid w:val="006225FD"/>
    <w:rsid w:val="00622E26"/>
    <w:rsid w:val="0062398C"/>
    <w:rsid w:val="00623EB5"/>
    <w:rsid w:val="00624A93"/>
    <w:rsid w:val="00624C30"/>
    <w:rsid w:val="00626EE7"/>
    <w:rsid w:val="006274E0"/>
    <w:rsid w:val="00627528"/>
    <w:rsid w:val="006301A5"/>
    <w:rsid w:val="00630F53"/>
    <w:rsid w:val="00631BA7"/>
    <w:rsid w:val="00632383"/>
    <w:rsid w:val="0063349D"/>
    <w:rsid w:val="006336A2"/>
    <w:rsid w:val="0063409E"/>
    <w:rsid w:val="006345AC"/>
    <w:rsid w:val="00634FB2"/>
    <w:rsid w:val="00635728"/>
    <w:rsid w:val="006357D9"/>
    <w:rsid w:val="006359FD"/>
    <w:rsid w:val="00635B53"/>
    <w:rsid w:val="00635F59"/>
    <w:rsid w:val="00635F79"/>
    <w:rsid w:val="0064102E"/>
    <w:rsid w:val="006427D3"/>
    <w:rsid w:val="006448A5"/>
    <w:rsid w:val="006452F2"/>
    <w:rsid w:val="00645807"/>
    <w:rsid w:val="00645872"/>
    <w:rsid w:val="00646098"/>
    <w:rsid w:val="0064682A"/>
    <w:rsid w:val="006469FC"/>
    <w:rsid w:val="006472C5"/>
    <w:rsid w:val="006475B1"/>
    <w:rsid w:val="0064794D"/>
    <w:rsid w:val="00647F6E"/>
    <w:rsid w:val="006503B2"/>
    <w:rsid w:val="00653D75"/>
    <w:rsid w:val="00654ACA"/>
    <w:rsid w:val="00655216"/>
    <w:rsid w:val="00656FC1"/>
    <w:rsid w:val="00657A9F"/>
    <w:rsid w:val="006609FD"/>
    <w:rsid w:val="00661139"/>
    <w:rsid w:val="00661918"/>
    <w:rsid w:val="00661BF4"/>
    <w:rsid w:val="00661D81"/>
    <w:rsid w:val="00662A34"/>
    <w:rsid w:val="006631BC"/>
    <w:rsid w:val="00664CAE"/>
    <w:rsid w:val="0066711A"/>
    <w:rsid w:val="00667575"/>
    <w:rsid w:val="006703FF"/>
    <w:rsid w:val="00670534"/>
    <w:rsid w:val="00670EF8"/>
    <w:rsid w:val="00671018"/>
    <w:rsid w:val="006720DA"/>
    <w:rsid w:val="006729E7"/>
    <w:rsid w:val="00673CE4"/>
    <w:rsid w:val="00674D93"/>
    <w:rsid w:val="006754CE"/>
    <w:rsid w:val="00675882"/>
    <w:rsid w:val="006768F3"/>
    <w:rsid w:val="00676E2B"/>
    <w:rsid w:val="00680868"/>
    <w:rsid w:val="0068088C"/>
    <w:rsid w:val="00680F57"/>
    <w:rsid w:val="0068156C"/>
    <w:rsid w:val="0068413F"/>
    <w:rsid w:val="00684AF8"/>
    <w:rsid w:val="00684E49"/>
    <w:rsid w:val="00686108"/>
    <w:rsid w:val="006861DE"/>
    <w:rsid w:val="006869BD"/>
    <w:rsid w:val="0068704F"/>
    <w:rsid w:val="00687459"/>
    <w:rsid w:val="00690306"/>
    <w:rsid w:val="00690716"/>
    <w:rsid w:val="0069105C"/>
    <w:rsid w:val="00691331"/>
    <w:rsid w:val="00691DE0"/>
    <w:rsid w:val="00691F29"/>
    <w:rsid w:val="0069339B"/>
    <w:rsid w:val="006934CB"/>
    <w:rsid w:val="006943CB"/>
    <w:rsid w:val="0069578B"/>
    <w:rsid w:val="006961F2"/>
    <w:rsid w:val="00697938"/>
    <w:rsid w:val="00697C0C"/>
    <w:rsid w:val="006A1046"/>
    <w:rsid w:val="006A1650"/>
    <w:rsid w:val="006A1845"/>
    <w:rsid w:val="006A1926"/>
    <w:rsid w:val="006A1DC0"/>
    <w:rsid w:val="006A3205"/>
    <w:rsid w:val="006A456C"/>
    <w:rsid w:val="006A4CC8"/>
    <w:rsid w:val="006A654A"/>
    <w:rsid w:val="006A6B5E"/>
    <w:rsid w:val="006A767E"/>
    <w:rsid w:val="006A798F"/>
    <w:rsid w:val="006B1252"/>
    <w:rsid w:val="006B1955"/>
    <w:rsid w:val="006B26D1"/>
    <w:rsid w:val="006B3191"/>
    <w:rsid w:val="006B353E"/>
    <w:rsid w:val="006B544B"/>
    <w:rsid w:val="006B55DE"/>
    <w:rsid w:val="006B69FA"/>
    <w:rsid w:val="006B6E76"/>
    <w:rsid w:val="006B7627"/>
    <w:rsid w:val="006B7756"/>
    <w:rsid w:val="006B7BE0"/>
    <w:rsid w:val="006C0CDD"/>
    <w:rsid w:val="006C36FE"/>
    <w:rsid w:val="006C42F6"/>
    <w:rsid w:val="006C49F3"/>
    <w:rsid w:val="006C58EA"/>
    <w:rsid w:val="006C6496"/>
    <w:rsid w:val="006D0DA6"/>
    <w:rsid w:val="006D2C75"/>
    <w:rsid w:val="006D6BFD"/>
    <w:rsid w:val="006D6C9F"/>
    <w:rsid w:val="006E1231"/>
    <w:rsid w:val="006E20E8"/>
    <w:rsid w:val="006E326D"/>
    <w:rsid w:val="006E4ACA"/>
    <w:rsid w:val="006E52C1"/>
    <w:rsid w:val="006E63B0"/>
    <w:rsid w:val="006E6587"/>
    <w:rsid w:val="006E6701"/>
    <w:rsid w:val="006E7792"/>
    <w:rsid w:val="006E78E5"/>
    <w:rsid w:val="006F022E"/>
    <w:rsid w:val="006F0268"/>
    <w:rsid w:val="006F0646"/>
    <w:rsid w:val="006F0BB7"/>
    <w:rsid w:val="006F1E0B"/>
    <w:rsid w:val="006F1E69"/>
    <w:rsid w:val="006F2AC6"/>
    <w:rsid w:val="006F453C"/>
    <w:rsid w:val="006F592A"/>
    <w:rsid w:val="006F5F93"/>
    <w:rsid w:val="006F6419"/>
    <w:rsid w:val="007008A6"/>
    <w:rsid w:val="0070100D"/>
    <w:rsid w:val="00702A4C"/>
    <w:rsid w:val="00703362"/>
    <w:rsid w:val="00703417"/>
    <w:rsid w:val="007052F5"/>
    <w:rsid w:val="00705591"/>
    <w:rsid w:val="00707B05"/>
    <w:rsid w:val="007102A2"/>
    <w:rsid w:val="00714638"/>
    <w:rsid w:val="0071518C"/>
    <w:rsid w:val="00715B2E"/>
    <w:rsid w:val="00716014"/>
    <w:rsid w:val="0071648A"/>
    <w:rsid w:val="00716C2F"/>
    <w:rsid w:val="007201A1"/>
    <w:rsid w:val="00721574"/>
    <w:rsid w:val="007236A4"/>
    <w:rsid w:val="007254CE"/>
    <w:rsid w:val="00725EC2"/>
    <w:rsid w:val="00726C21"/>
    <w:rsid w:val="0073051F"/>
    <w:rsid w:val="00731100"/>
    <w:rsid w:val="00731133"/>
    <w:rsid w:val="00731454"/>
    <w:rsid w:val="0073319E"/>
    <w:rsid w:val="00733B2D"/>
    <w:rsid w:val="00734106"/>
    <w:rsid w:val="00734B3F"/>
    <w:rsid w:val="00735BE8"/>
    <w:rsid w:val="00735F3F"/>
    <w:rsid w:val="0073600F"/>
    <w:rsid w:val="00736852"/>
    <w:rsid w:val="007404B3"/>
    <w:rsid w:val="00741A3E"/>
    <w:rsid w:val="00743620"/>
    <w:rsid w:val="0074409E"/>
    <w:rsid w:val="007461AA"/>
    <w:rsid w:val="00747702"/>
    <w:rsid w:val="00752330"/>
    <w:rsid w:val="00752D51"/>
    <w:rsid w:val="00755182"/>
    <w:rsid w:val="00756A0C"/>
    <w:rsid w:val="00756AEA"/>
    <w:rsid w:val="007570A0"/>
    <w:rsid w:val="00757FC4"/>
    <w:rsid w:val="00760172"/>
    <w:rsid w:val="00760F96"/>
    <w:rsid w:val="00762D25"/>
    <w:rsid w:val="00763918"/>
    <w:rsid w:val="00764961"/>
    <w:rsid w:val="00764BA2"/>
    <w:rsid w:val="00765445"/>
    <w:rsid w:val="00765467"/>
    <w:rsid w:val="00766C2E"/>
    <w:rsid w:val="00766DF1"/>
    <w:rsid w:val="0076718F"/>
    <w:rsid w:val="00771060"/>
    <w:rsid w:val="00771AA9"/>
    <w:rsid w:val="00773E5B"/>
    <w:rsid w:val="00774070"/>
    <w:rsid w:val="00774482"/>
    <w:rsid w:val="00774E35"/>
    <w:rsid w:val="00775575"/>
    <w:rsid w:val="007767ED"/>
    <w:rsid w:val="007811C0"/>
    <w:rsid w:val="00782AF8"/>
    <w:rsid w:val="0078397F"/>
    <w:rsid w:val="00783E5F"/>
    <w:rsid w:val="00784310"/>
    <w:rsid w:val="00784380"/>
    <w:rsid w:val="007850AA"/>
    <w:rsid w:val="00785901"/>
    <w:rsid w:val="00785A81"/>
    <w:rsid w:val="00786641"/>
    <w:rsid w:val="0078752F"/>
    <w:rsid w:val="00791360"/>
    <w:rsid w:val="007936CB"/>
    <w:rsid w:val="00793E2D"/>
    <w:rsid w:val="00794A68"/>
    <w:rsid w:val="0079666B"/>
    <w:rsid w:val="00796EEB"/>
    <w:rsid w:val="0079728D"/>
    <w:rsid w:val="00797666"/>
    <w:rsid w:val="007977E4"/>
    <w:rsid w:val="007977EC"/>
    <w:rsid w:val="007A029A"/>
    <w:rsid w:val="007A0AFE"/>
    <w:rsid w:val="007A0C78"/>
    <w:rsid w:val="007A15FD"/>
    <w:rsid w:val="007A34EB"/>
    <w:rsid w:val="007A61A0"/>
    <w:rsid w:val="007A7575"/>
    <w:rsid w:val="007A7DEC"/>
    <w:rsid w:val="007B1482"/>
    <w:rsid w:val="007B1A10"/>
    <w:rsid w:val="007B1B92"/>
    <w:rsid w:val="007B1F24"/>
    <w:rsid w:val="007B2417"/>
    <w:rsid w:val="007B4820"/>
    <w:rsid w:val="007B507A"/>
    <w:rsid w:val="007B5326"/>
    <w:rsid w:val="007B62A6"/>
    <w:rsid w:val="007B679D"/>
    <w:rsid w:val="007B6BDE"/>
    <w:rsid w:val="007B7230"/>
    <w:rsid w:val="007C0698"/>
    <w:rsid w:val="007C0799"/>
    <w:rsid w:val="007C2B4C"/>
    <w:rsid w:val="007C494A"/>
    <w:rsid w:val="007C4C8F"/>
    <w:rsid w:val="007C6077"/>
    <w:rsid w:val="007C7930"/>
    <w:rsid w:val="007D13A4"/>
    <w:rsid w:val="007D24EF"/>
    <w:rsid w:val="007D27B0"/>
    <w:rsid w:val="007D2F8C"/>
    <w:rsid w:val="007D37B8"/>
    <w:rsid w:val="007D3C54"/>
    <w:rsid w:val="007D4006"/>
    <w:rsid w:val="007D53F3"/>
    <w:rsid w:val="007D686C"/>
    <w:rsid w:val="007D69C0"/>
    <w:rsid w:val="007D7B63"/>
    <w:rsid w:val="007E088D"/>
    <w:rsid w:val="007E199C"/>
    <w:rsid w:val="007E1FEB"/>
    <w:rsid w:val="007E2C7D"/>
    <w:rsid w:val="007E3987"/>
    <w:rsid w:val="007E3F1D"/>
    <w:rsid w:val="007E596A"/>
    <w:rsid w:val="007E6105"/>
    <w:rsid w:val="007E73E3"/>
    <w:rsid w:val="007E7D8E"/>
    <w:rsid w:val="007F22AB"/>
    <w:rsid w:val="007F2C3C"/>
    <w:rsid w:val="007F4656"/>
    <w:rsid w:val="007F4DBD"/>
    <w:rsid w:val="007F4F15"/>
    <w:rsid w:val="007F5811"/>
    <w:rsid w:val="007F799B"/>
    <w:rsid w:val="008015ED"/>
    <w:rsid w:val="00801795"/>
    <w:rsid w:val="00801DFC"/>
    <w:rsid w:val="008022AE"/>
    <w:rsid w:val="00802526"/>
    <w:rsid w:val="008031CB"/>
    <w:rsid w:val="008035E3"/>
    <w:rsid w:val="0080362E"/>
    <w:rsid w:val="008040E7"/>
    <w:rsid w:val="00805C7E"/>
    <w:rsid w:val="008061D0"/>
    <w:rsid w:val="00807C84"/>
    <w:rsid w:val="00807CD6"/>
    <w:rsid w:val="00807EDF"/>
    <w:rsid w:val="008111A9"/>
    <w:rsid w:val="00812BCF"/>
    <w:rsid w:val="00812EE8"/>
    <w:rsid w:val="00813B08"/>
    <w:rsid w:val="00813C93"/>
    <w:rsid w:val="00814CFE"/>
    <w:rsid w:val="008176F5"/>
    <w:rsid w:val="00817B1C"/>
    <w:rsid w:val="00817CDA"/>
    <w:rsid w:val="00817EF8"/>
    <w:rsid w:val="00820BBD"/>
    <w:rsid w:val="008210B1"/>
    <w:rsid w:val="008222DE"/>
    <w:rsid w:val="00822D0C"/>
    <w:rsid w:val="008243E6"/>
    <w:rsid w:val="008245CD"/>
    <w:rsid w:val="00824AA0"/>
    <w:rsid w:val="00825015"/>
    <w:rsid w:val="00825073"/>
    <w:rsid w:val="008259F7"/>
    <w:rsid w:val="00827498"/>
    <w:rsid w:val="00827BAB"/>
    <w:rsid w:val="00830736"/>
    <w:rsid w:val="008328CA"/>
    <w:rsid w:val="00833AD1"/>
    <w:rsid w:val="008355FB"/>
    <w:rsid w:val="00835824"/>
    <w:rsid w:val="00837690"/>
    <w:rsid w:val="00841302"/>
    <w:rsid w:val="0084165E"/>
    <w:rsid w:val="00841831"/>
    <w:rsid w:val="00841CDC"/>
    <w:rsid w:val="00842237"/>
    <w:rsid w:val="0084398F"/>
    <w:rsid w:val="0084431E"/>
    <w:rsid w:val="008447C3"/>
    <w:rsid w:val="00844CC2"/>
    <w:rsid w:val="00844CE7"/>
    <w:rsid w:val="00845D1A"/>
    <w:rsid w:val="0084610F"/>
    <w:rsid w:val="008465B2"/>
    <w:rsid w:val="00851452"/>
    <w:rsid w:val="008518A2"/>
    <w:rsid w:val="008530A3"/>
    <w:rsid w:val="00853291"/>
    <w:rsid w:val="00854B40"/>
    <w:rsid w:val="00855599"/>
    <w:rsid w:val="00855C7C"/>
    <w:rsid w:val="008566C0"/>
    <w:rsid w:val="00857476"/>
    <w:rsid w:val="00857816"/>
    <w:rsid w:val="00857B21"/>
    <w:rsid w:val="0086023E"/>
    <w:rsid w:val="008608C6"/>
    <w:rsid w:val="00860A69"/>
    <w:rsid w:val="0086135C"/>
    <w:rsid w:val="00862890"/>
    <w:rsid w:val="00862EB5"/>
    <w:rsid w:val="00864368"/>
    <w:rsid w:val="0086695F"/>
    <w:rsid w:val="00870393"/>
    <w:rsid w:val="00870765"/>
    <w:rsid w:val="0087100A"/>
    <w:rsid w:val="00871B65"/>
    <w:rsid w:val="00871DAB"/>
    <w:rsid w:val="00872DB8"/>
    <w:rsid w:val="0087360F"/>
    <w:rsid w:val="0087421D"/>
    <w:rsid w:val="0087634B"/>
    <w:rsid w:val="008763C4"/>
    <w:rsid w:val="00877559"/>
    <w:rsid w:val="0087794B"/>
    <w:rsid w:val="008802A8"/>
    <w:rsid w:val="008813D9"/>
    <w:rsid w:val="0088264E"/>
    <w:rsid w:val="0088285B"/>
    <w:rsid w:val="0088390E"/>
    <w:rsid w:val="0088657D"/>
    <w:rsid w:val="008871E0"/>
    <w:rsid w:val="0088788C"/>
    <w:rsid w:val="008916C1"/>
    <w:rsid w:val="00892B44"/>
    <w:rsid w:val="00895CCE"/>
    <w:rsid w:val="00895E9D"/>
    <w:rsid w:val="0089673C"/>
    <w:rsid w:val="008970D2"/>
    <w:rsid w:val="00897E1A"/>
    <w:rsid w:val="008A05B7"/>
    <w:rsid w:val="008A125D"/>
    <w:rsid w:val="008A1578"/>
    <w:rsid w:val="008A18AE"/>
    <w:rsid w:val="008A1EAC"/>
    <w:rsid w:val="008A2654"/>
    <w:rsid w:val="008A28E8"/>
    <w:rsid w:val="008A2913"/>
    <w:rsid w:val="008A35A6"/>
    <w:rsid w:val="008A3F22"/>
    <w:rsid w:val="008A4BF2"/>
    <w:rsid w:val="008B029D"/>
    <w:rsid w:val="008B24BB"/>
    <w:rsid w:val="008B57C1"/>
    <w:rsid w:val="008B5822"/>
    <w:rsid w:val="008B6036"/>
    <w:rsid w:val="008B6E9C"/>
    <w:rsid w:val="008B7206"/>
    <w:rsid w:val="008C0266"/>
    <w:rsid w:val="008C10A9"/>
    <w:rsid w:val="008C1B4B"/>
    <w:rsid w:val="008C1E84"/>
    <w:rsid w:val="008C2521"/>
    <w:rsid w:val="008C2671"/>
    <w:rsid w:val="008C2EA1"/>
    <w:rsid w:val="008C36E7"/>
    <w:rsid w:val="008C381A"/>
    <w:rsid w:val="008C3CFF"/>
    <w:rsid w:val="008C4371"/>
    <w:rsid w:val="008C6A24"/>
    <w:rsid w:val="008C6FA6"/>
    <w:rsid w:val="008D1995"/>
    <w:rsid w:val="008D629B"/>
    <w:rsid w:val="008D6AFA"/>
    <w:rsid w:val="008D7AC5"/>
    <w:rsid w:val="008D7B26"/>
    <w:rsid w:val="008E0EE2"/>
    <w:rsid w:val="008E1350"/>
    <w:rsid w:val="008E1756"/>
    <w:rsid w:val="008E1F78"/>
    <w:rsid w:val="008E220A"/>
    <w:rsid w:val="008E232A"/>
    <w:rsid w:val="008E2A69"/>
    <w:rsid w:val="008E348F"/>
    <w:rsid w:val="008E393E"/>
    <w:rsid w:val="008E3BBC"/>
    <w:rsid w:val="008E3EB8"/>
    <w:rsid w:val="008E44D0"/>
    <w:rsid w:val="008E4545"/>
    <w:rsid w:val="008E477F"/>
    <w:rsid w:val="008E510F"/>
    <w:rsid w:val="008E69C9"/>
    <w:rsid w:val="008E6F81"/>
    <w:rsid w:val="008F0251"/>
    <w:rsid w:val="008F0CA1"/>
    <w:rsid w:val="008F1E0F"/>
    <w:rsid w:val="008F1E2C"/>
    <w:rsid w:val="008F2016"/>
    <w:rsid w:val="008F262C"/>
    <w:rsid w:val="008F27DF"/>
    <w:rsid w:val="008F4E77"/>
    <w:rsid w:val="008F506C"/>
    <w:rsid w:val="008F5C82"/>
    <w:rsid w:val="008F6D0E"/>
    <w:rsid w:val="008F71EF"/>
    <w:rsid w:val="009013F2"/>
    <w:rsid w:val="00901915"/>
    <w:rsid w:val="00903B2E"/>
    <w:rsid w:val="009040B3"/>
    <w:rsid w:val="0090427A"/>
    <w:rsid w:val="00904A85"/>
    <w:rsid w:val="0090565D"/>
    <w:rsid w:val="00905B7E"/>
    <w:rsid w:val="00906DD7"/>
    <w:rsid w:val="009077F8"/>
    <w:rsid w:val="009078C9"/>
    <w:rsid w:val="00907A20"/>
    <w:rsid w:val="00907D64"/>
    <w:rsid w:val="00910E10"/>
    <w:rsid w:val="009122DF"/>
    <w:rsid w:val="0091392C"/>
    <w:rsid w:val="00914E7C"/>
    <w:rsid w:val="00914F82"/>
    <w:rsid w:val="00916C76"/>
    <w:rsid w:val="0091713A"/>
    <w:rsid w:val="00917824"/>
    <w:rsid w:val="00920EB4"/>
    <w:rsid w:val="00920F63"/>
    <w:rsid w:val="00921ABA"/>
    <w:rsid w:val="0092220A"/>
    <w:rsid w:val="00922D1D"/>
    <w:rsid w:val="00923A7C"/>
    <w:rsid w:val="00923C62"/>
    <w:rsid w:val="00924499"/>
    <w:rsid w:val="00924869"/>
    <w:rsid w:val="009257F1"/>
    <w:rsid w:val="00926EBB"/>
    <w:rsid w:val="009277D9"/>
    <w:rsid w:val="009308AA"/>
    <w:rsid w:val="00930F02"/>
    <w:rsid w:val="00931735"/>
    <w:rsid w:val="009329CD"/>
    <w:rsid w:val="00932BDE"/>
    <w:rsid w:val="00933114"/>
    <w:rsid w:val="0093377F"/>
    <w:rsid w:val="00933FDA"/>
    <w:rsid w:val="00934E50"/>
    <w:rsid w:val="0093504D"/>
    <w:rsid w:val="009356F5"/>
    <w:rsid w:val="00936863"/>
    <w:rsid w:val="009374AB"/>
    <w:rsid w:val="00937690"/>
    <w:rsid w:val="00941EC7"/>
    <w:rsid w:val="009429D2"/>
    <w:rsid w:val="00942AC0"/>
    <w:rsid w:val="009433C6"/>
    <w:rsid w:val="009439B6"/>
    <w:rsid w:val="009440FB"/>
    <w:rsid w:val="009444A0"/>
    <w:rsid w:val="00945A8A"/>
    <w:rsid w:val="0094617B"/>
    <w:rsid w:val="009462A9"/>
    <w:rsid w:val="00950B63"/>
    <w:rsid w:val="00952C36"/>
    <w:rsid w:val="00952E1D"/>
    <w:rsid w:val="00953A32"/>
    <w:rsid w:val="009555B9"/>
    <w:rsid w:val="009559BE"/>
    <w:rsid w:val="00955DDA"/>
    <w:rsid w:val="00956637"/>
    <w:rsid w:val="009602D5"/>
    <w:rsid w:val="00960FDD"/>
    <w:rsid w:val="009616B3"/>
    <w:rsid w:val="00961BB7"/>
    <w:rsid w:val="00964057"/>
    <w:rsid w:val="00965936"/>
    <w:rsid w:val="00965AF9"/>
    <w:rsid w:val="00966BA5"/>
    <w:rsid w:val="009673D4"/>
    <w:rsid w:val="009702B2"/>
    <w:rsid w:val="00970717"/>
    <w:rsid w:val="009715BA"/>
    <w:rsid w:val="00971E35"/>
    <w:rsid w:val="009730C2"/>
    <w:rsid w:val="009743A3"/>
    <w:rsid w:val="009751C2"/>
    <w:rsid w:val="0097561A"/>
    <w:rsid w:val="009757D7"/>
    <w:rsid w:val="0097618C"/>
    <w:rsid w:val="0097644D"/>
    <w:rsid w:val="00976AD5"/>
    <w:rsid w:val="00977DAF"/>
    <w:rsid w:val="00980030"/>
    <w:rsid w:val="00980A65"/>
    <w:rsid w:val="00981FEC"/>
    <w:rsid w:val="0098251F"/>
    <w:rsid w:val="0098316C"/>
    <w:rsid w:val="00983674"/>
    <w:rsid w:val="009847F8"/>
    <w:rsid w:val="00985176"/>
    <w:rsid w:val="00985D84"/>
    <w:rsid w:val="00987CC4"/>
    <w:rsid w:val="009909CD"/>
    <w:rsid w:val="00992170"/>
    <w:rsid w:val="00993731"/>
    <w:rsid w:val="00993F99"/>
    <w:rsid w:val="0099453E"/>
    <w:rsid w:val="009949CD"/>
    <w:rsid w:val="00995138"/>
    <w:rsid w:val="00995238"/>
    <w:rsid w:val="00995B5B"/>
    <w:rsid w:val="00995BDD"/>
    <w:rsid w:val="00996963"/>
    <w:rsid w:val="009974B0"/>
    <w:rsid w:val="009A0231"/>
    <w:rsid w:val="009A0460"/>
    <w:rsid w:val="009A06EC"/>
    <w:rsid w:val="009A12A8"/>
    <w:rsid w:val="009A1E39"/>
    <w:rsid w:val="009A281E"/>
    <w:rsid w:val="009A6CA8"/>
    <w:rsid w:val="009A7B3F"/>
    <w:rsid w:val="009B0755"/>
    <w:rsid w:val="009B1D18"/>
    <w:rsid w:val="009B1F84"/>
    <w:rsid w:val="009B321D"/>
    <w:rsid w:val="009B34D5"/>
    <w:rsid w:val="009B5B34"/>
    <w:rsid w:val="009B6F3A"/>
    <w:rsid w:val="009B72DE"/>
    <w:rsid w:val="009C0433"/>
    <w:rsid w:val="009C2C1C"/>
    <w:rsid w:val="009C2EEA"/>
    <w:rsid w:val="009C2EF4"/>
    <w:rsid w:val="009C3A20"/>
    <w:rsid w:val="009C4C23"/>
    <w:rsid w:val="009C4CE0"/>
    <w:rsid w:val="009C4D44"/>
    <w:rsid w:val="009C579D"/>
    <w:rsid w:val="009C5914"/>
    <w:rsid w:val="009C63D1"/>
    <w:rsid w:val="009C6AD5"/>
    <w:rsid w:val="009C7058"/>
    <w:rsid w:val="009C722D"/>
    <w:rsid w:val="009D0BEA"/>
    <w:rsid w:val="009D0EB0"/>
    <w:rsid w:val="009D18BB"/>
    <w:rsid w:val="009D1BE3"/>
    <w:rsid w:val="009D363C"/>
    <w:rsid w:val="009D3F74"/>
    <w:rsid w:val="009D41F2"/>
    <w:rsid w:val="009D6504"/>
    <w:rsid w:val="009D6704"/>
    <w:rsid w:val="009D675B"/>
    <w:rsid w:val="009D73A4"/>
    <w:rsid w:val="009D7940"/>
    <w:rsid w:val="009E0461"/>
    <w:rsid w:val="009E14F8"/>
    <w:rsid w:val="009E2767"/>
    <w:rsid w:val="009E3C71"/>
    <w:rsid w:val="009E410B"/>
    <w:rsid w:val="009E5765"/>
    <w:rsid w:val="009E6011"/>
    <w:rsid w:val="009F096D"/>
    <w:rsid w:val="009F15EB"/>
    <w:rsid w:val="009F1FC6"/>
    <w:rsid w:val="009F306D"/>
    <w:rsid w:val="009F4735"/>
    <w:rsid w:val="009F4758"/>
    <w:rsid w:val="009F51CA"/>
    <w:rsid w:val="009F53B6"/>
    <w:rsid w:val="009F5B4F"/>
    <w:rsid w:val="009F603C"/>
    <w:rsid w:val="009F7213"/>
    <w:rsid w:val="009F7920"/>
    <w:rsid w:val="00A004BA"/>
    <w:rsid w:val="00A01F33"/>
    <w:rsid w:val="00A0234D"/>
    <w:rsid w:val="00A02600"/>
    <w:rsid w:val="00A02C75"/>
    <w:rsid w:val="00A030A5"/>
    <w:rsid w:val="00A03B7B"/>
    <w:rsid w:val="00A05478"/>
    <w:rsid w:val="00A06301"/>
    <w:rsid w:val="00A06FDE"/>
    <w:rsid w:val="00A0728D"/>
    <w:rsid w:val="00A10101"/>
    <w:rsid w:val="00A10F93"/>
    <w:rsid w:val="00A11DB5"/>
    <w:rsid w:val="00A11E23"/>
    <w:rsid w:val="00A13EFD"/>
    <w:rsid w:val="00A143D6"/>
    <w:rsid w:val="00A14C21"/>
    <w:rsid w:val="00A14D60"/>
    <w:rsid w:val="00A15EF7"/>
    <w:rsid w:val="00A160E5"/>
    <w:rsid w:val="00A177C1"/>
    <w:rsid w:val="00A17E2B"/>
    <w:rsid w:val="00A20CDE"/>
    <w:rsid w:val="00A22AF7"/>
    <w:rsid w:val="00A23695"/>
    <w:rsid w:val="00A25181"/>
    <w:rsid w:val="00A254A3"/>
    <w:rsid w:val="00A26E15"/>
    <w:rsid w:val="00A27702"/>
    <w:rsid w:val="00A3032A"/>
    <w:rsid w:val="00A30DFE"/>
    <w:rsid w:val="00A30F39"/>
    <w:rsid w:val="00A3124B"/>
    <w:rsid w:val="00A3294D"/>
    <w:rsid w:val="00A32D2D"/>
    <w:rsid w:val="00A3335B"/>
    <w:rsid w:val="00A33EBC"/>
    <w:rsid w:val="00A35870"/>
    <w:rsid w:val="00A378A6"/>
    <w:rsid w:val="00A37DA7"/>
    <w:rsid w:val="00A401C7"/>
    <w:rsid w:val="00A44252"/>
    <w:rsid w:val="00A444DE"/>
    <w:rsid w:val="00A45CAD"/>
    <w:rsid w:val="00A45F0D"/>
    <w:rsid w:val="00A47F16"/>
    <w:rsid w:val="00A50095"/>
    <w:rsid w:val="00A50A4E"/>
    <w:rsid w:val="00A50CC3"/>
    <w:rsid w:val="00A510F1"/>
    <w:rsid w:val="00A511F6"/>
    <w:rsid w:val="00A51B08"/>
    <w:rsid w:val="00A54FA7"/>
    <w:rsid w:val="00A55073"/>
    <w:rsid w:val="00A550EA"/>
    <w:rsid w:val="00A55DE3"/>
    <w:rsid w:val="00A567F2"/>
    <w:rsid w:val="00A573BC"/>
    <w:rsid w:val="00A57921"/>
    <w:rsid w:val="00A57B7E"/>
    <w:rsid w:val="00A604DD"/>
    <w:rsid w:val="00A60786"/>
    <w:rsid w:val="00A620DD"/>
    <w:rsid w:val="00A62860"/>
    <w:rsid w:val="00A63629"/>
    <w:rsid w:val="00A64C79"/>
    <w:rsid w:val="00A653EC"/>
    <w:rsid w:val="00A66FE2"/>
    <w:rsid w:val="00A66FF2"/>
    <w:rsid w:val="00A671B8"/>
    <w:rsid w:val="00A67DD2"/>
    <w:rsid w:val="00A707F0"/>
    <w:rsid w:val="00A71373"/>
    <w:rsid w:val="00A71526"/>
    <w:rsid w:val="00A71956"/>
    <w:rsid w:val="00A745F4"/>
    <w:rsid w:val="00A74767"/>
    <w:rsid w:val="00A75262"/>
    <w:rsid w:val="00A75294"/>
    <w:rsid w:val="00A752B0"/>
    <w:rsid w:val="00A8068B"/>
    <w:rsid w:val="00A80EAA"/>
    <w:rsid w:val="00A8193E"/>
    <w:rsid w:val="00A83002"/>
    <w:rsid w:val="00A83BDF"/>
    <w:rsid w:val="00A83C18"/>
    <w:rsid w:val="00A83ED6"/>
    <w:rsid w:val="00A844BD"/>
    <w:rsid w:val="00A84807"/>
    <w:rsid w:val="00A85684"/>
    <w:rsid w:val="00A856B7"/>
    <w:rsid w:val="00A85C14"/>
    <w:rsid w:val="00A8670C"/>
    <w:rsid w:val="00A87074"/>
    <w:rsid w:val="00A8764A"/>
    <w:rsid w:val="00A905A4"/>
    <w:rsid w:val="00A90797"/>
    <w:rsid w:val="00A90AFC"/>
    <w:rsid w:val="00A90CBD"/>
    <w:rsid w:val="00A91031"/>
    <w:rsid w:val="00A917B2"/>
    <w:rsid w:val="00A92619"/>
    <w:rsid w:val="00A947FE"/>
    <w:rsid w:val="00A94A82"/>
    <w:rsid w:val="00A94F27"/>
    <w:rsid w:val="00A95043"/>
    <w:rsid w:val="00A95342"/>
    <w:rsid w:val="00A96ADF"/>
    <w:rsid w:val="00A97B58"/>
    <w:rsid w:val="00AA06B3"/>
    <w:rsid w:val="00AA0A68"/>
    <w:rsid w:val="00AA1840"/>
    <w:rsid w:val="00AA3F88"/>
    <w:rsid w:val="00AA414B"/>
    <w:rsid w:val="00AA4900"/>
    <w:rsid w:val="00AA4C8D"/>
    <w:rsid w:val="00AA4D57"/>
    <w:rsid w:val="00AA6716"/>
    <w:rsid w:val="00AA6B52"/>
    <w:rsid w:val="00AA79CD"/>
    <w:rsid w:val="00AB0D0A"/>
    <w:rsid w:val="00AB57E8"/>
    <w:rsid w:val="00AB6937"/>
    <w:rsid w:val="00AB7C8D"/>
    <w:rsid w:val="00AB7F50"/>
    <w:rsid w:val="00AC0DE8"/>
    <w:rsid w:val="00AC2E42"/>
    <w:rsid w:val="00AC367A"/>
    <w:rsid w:val="00AC5227"/>
    <w:rsid w:val="00AC5251"/>
    <w:rsid w:val="00AC53B4"/>
    <w:rsid w:val="00AC603E"/>
    <w:rsid w:val="00AC649D"/>
    <w:rsid w:val="00AC6A9A"/>
    <w:rsid w:val="00AC7A27"/>
    <w:rsid w:val="00AD1189"/>
    <w:rsid w:val="00AD2CFE"/>
    <w:rsid w:val="00AD4650"/>
    <w:rsid w:val="00AD4774"/>
    <w:rsid w:val="00AD49BD"/>
    <w:rsid w:val="00AD630E"/>
    <w:rsid w:val="00AE185A"/>
    <w:rsid w:val="00AE2724"/>
    <w:rsid w:val="00AE2918"/>
    <w:rsid w:val="00AE2B13"/>
    <w:rsid w:val="00AE33F3"/>
    <w:rsid w:val="00AE4678"/>
    <w:rsid w:val="00AE46B7"/>
    <w:rsid w:val="00AE57A1"/>
    <w:rsid w:val="00AE5DC4"/>
    <w:rsid w:val="00AE6966"/>
    <w:rsid w:val="00AE789E"/>
    <w:rsid w:val="00AF031C"/>
    <w:rsid w:val="00AF16E5"/>
    <w:rsid w:val="00AF2E33"/>
    <w:rsid w:val="00AF2F5B"/>
    <w:rsid w:val="00AF352A"/>
    <w:rsid w:val="00AF566C"/>
    <w:rsid w:val="00AF691C"/>
    <w:rsid w:val="00AF7501"/>
    <w:rsid w:val="00B0118C"/>
    <w:rsid w:val="00B017EF"/>
    <w:rsid w:val="00B01FA0"/>
    <w:rsid w:val="00B0220A"/>
    <w:rsid w:val="00B02781"/>
    <w:rsid w:val="00B02B95"/>
    <w:rsid w:val="00B036B4"/>
    <w:rsid w:val="00B068E7"/>
    <w:rsid w:val="00B06BF9"/>
    <w:rsid w:val="00B106D7"/>
    <w:rsid w:val="00B10962"/>
    <w:rsid w:val="00B11692"/>
    <w:rsid w:val="00B11CC9"/>
    <w:rsid w:val="00B13A3C"/>
    <w:rsid w:val="00B13D23"/>
    <w:rsid w:val="00B145F4"/>
    <w:rsid w:val="00B16E56"/>
    <w:rsid w:val="00B2035A"/>
    <w:rsid w:val="00B22100"/>
    <w:rsid w:val="00B225E9"/>
    <w:rsid w:val="00B22F4F"/>
    <w:rsid w:val="00B232A7"/>
    <w:rsid w:val="00B23B6A"/>
    <w:rsid w:val="00B23E82"/>
    <w:rsid w:val="00B25234"/>
    <w:rsid w:val="00B25C21"/>
    <w:rsid w:val="00B269ED"/>
    <w:rsid w:val="00B27AFF"/>
    <w:rsid w:val="00B305CF"/>
    <w:rsid w:val="00B30C08"/>
    <w:rsid w:val="00B31232"/>
    <w:rsid w:val="00B314E9"/>
    <w:rsid w:val="00B317C1"/>
    <w:rsid w:val="00B31A20"/>
    <w:rsid w:val="00B34712"/>
    <w:rsid w:val="00B34AFB"/>
    <w:rsid w:val="00B359AC"/>
    <w:rsid w:val="00B35D1C"/>
    <w:rsid w:val="00B3616E"/>
    <w:rsid w:val="00B36305"/>
    <w:rsid w:val="00B36314"/>
    <w:rsid w:val="00B363BA"/>
    <w:rsid w:val="00B365CF"/>
    <w:rsid w:val="00B36E25"/>
    <w:rsid w:val="00B36F11"/>
    <w:rsid w:val="00B37A75"/>
    <w:rsid w:val="00B37DC6"/>
    <w:rsid w:val="00B41D44"/>
    <w:rsid w:val="00B42090"/>
    <w:rsid w:val="00B420EE"/>
    <w:rsid w:val="00B42C75"/>
    <w:rsid w:val="00B42D87"/>
    <w:rsid w:val="00B44673"/>
    <w:rsid w:val="00B47879"/>
    <w:rsid w:val="00B518EB"/>
    <w:rsid w:val="00B521B0"/>
    <w:rsid w:val="00B52608"/>
    <w:rsid w:val="00B529D4"/>
    <w:rsid w:val="00B52A03"/>
    <w:rsid w:val="00B537FC"/>
    <w:rsid w:val="00B569EB"/>
    <w:rsid w:val="00B5727A"/>
    <w:rsid w:val="00B5737D"/>
    <w:rsid w:val="00B57E71"/>
    <w:rsid w:val="00B600F4"/>
    <w:rsid w:val="00B61829"/>
    <w:rsid w:val="00B61B2F"/>
    <w:rsid w:val="00B621FA"/>
    <w:rsid w:val="00B6223F"/>
    <w:rsid w:val="00B622BF"/>
    <w:rsid w:val="00B62B3E"/>
    <w:rsid w:val="00B63221"/>
    <w:rsid w:val="00B63251"/>
    <w:rsid w:val="00B65FDE"/>
    <w:rsid w:val="00B67416"/>
    <w:rsid w:val="00B67521"/>
    <w:rsid w:val="00B676BF"/>
    <w:rsid w:val="00B7151A"/>
    <w:rsid w:val="00B71D68"/>
    <w:rsid w:val="00B71EA9"/>
    <w:rsid w:val="00B72D1F"/>
    <w:rsid w:val="00B72D83"/>
    <w:rsid w:val="00B732F4"/>
    <w:rsid w:val="00B73315"/>
    <w:rsid w:val="00B7408B"/>
    <w:rsid w:val="00B74BFD"/>
    <w:rsid w:val="00B74FC4"/>
    <w:rsid w:val="00B75361"/>
    <w:rsid w:val="00B756DE"/>
    <w:rsid w:val="00B7602A"/>
    <w:rsid w:val="00B77105"/>
    <w:rsid w:val="00B802F3"/>
    <w:rsid w:val="00B803D8"/>
    <w:rsid w:val="00B83414"/>
    <w:rsid w:val="00B83F04"/>
    <w:rsid w:val="00B8436B"/>
    <w:rsid w:val="00B86D92"/>
    <w:rsid w:val="00B87103"/>
    <w:rsid w:val="00B877F7"/>
    <w:rsid w:val="00B909FD"/>
    <w:rsid w:val="00B90BF6"/>
    <w:rsid w:val="00B90EBB"/>
    <w:rsid w:val="00B92436"/>
    <w:rsid w:val="00B9244D"/>
    <w:rsid w:val="00B92D58"/>
    <w:rsid w:val="00B93C8B"/>
    <w:rsid w:val="00B93E61"/>
    <w:rsid w:val="00B9436E"/>
    <w:rsid w:val="00B95056"/>
    <w:rsid w:val="00B95DB0"/>
    <w:rsid w:val="00B95F36"/>
    <w:rsid w:val="00B96C34"/>
    <w:rsid w:val="00B97D49"/>
    <w:rsid w:val="00BA03C4"/>
    <w:rsid w:val="00BA0464"/>
    <w:rsid w:val="00BA1D55"/>
    <w:rsid w:val="00BA3727"/>
    <w:rsid w:val="00BA3F2B"/>
    <w:rsid w:val="00BA4419"/>
    <w:rsid w:val="00BA5D3B"/>
    <w:rsid w:val="00BA67AC"/>
    <w:rsid w:val="00BA6828"/>
    <w:rsid w:val="00BA6EDB"/>
    <w:rsid w:val="00BB00C9"/>
    <w:rsid w:val="00BB170C"/>
    <w:rsid w:val="00BB4196"/>
    <w:rsid w:val="00BB4CBF"/>
    <w:rsid w:val="00BB633A"/>
    <w:rsid w:val="00BB698E"/>
    <w:rsid w:val="00BB7770"/>
    <w:rsid w:val="00BB7818"/>
    <w:rsid w:val="00BB7A45"/>
    <w:rsid w:val="00BB7C2B"/>
    <w:rsid w:val="00BC011F"/>
    <w:rsid w:val="00BC1CFC"/>
    <w:rsid w:val="00BC2E8F"/>
    <w:rsid w:val="00BC3F62"/>
    <w:rsid w:val="00BC4303"/>
    <w:rsid w:val="00BC6F70"/>
    <w:rsid w:val="00BC7A91"/>
    <w:rsid w:val="00BD0B38"/>
    <w:rsid w:val="00BD223C"/>
    <w:rsid w:val="00BD2CFE"/>
    <w:rsid w:val="00BD3071"/>
    <w:rsid w:val="00BD31F5"/>
    <w:rsid w:val="00BD4A45"/>
    <w:rsid w:val="00BD594C"/>
    <w:rsid w:val="00BD62FA"/>
    <w:rsid w:val="00BD65F7"/>
    <w:rsid w:val="00BD69B8"/>
    <w:rsid w:val="00BE00C7"/>
    <w:rsid w:val="00BE01D8"/>
    <w:rsid w:val="00BE3ACB"/>
    <w:rsid w:val="00BE3B4F"/>
    <w:rsid w:val="00BE47EF"/>
    <w:rsid w:val="00BE6A03"/>
    <w:rsid w:val="00BE711F"/>
    <w:rsid w:val="00BE7184"/>
    <w:rsid w:val="00BE727E"/>
    <w:rsid w:val="00BE769A"/>
    <w:rsid w:val="00BE76A1"/>
    <w:rsid w:val="00BF1A26"/>
    <w:rsid w:val="00BF2127"/>
    <w:rsid w:val="00BF29AA"/>
    <w:rsid w:val="00BF3F4C"/>
    <w:rsid w:val="00BF4878"/>
    <w:rsid w:val="00BF4FB0"/>
    <w:rsid w:val="00BF50A7"/>
    <w:rsid w:val="00BF5498"/>
    <w:rsid w:val="00C0275B"/>
    <w:rsid w:val="00C02D58"/>
    <w:rsid w:val="00C02DB9"/>
    <w:rsid w:val="00C03F9A"/>
    <w:rsid w:val="00C0651D"/>
    <w:rsid w:val="00C06652"/>
    <w:rsid w:val="00C068C0"/>
    <w:rsid w:val="00C10407"/>
    <w:rsid w:val="00C12706"/>
    <w:rsid w:val="00C12F50"/>
    <w:rsid w:val="00C155A5"/>
    <w:rsid w:val="00C15C08"/>
    <w:rsid w:val="00C16066"/>
    <w:rsid w:val="00C16593"/>
    <w:rsid w:val="00C20E53"/>
    <w:rsid w:val="00C222F3"/>
    <w:rsid w:val="00C223C7"/>
    <w:rsid w:val="00C22F36"/>
    <w:rsid w:val="00C234A3"/>
    <w:rsid w:val="00C23C33"/>
    <w:rsid w:val="00C24050"/>
    <w:rsid w:val="00C2577E"/>
    <w:rsid w:val="00C25C7D"/>
    <w:rsid w:val="00C25F85"/>
    <w:rsid w:val="00C26018"/>
    <w:rsid w:val="00C27896"/>
    <w:rsid w:val="00C329F9"/>
    <w:rsid w:val="00C334A9"/>
    <w:rsid w:val="00C34032"/>
    <w:rsid w:val="00C35187"/>
    <w:rsid w:val="00C36657"/>
    <w:rsid w:val="00C40206"/>
    <w:rsid w:val="00C4049E"/>
    <w:rsid w:val="00C42A12"/>
    <w:rsid w:val="00C44982"/>
    <w:rsid w:val="00C44DBB"/>
    <w:rsid w:val="00C47EB5"/>
    <w:rsid w:val="00C507E4"/>
    <w:rsid w:val="00C50C74"/>
    <w:rsid w:val="00C50F2C"/>
    <w:rsid w:val="00C52393"/>
    <w:rsid w:val="00C55AEF"/>
    <w:rsid w:val="00C56690"/>
    <w:rsid w:val="00C568A1"/>
    <w:rsid w:val="00C57D48"/>
    <w:rsid w:val="00C600DC"/>
    <w:rsid w:val="00C62A8C"/>
    <w:rsid w:val="00C62B9C"/>
    <w:rsid w:val="00C6321F"/>
    <w:rsid w:val="00C647FD"/>
    <w:rsid w:val="00C666D2"/>
    <w:rsid w:val="00C67B5E"/>
    <w:rsid w:val="00C70CB0"/>
    <w:rsid w:val="00C70D30"/>
    <w:rsid w:val="00C70E99"/>
    <w:rsid w:val="00C71891"/>
    <w:rsid w:val="00C71F06"/>
    <w:rsid w:val="00C72530"/>
    <w:rsid w:val="00C7331F"/>
    <w:rsid w:val="00C7398E"/>
    <w:rsid w:val="00C744D9"/>
    <w:rsid w:val="00C74536"/>
    <w:rsid w:val="00C747F8"/>
    <w:rsid w:val="00C74905"/>
    <w:rsid w:val="00C75D00"/>
    <w:rsid w:val="00C7669D"/>
    <w:rsid w:val="00C77682"/>
    <w:rsid w:val="00C80096"/>
    <w:rsid w:val="00C8019C"/>
    <w:rsid w:val="00C80E8F"/>
    <w:rsid w:val="00C8103B"/>
    <w:rsid w:val="00C82E43"/>
    <w:rsid w:val="00C85979"/>
    <w:rsid w:val="00C85A3A"/>
    <w:rsid w:val="00C86346"/>
    <w:rsid w:val="00C8744E"/>
    <w:rsid w:val="00C875AF"/>
    <w:rsid w:val="00C87C52"/>
    <w:rsid w:val="00C9098D"/>
    <w:rsid w:val="00C90DED"/>
    <w:rsid w:val="00C91B0E"/>
    <w:rsid w:val="00C91CA9"/>
    <w:rsid w:val="00C944CA"/>
    <w:rsid w:val="00C94611"/>
    <w:rsid w:val="00C9473D"/>
    <w:rsid w:val="00C958EB"/>
    <w:rsid w:val="00C967CD"/>
    <w:rsid w:val="00C96BB1"/>
    <w:rsid w:val="00C97D15"/>
    <w:rsid w:val="00CA0490"/>
    <w:rsid w:val="00CA0628"/>
    <w:rsid w:val="00CA12AC"/>
    <w:rsid w:val="00CA1AFA"/>
    <w:rsid w:val="00CA2196"/>
    <w:rsid w:val="00CA2BFF"/>
    <w:rsid w:val="00CA4B60"/>
    <w:rsid w:val="00CA5F06"/>
    <w:rsid w:val="00CA5F5B"/>
    <w:rsid w:val="00CB36D6"/>
    <w:rsid w:val="00CB418C"/>
    <w:rsid w:val="00CB43A4"/>
    <w:rsid w:val="00CB5525"/>
    <w:rsid w:val="00CB5CE5"/>
    <w:rsid w:val="00CB6673"/>
    <w:rsid w:val="00CB6EE1"/>
    <w:rsid w:val="00CB78E8"/>
    <w:rsid w:val="00CC0195"/>
    <w:rsid w:val="00CC01C4"/>
    <w:rsid w:val="00CC06E5"/>
    <w:rsid w:val="00CC1255"/>
    <w:rsid w:val="00CC2779"/>
    <w:rsid w:val="00CC37FE"/>
    <w:rsid w:val="00CC4643"/>
    <w:rsid w:val="00CC4902"/>
    <w:rsid w:val="00CC5D7A"/>
    <w:rsid w:val="00CC5E70"/>
    <w:rsid w:val="00CC64D5"/>
    <w:rsid w:val="00CD07E8"/>
    <w:rsid w:val="00CD0DC7"/>
    <w:rsid w:val="00CD27B9"/>
    <w:rsid w:val="00CD3B05"/>
    <w:rsid w:val="00CD3B76"/>
    <w:rsid w:val="00CD427A"/>
    <w:rsid w:val="00CD453F"/>
    <w:rsid w:val="00CD45EA"/>
    <w:rsid w:val="00CD4AE2"/>
    <w:rsid w:val="00CD5C49"/>
    <w:rsid w:val="00CD5D2D"/>
    <w:rsid w:val="00CD5EEE"/>
    <w:rsid w:val="00CD5F88"/>
    <w:rsid w:val="00CD6B2E"/>
    <w:rsid w:val="00CE02E9"/>
    <w:rsid w:val="00CE1D15"/>
    <w:rsid w:val="00CE2067"/>
    <w:rsid w:val="00CE282F"/>
    <w:rsid w:val="00CE2D82"/>
    <w:rsid w:val="00CE3480"/>
    <w:rsid w:val="00CE3A36"/>
    <w:rsid w:val="00CE3B2F"/>
    <w:rsid w:val="00CE5D55"/>
    <w:rsid w:val="00CE6408"/>
    <w:rsid w:val="00CE724C"/>
    <w:rsid w:val="00CF03F7"/>
    <w:rsid w:val="00CF17D8"/>
    <w:rsid w:val="00CF2081"/>
    <w:rsid w:val="00CF21D8"/>
    <w:rsid w:val="00CF279F"/>
    <w:rsid w:val="00CF2CC2"/>
    <w:rsid w:val="00CF32E8"/>
    <w:rsid w:val="00CF53C8"/>
    <w:rsid w:val="00CF5857"/>
    <w:rsid w:val="00CF59D5"/>
    <w:rsid w:val="00CF5B7A"/>
    <w:rsid w:val="00CF69CF"/>
    <w:rsid w:val="00CF7FC6"/>
    <w:rsid w:val="00D00EDC"/>
    <w:rsid w:val="00D0146A"/>
    <w:rsid w:val="00D0209B"/>
    <w:rsid w:val="00D023E6"/>
    <w:rsid w:val="00D02F08"/>
    <w:rsid w:val="00D04FDF"/>
    <w:rsid w:val="00D05A15"/>
    <w:rsid w:val="00D0690B"/>
    <w:rsid w:val="00D106EC"/>
    <w:rsid w:val="00D10E5B"/>
    <w:rsid w:val="00D13689"/>
    <w:rsid w:val="00D13CCB"/>
    <w:rsid w:val="00D13DE6"/>
    <w:rsid w:val="00D144AB"/>
    <w:rsid w:val="00D1773E"/>
    <w:rsid w:val="00D2044D"/>
    <w:rsid w:val="00D20D2C"/>
    <w:rsid w:val="00D2240E"/>
    <w:rsid w:val="00D22D92"/>
    <w:rsid w:val="00D23BE7"/>
    <w:rsid w:val="00D24D0C"/>
    <w:rsid w:val="00D254D7"/>
    <w:rsid w:val="00D2591A"/>
    <w:rsid w:val="00D259F2"/>
    <w:rsid w:val="00D2611C"/>
    <w:rsid w:val="00D269BC"/>
    <w:rsid w:val="00D26C7A"/>
    <w:rsid w:val="00D304B7"/>
    <w:rsid w:val="00D3336D"/>
    <w:rsid w:val="00D3409A"/>
    <w:rsid w:val="00D34180"/>
    <w:rsid w:val="00D34737"/>
    <w:rsid w:val="00D34DA8"/>
    <w:rsid w:val="00D41D45"/>
    <w:rsid w:val="00D42AF5"/>
    <w:rsid w:val="00D42B36"/>
    <w:rsid w:val="00D42E8A"/>
    <w:rsid w:val="00D43509"/>
    <w:rsid w:val="00D43BE6"/>
    <w:rsid w:val="00D43E68"/>
    <w:rsid w:val="00D44B3C"/>
    <w:rsid w:val="00D45217"/>
    <w:rsid w:val="00D46C7F"/>
    <w:rsid w:val="00D46EEE"/>
    <w:rsid w:val="00D46EFD"/>
    <w:rsid w:val="00D503A4"/>
    <w:rsid w:val="00D506CA"/>
    <w:rsid w:val="00D50B9C"/>
    <w:rsid w:val="00D50ED4"/>
    <w:rsid w:val="00D5177E"/>
    <w:rsid w:val="00D523C4"/>
    <w:rsid w:val="00D52413"/>
    <w:rsid w:val="00D52EB1"/>
    <w:rsid w:val="00D5546C"/>
    <w:rsid w:val="00D55B21"/>
    <w:rsid w:val="00D5750B"/>
    <w:rsid w:val="00D57E3A"/>
    <w:rsid w:val="00D61FAD"/>
    <w:rsid w:val="00D62618"/>
    <w:rsid w:val="00D62E2D"/>
    <w:rsid w:val="00D631E7"/>
    <w:rsid w:val="00D65178"/>
    <w:rsid w:val="00D65625"/>
    <w:rsid w:val="00D6562B"/>
    <w:rsid w:val="00D669E3"/>
    <w:rsid w:val="00D7113E"/>
    <w:rsid w:val="00D71851"/>
    <w:rsid w:val="00D72B01"/>
    <w:rsid w:val="00D72B0C"/>
    <w:rsid w:val="00D739A3"/>
    <w:rsid w:val="00D73F4D"/>
    <w:rsid w:val="00D74D2A"/>
    <w:rsid w:val="00D751E9"/>
    <w:rsid w:val="00D76296"/>
    <w:rsid w:val="00D7668A"/>
    <w:rsid w:val="00D77998"/>
    <w:rsid w:val="00D80CC7"/>
    <w:rsid w:val="00D81949"/>
    <w:rsid w:val="00D8219D"/>
    <w:rsid w:val="00D825C6"/>
    <w:rsid w:val="00D83365"/>
    <w:rsid w:val="00D850C2"/>
    <w:rsid w:val="00D85E68"/>
    <w:rsid w:val="00D866DE"/>
    <w:rsid w:val="00D869D8"/>
    <w:rsid w:val="00D90ABA"/>
    <w:rsid w:val="00D91817"/>
    <w:rsid w:val="00D91C7E"/>
    <w:rsid w:val="00D93729"/>
    <w:rsid w:val="00D94DBF"/>
    <w:rsid w:val="00D96FF4"/>
    <w:rsid w:val="00D97B72"/>
    <w:rsid w:val="00D97D81"/>
    <w:rsid w:val="00DA0CEC"/>
    <w:rsid w:val="00DA0E9F"/>
    <w:rsid w:val="00DA2B35"/>
    <w:rsid w:val="00DA3580"/>
    <w:rsid w:val="00DA3676"/>
    <w:rsid w:val="00DA440E"/>
    <w:rsid w:val="00DA4427"/>
    <w:rsid w:val="00DA4484"/>
    <w:rsid w:val="00DA49C0"/>
    <w:rsid w:val="00DA4D8A"/>
    <w:rsid w:val="00DA511C"/>
    <w:rsid w:val="00DA6609"/>
    <w:rsid w:val="00DA6A42"/>
    <w:rsid w:val="00DB0A41"/>
    <w:rsid w:val="00DB0CF4"/>
    <w:rsid w:val="00DB0E8C"/>
    <w:rsid w:val="00DB1730"/>
    <w:rsid w:val="00DB198B"/>
    <w:rsid w:val="00DB2101"/>
    <w:rsid w:val="00DB3255"/>
    <w:rsid w:val="00DB4218"/>
    <w:rsid w:val="00DB4421"/>
    <w:rsid w:val="00DB7635"/>
    <w:rsid w:val="00DC0309"/>
    <w:rsid w:val="00DC0F23"/>
    <w:rsid w:val="00DC17BB"/>
    <w:rsid w:val="00DC21B3"/>
    <w:rsid w:val="00DC2B4B"/>
    <w:rsid w:val="00DC4780"/>
    <w:rsid w:val="00DC4DBA"/>
    <w:rsid w:val="00DC4DCE"/>
    <w:rsid w:val="00DC4E12"/>
    <w:rsid w:val="00DD0F50"/>
    <w:rsid w:val="00DD283C"/>
    <w:rsid w:val="00DD32A8"/>
    <w:rsid w:val="00DD377B"/>
    <w:rsid w:val="00DD6DFE"/>
    <w:rsid w:val="00DD7765"/>
    <w:rsid w:val="00DE02B9"/>
    <w:rsid w:val="00DE04EB"/>
    <w:rsid w:val="00DE0BAF"/>
    <w:rsid w:val="00DE1277"/>
    <w:rsid w:val="00DE1D84"/>
    <w:rsid w:val="00DE29B0"/>
    <w:rsid w:val="00DE2FD7"/>
    <w:rsid w:val="00DE3576"/>
    <w:rsid w:val="00DE3B35"/>
    <w:rsid w:val="00DE4730"/>
    <w:rsid w:val="00DE5434"/>
    <w:rsid w:val="00DE679F"/>
    <w:rsid w:val="00DE6858"/>
    <w:rsid w:val="00DE7886"/>
    <w:rsid w:val="00DF021B"/>
    <w:rsid w:val="00DF02F9"/>
    <w:rsid w:val="00DF342F"/>
    <w:rsid w:val="00DF3972"/>
    <w:rsid w:val="00DF5299"/>
    <w:rsid w:val="00DF60B2"/>
    <w:rsid w:val="00DF6804"/>
    <w:rsid w:val="00DF7FC5"/>
    <w:rsid w:val="00E000A8"/>
    <w:rsid w:val="00E00751"/>
    <w:rsid w:val="00E0082D"/>
    <w:rsid w:val="00E00A10"/>
    <w:rsid w:val="00E02016"/>
    <w:rsid w:val="00E02D83"/>
    <w:rsid w:val="00E04CA8"/>
    <w:rsid w:val="00E05787"/>
    <w:rsid w:val="00E06522"/>
    <w:rsid w:val="00E068B3"/>
    <w:rsid w:val="00E068D7"/>
    <w:rsid w:val="00E0690C"/>
    <w:rsid w:val="00E07176"/>
    <w:rsid w:val="00E121A4"/>
    <w:rsid w:val="00E1233A"/>
    <w:rsid w:val="00E123C6"/>
    <w:rsid w:val="00E12663"/>
    <w:rsid w:val="00E139CD"/>
    <w:rsid w:val="00E14117"/>
    <w:rsid w:val="00E1488B"/>
    <w:rsid w:val="00E148B0"/>
    <w:rsid w:val="00E20BFE"/>
    <w:rsid w:val="00E20C46"/>
    <w:rsid w:val="00E22876"/>
    <w:rsid w:val="00E2334A"/>
    <w:rsid w:val="00E23440"/>
    <w:rsid w:val="00E23BEE"/>
    <w:rsid w:val="00E24039"/>
    <w:rsid w:val="00E2487E"/>
    <w:rsid w:val="00E25E10"/>
    <w:rsid w:val="00E30F88"/>
    <w:rsid w:val="00E3257C"/>
    <w:rsid w:val="00E33868"/>
    <w:rsid w:val="00E3423E"/>
    <w:rsid w:val="00E35D3D"/>
    <w:rsid w:val="00E374FD"/>
    <w:rsid w:val="00E37F03"/>
    <w:rsid w:val="00E403EF"/>
    <w:rsid w:val="00E4062C"/>
    <w:rsid w:val="00E406A4"/>
    <w:rsid w:val="00E4381D"/>
    <w:rsid w:val="00E44725"/>
    <w:rsid w:val="00E452FD"/>
    <w:rsid w:val="00E45931"/>
    <w:rsid w:val="00E46F22"/>
    <w:rsid w:val="00E477C2"/>
    <w:rsid w:val="00E500BC"/>
    <w:rsid w:val="00E50BC9"/>
    <w:rsid w:val="00E5104C"/>
    <w:rsid w:val="00E520E0"/>
    <w:rsid w:val="00E53D0D"/>
    <w:rsid w:val="00E5454E"/>
    <w:rsid w:val="00E5550E"/>
    <w:rsid w:val="00E56194"/>
    <w:rsid w:val="00E56273"/>
    <w:rsid w:val="00E56BC9"/>
    <w:rsid w:val="00E57244"/>
    <w:rsid w:val="00E601BC"/>
    <w:rsid w:val="00E60559"/>
    <w:rsid w:val="00E6082B"/>
    <w:rsid w:val="00E6138A"/>
    <w:rsid w:val="00E615EC"/>
    <w:rsid w:val="00E61993"/>
    <w:rsid w:val="00E61B41"/>
    <w:rsid w:val="00E625DA"/>
    <w:rsid w:val="00E63042"/>
    <w:rsid w:val="00E635E1"/>
    <w:rsid w:val="00E63B7A"/>
    <w:rsid w:val="00E64AA0"/>
    <w:rsid w:val="00E65028"/>
    <w:rsid w:val="00E65222"/>
    <w:rsid w:val="00E6634F"/>
    <w:rsid w:val="00E6753D"/>
    <w:rsid w:val="00E67DA1"/>
    <w:rsid w:val="00E7122A"/>
    <w:rsid w:val="00E71B31"/>
    <w:rsid w:val="00E71FD9"/>
    <w:rsid w:val="00E7295A"/>
    <w:rsid w:val="00E72FEF"/>
    <w:rsid w:val="00E73D76"/>
    <w:rsid w:val="00E73E0E"/>
    <w:rsid w:val="00E74992"/>
    <w:rsid w:val="00E75881"/>
    <w:rsid w:val="00E75FB9"/>
    <w:rsid w:val="00E763BC"/>
    <w:rsid w:val="00E8497A"/>
    <w:rsid w:val="00E84E31"/>
    <w:rsid w:val="00E85F0A"/>
    <w:rsid w:val="00E8610C"/>
    <w:rsid w:val="00E8652F"/>
    <w:rsid w:val="00E87FF1"/>
    <w:rsid w:val="00E908CE"/>
    <w:rsid w:val="00E90EEC"/>
    <w:rsid w:val="00E91EED"/>
    <w:rsid w:val="00E925E3"/>
    <w:rsid w:val="00E95525"/>
    <w:rsid w:val="00E95C25"/>
    <w:rsid w:val="00E95D7F"/>
    <w:rsid w:val="00E960A2"/>
    <w:rsid w:val="00E96C2A"/>
    <w:rsid w:val="00E97522"/>
    <w:rsid w:val="00E97B48"/>
    <w:rsid w:val="00EA00B8"/>
    <w:rsid w:val="00EA11ED"/>
    <w:rsid w:val="00EA1CA0"/>
    <w:rsid w:val="00EA25B1"/>
    <w:rsid w:val="00EA2CF9"/>
    <w:rsid w:val="00EA3C4C"/>
    <w:rsid w:val="00EA4006"/>
    <w:rsid w:val="00EA45A2"/>
    <w:rsid w:val="00EA46A5"/>
    <w:rsid w:val="00EA522A"/>
    <w:rsid w:val="00EA58A6"/>
    <w:rsid w:val="00EA6A6A"/>
    <w:rsid w:val="00EA77C5"/>
    <w:rsid w:val="00EA7B96"/>
    <w:rsid w:val="00EB02E2"/>
    <w:rsid w:val="00EB1FDB"/>
    <w:rsid w:val="00EB2099"/>
    <w:rsid w:val="00EB250E"/>
    <w:rsid w:val="00EB2B87"/>
    <w:rsid w:val="00EB2D75"/>
    <w:rsid w:val="00EB4823"/>
    <w:rsid w:val="00EB5473"/>
    <w:rsid w:val="00EB54F9"/>
    <w:rsid w:val="00EB7C16"/>
    <w:rsid w:val="00EC0778"/>
    <w:rsid w:val="00EC1650"/>
    <w:rsid w:val="00EC1791"/>
    <w:rsid w:val="00EC1D5B"/>
    <w:rsid w:val="00EC1DB1"/>
    <w:rsid w:val="00EC3028"/>
    <w:rsid w:val="00EC304B"/>
    <w:rsid w:val="00EC4498"/>
    <w:rsid w:val="00EC4CFB"/>
    <w:rsid w:val="00EC4FD1"/>
    <w:rsid w:val="00EC52CA"/>
    <w:rsid w:val="00EC56ED"/>
    <w:rsid w:val="00ED05E5"/>
    <w:rsid w:val="00ED0E62"/>
    <w:rsid w:val="00ED183B"/>
    <w:rsid w:val="00ED2B58"/>
    <w:rsid w:val="00ED2D6B"/>
    <w:rsid w:val="00ED2E34"/>
    <w:rsid w:val="00ED39E8"/>
    <w:rsid w:val="00ED3BA9"/>
    <w:rsid w:val="00ED4145"/>
    <w:rsid w:val="00ED4E3D"/>
    <w:rsid w:val="00ED5141"/>
    <w:rsid w:val="00ED5233"/>
    <w:rsid w:val="00ED5DC2"/>
    <w:rsid w:val="00ED6C78"/>
    <w:rsid w:val="00ED7698"/>
    <w:rsid w:val="00EE0BB2"/>
    <w:rsid w:val="00EE2A27"/>
    <w:rsid w:val="00EE31E4"/>
    <w:rsid w:val="00EE34C3"/>
    <w:rsid w:val="00EE3577"/>
    <w:rsid w:val="00EE4DA8"/>
    <w:rsid w:val="00EE52EC"/>
    <w:rsid w:val="00EE59E6"/>
    <w:rsid w:val="00EE6700"/>
    <w:rsid w:val="00EF1D7F"/>
    <w:rsid w:val="00EF2853"/>
    <w:rsid w:val="00EF2ED4"/>
    <w:rsid w:val="00EF3D51"/>
    <w:rsid w:val="00EF4A16"/>
    <w:rsid w:val="00EF4EC0"/>
    <w:rsid w:val="00EF5A79"/>
    <w:rsid w:val="00EF652B"/>
    <w:rsid w:val="00F00441"/>
    <w:rsid w:val="00F01E74"/>
    <w:rsid w:val="00F01FD7"/>
    <w:rsid w:val="00F021A8"/>
    <w:rsid w:val="00F02D54"/>
    <w:rsid w:val="00F03296"/>
    <w:rsid w:val="00F053E4"/>
    <w:rsid w:val="00F06D65"/>
    <w:rsid w:val="00F12642"/>
    <w:rsid w:val="00F13D0C"/>
    <w:rsid w:val="00F14628"/>
    <w:rsid w:val="00F17DEF"/>
    <w:rsid w:val="00F200A8"/>
    <w:rsid w:val="00F2061F"/>
    <w:rsid w:val="00F235EF"/>
    <w:rsid w:val="00F23FC5"/>
    <w:rsid w:val="00F2555F"/>
    <w:rsid w:val="00F25A57"/>
    <w:rsid w:val="00F26164"/>
    <w:rsid w:val="00F26AAA"/>
    <w:rsid w:val="00F30879"/>
    <w:rsid w:val="00F3090F"/>
    <w:rsid w:val="00F31D98"/>
    <w:rsid w:val="00F32391"/>
    <w:rsid w:val="00F32F62"/>
    <w:rsid w:val="00F335AF"/>
    <w:rsid w:val="00F359EE"/>
    <w:rsid w:val="00F35B13"/>
    <w:rsid w:val="00F3664D"/>
    <w:rsid w:val="00F3726B"/>
    <w:rsid w:val="00F401B2"/>
    <w:rsid w:val="00F40430"/>
    <w:rsid w:val="00F410E7"/>
    <w:rsid w:val="00F41129"/>
    <w:rsid w:val="00F41ED7"/>
    <w:rsid w:val="00F4625B"/>
    <w:rsid w:val="00F46801"/>
    <w:rsid w:val="00F47175"/>
    <w:rsid w:val="00F47630"/>
    <w:rsid w:val="00F51270"/>
    <w:rsid w:val="00F55404"/>
    <w:rsid w:val="00F5547E"/>
    <w:rsid w:val="00F55C19"/>
    <w:rsid w:val="00F55D61"/>
    <w:rsid w:val="00F57032"/>
    <w:rsid w:val="00F60B5E"/>
    <w:rsid w:val="00F6146D"/>
    <w:rsid w:val="00F6160E"/>
    <w:rsid w:val="00F62F01"/>
    <w:rsid w:val="00F63D75"/>
    <w:rsid w:val="00F6423B"/>
    <w:rsid w:val="00F65658"/>
    <w:rsid w:val="00F65B28"/>
    <w:rsid w:val="00F6684F"/>
    <w:rsid w:val="00F70D77"/>
    <w:rsid w:val="00F7124A"/>
    <w:rsid w:val="00F71481"/>
    <w:rsid w:val="00F71E35"/>
    <w:rsid w:val="00F72EF2"/>
    <w:rsid w:val="00F74CB6"/>
    <w:rsid w:val="00F7743D"/>
    <w:rsid w:val="00F803D4"/>
    <w:rsid w:val="00F8044D"/>
    <w:rsid w:val="00F82E1B"/>
    <w:rsid w:val="00F82F50"/>
    <w:rsid w:val="00F831C0"/>
    <w:rsid w:val="00F83C0A"/>
    <w:rsid w:val="00F84092"/>
    <w:rsid w:val="00F85621"/>
    <w:rsid w:val="00F8606E"/>
    <w:rsid w:val="00F86580"/>
    <w:rsid w:val="00F876DE"/>
    <w:rsid w:val="00F91025"/>
    <w:rsid w:val="00F911D0"/>
    <w:rsid w:val="00F93308"/>
    <w:rsid w:val="00F9512D"/>
    <w:rsid w:val="00F95EEC"/>
    <w:rsid w:val="00F96024"/>
    <w:rsid w:val="00F97137"/>
    <w:rsid w:val="00F97531"/>
    <w:rsid w:val="00FA00F2"/>
    <w:rsid w:val="00FA05DF"/>
    <w:rsid w:val="00FA067A"/>
    <w:rsid w:val="00FA171A"/>
    <w:rsid w:val="00FA182A"/>
    <w:rsid w:val="00FA1C3F"/>
    <w:rsid w:val="00FA3AFD"/>
    <w:rsid w:val="00FA47A8"/>
    <w:rsid w:val="00FA47F2"/>
    <w:rsid w:val="00FA4C7D"/>
    <w:rsid w:val="00FA584D"/>
    <w:rsid w:val="00FA58C6"/>
    <w:rsid w:val="00FA5A49"/>
    <w:rsid w:val="00FA676F"/>
    <w:rsid w:val="00FA6ABC"/>
    <w:rsid w:val="00FA6DF9"/>
    <w:rsid w:val="00FA7500"/>
    <w:rsid w:val="00FB0FC4"/>
    <w:rsid w:val="00FB192E"/>
    <w:rsid w:val="00FB25EC"/>
    <w:rsid w:val="00FB338A"/>
    <w:rsid w:val="00FB3D16"/>
    <w:rsid w:val="00FB4898"/>
    <w:rsid w:val="00FB4ADB"/>
    <w:rsid w:val="00FB67F4"/>
    <w:rsid w:val="00FC0944"/>
    <w:rsid w:val="00FC2469"/>
    <w:rsid w:val="00FC263B"/>
    <w:rsid w:val="00FC285D"/>
    <w:rsid w:val="00FC2C27"/>
    <w:rsid w:val="00FC2CA6"/>
    <w:rsid w:val="00FC379E"/>
    <w:rsid w:val="00FC38B1"/>
    <w:rsid w:val="00FC3F26"/>
    <w:rsid w:val="00FC4A88"/>
    <w:rsid w:val="00FC7A12"/>
    <w:rsid w:val="00FD1B3F"/>
    <w:rsid w:val="00FD378B"/>
    <w:rsid w:val="00FD4835"/>
    <w:rsid w:val="00FD5A27"/>
    <w:rsid w:val="00FD6166"/>
    <w:rsid w:val="00FD7B8E"/>
    <w:rsid w:val="00FE029C"/>
    <w:rsid w:val="00FE1523"/>
    <w:rsid w:val="00FE1527"/>
    <w:rsid w:val="00FE154F"/>
    <w:rsid w:val="00FE25D3"/>
    <w:rsid w:val="00FE3928"/>
    <w:rsid w:val="00FE451F"/>
    <w:rsid w:val="00FE58E7"/>
    <w:rsid w:val="00FE6187"/>
    <w:rsid w:val="00FF050F"/>
    <w:rsid w:val="00FF08B7"/>
    <w:rsid w:val="00FF266E"/>
    <w:rsid w:val="00FF2847"/>
    <w:rsid w:val="00FF2E72"/>
    <w:rsid w:val="00FF65F8"/>
    <w:rsid w:val="00FF6A38"/>
    <w:rsid w:val="00FF7C42"/>
    <w:rsid w:val="012D08F1"/>
    <w:rsid w:val="012F606D"/>
    <w:rsid w:val="013F45D0"/>
    <w:rsid w:val="01621749"/>
    <w:rsid w:val="01640D40"/>
    <w:rsid w:val="01885E88"/>
    <w:rsid w:val="020A163A"/>
    <w:rsid w:val="02151639"/>
    <w:rsid w:val="024651E5"/>
    <w:rsid w:val="026C6217"/>
    <w:rsid w:val="02C24BF1"/>
    <w:rsid w:val="02DC515B"/>
    <w:rsid w:val="02E40475"/>
    <w:rsid w:val="02F95332"/>
    <w:rsid w:val="0322417A"/>
    <w:rsid w:val="03266E20"/>
    <w:rsid w:val="036E22AD"/>
    <w:rsid w:val="03894248"/>
    <w:rsid w:val="0393522B"/>
    <w:rsid w:val="03A72764"/>
    <w:rsid w:val="03EB1846"/>
    <w:rsid w:val="042C4A18"/>
    <w:rsid w:val="043A0A4B"/>
    <w:rsid w:val="044C0C16"/>
    <w:rsid w:val="045278FB"/>
    <w:rsid w:val="04556D28"/>
    <w:rsid w:val="04712E76"/>
    <w:rsid w:val="04965593"/>
    <w:rsid w:val="04A42800"/>
    <w:rsid w:val="04B00549"/>
    <w:rsid w:val="04C47F00"/>
    <w:rsid w:val="054E2A1E"/>
    <w:rsid w:val="05560653"/>
    <w:rsid w:val="05780D78"/>
    <w:rsid w:val="057C552B"/>
    <w:rsid w:val="058A1323"/>
    <w:rsid w:val="058D7738"/>
    <w:rsid w:val="05926AFC"/>
    <w:rsid w:val="05972BB7"/>
    <w:rsid w:val="05F94DCD"/>
    <w:rsid w:val="06093262"/>
    <w:rsid w:val="061E095B"/>
    <w:rsid w:val="063668F6"/>
    <w:rsid w:val="06A71EBF"/>
    <w:rsid w:val="06AB0AFB"/>
    <w:rsid w:val="06DC7D9D"/>
    <w:rsid w:val="07645CBD"/>
    <w:rsid w:val="079330D0"/>
    <w:rsid w:val="07BA517B"/>
    <w:rsid w:val="07DA6922"/>
    <w:rsid w:val="08023127"/>
    <w:rsid w:val="084C7925"/>
    <w:rsid w:val="08801260"/>
    <w:rsid w:val="089550F0"/>
    <w:rsid w:val="089A313C"/>
    <w:rsid w:val="08D8516E"/>
    <w:rsid w:val="08F822C4"/>
    <w:rsid w:val="08F83B70"/>
    <w:rsid w:val="091841EC"/>
    <w:rsid w:val="09242161"/>
    <w:rsid w:val="09246605"/>
    <w:rsid w:val="094A20CE"/>
    <w:rsid w:val="096F58D4"/>
    <w:rsid w:val="09D1675C"/>
    <w:rsid w:val="09E71B0D"/>
    <w:rsid w:val="0A037FC9"/>
    <w:rsid w:val="0A0F2848"/>
    <w:rsid w:val="0A51342A"/>
    <w:rsid w:val="0A6830F6"/>
    <w:rsid w:val="0A6F4C00"/>
    <w:rsid w:val="0A720890"/>
    <w:rsid w:val="0A7662FC"/>
    <w:rsid w:val="0A8C7FBE"/>
    <w:rsid w:val="0A911A78"/>
    <w:rsid w:val="0A982E07"/>
    <w:rsid w:val="0AC143CC"/>
    <w:rsid w:val="0AE72969"/>
    <w:rsid w:val="0AFD0B42"/>
    <w:rsid w:val="0B154457"/>
    <w:rsid w:val="0B355907"/>
    <w:rsid w:val="0B59552E"/>
    <w:rsid w:val="0B646908"/>
    <w:rsid w:val="0B6D7DBB"/>
    <w:rsid w:val="0BA86FFA"/>
    <w:rsid w:val="0BD0275C"/>
    <w:rsid w:val="0BF7192C"/>
    <w:rsid w:val="0C0B6DAA"/>
    <w:rsid w:val="0C7320AE"/>
    <w:rsid w:val="0C8E0BA6"/>
    <w:rsid w:val="0CCF79FF"/>
    <w:rsid w:val="0D257E20"/>
    <w:rsid w:val="0D730AB3"/>
    <w:rsid w:val="0D771F0D"/>
    <w:rsid w:val="0D8A5F37"/>
    <w:rsid w:val="0D971664"/>
    <w:rsid w:val="0D9760BE"/>
    <w:rsid w:val="0DE91663"/>
    <w:rsid w:val="0DF45F1D"/>
    <w:rsid w:val="0E245572"/>
    <w:rsid w:val="0E623BB7"/>
    <w:rsid w:val="0E8B6F91"/>
    <w:rsid w:val="0EBB49F9"/>
    <w:rsid w:val="0F1E76BC"/>
    <w:rsid w:val="0F221A51"/>
    <w:rsid w:val="0F5A7DC0"/>
    <w:rsid w:val="0F6976EA"/>
    <w:rsid w:val="0FB3423F"/>
    <w:rsid w:val="0FBD0C1A"/>
    <w:rsid w:val="0FF02D9D"/>
    <w:rsid w:val="10125409"/>
    <w:rsid w:val="101D790A"/>
    <w:rsid w:val="10436AF4"/>
    <w:rsid w:val="105C75E2"/>
    <w:rsid w:val="10734102"/>
    <w:rsid w:val="107A6B6E"/>
    <w:rsid w:val="10863702"/>
    <w:rsid w:val="10F945B7"/>
    <w:rsid w:val="10FC16FA"/>
    <w:rsid w:val="111E48D6"/>
    <w:rsid w:val="112123E8"/>
    <w:rsid w:val="11280028"/>
    <w:rsid w:val="11457603"/>
    <w:rsid w:val="114809B7"/>
    <w:rsid w:val="11625F1D"/>
    <w:rsid w:val="116F3C27"/>
    <w:rsid w:val="117A4B2E"/>
    <w:rsid w:val="117F6ACF"/>
    <w:rsid w:val="11A95513"/>
    <w:rsid w:val="11CF0DA9"/>
    <w:rsid w:val="122B3491"/>
    <w:rsid w:val="12583BA5"/>
    <w:rsid w:val="1263370A"/>
    <w:rsid w:val="126E00D7"/>
    <w:rsid w:val="1283614B"/>
    <w:rsid w:val="129B159D"/>
    <w:rsid w:val="12B409FA"/>
    <w:rsid w:val="12E12E71"/>
    <w:rsid w:val="12FA2DD6"/>
    <w:rsid w:val="134C002D"/>
    <w:rsid w:val="138A27C4"/>
    <w:rsid w:val="13B251F2"/>
    <w:rsid w:val="13BA5B9C"/>
    <w:rsid w:val="13C133CE"/>
    <w:rsid w:val="13D11213"/>
    <w:rsid w:val="13E74E94"/>
    <w:rsid w:val="13E91193"/>
    <w:rsid w:val="13ED0102"/>
    <w:rsid w:val="14036F6F"/>
    <w:rsid w:val="14694243"/>
    <w:rsid w:val="14842657"/>
    <w:rsid w:val="149671C2"/>
    <w:rsid w:val="149D75A7"/>
    <w:rsid w:val="149E5962"/>
    <w:rsid w:val="149F36D9"/>
    <w:rsid w:val="14CC2610"/>
    <w:rsid w:val="14DC1B42"/>
    <w:rsid w:val="14ED1FA1"/>
    <w:rsid w:val="150B1006"/>
    <w:rsid w:val="151632A6"/>
    <w:rsid w:val="153E1E4A"/>
    <w:rsid w:val="157B135B"/>
    <w:rsid w:val="159642D1"/>
    <w:rsid w:val="15C07940"/>
    <w:rsid w:val="16225C7A"/>
    <w:rsid w:val="163343DC"/>
    <w:rsid w:val="163B7F69"/>
    <w:rsid w:val="16D9587F"/>
    <w:rsid w:val="16F76AD3"/>
    <w:rsid w:val="17041AF8"/>
    <w:rsid w:val="17213AFE"/>
    <w:rsid w:val="172779EC"/>
    <w:rsid w:val="172D3CAA"/>
    <w:rsid w:val="172F02DA"/>
    <w:rsid w:val="17350FEA"/>
    <w:rsid w:val="17A43544"/>
    <w:rsid w:val="17A53209"/>
    <w:rsid w:val="17E02C37"/>
    <w:rsid w:val="17F81389"/>
    <w:rsid w:val="181A0E43"/>
    <w:rsid w:val="18345F44"/>
    <w:rsid w:val="18686D72"/>
    <w:rsid w:val="18714364"/>
    <w:rsid w:val="187A34A3"/>
    <w:rsid w:val="188A728D"/>
    <w:rsid w:val="189664AC"/>
    <w:rsid w:val="18CE20EA"/>
    <w:rsid w:val="18E15580"/>
    <w:rsid w:val="18F86322"/>
    <w:rsid w:val="1984498C"/>
    <w:rsid w:val="1988673C"/>
    <w:rsid w:val="198A6011"/>
    <w:rsid w:val="19B359F3"/>
    <w:rsid w:val="19BA0623"/>
    <w:rsid w:val="19E36BDD"/>
    <w:rsid w:val="19F4792E"/>
    <w:rsid w:val="1A1D6E85"/>
    <w:rsid w:val="1A357F6B"/>
    <w:rsid w:val="1A494467"/>
    <w:rsid w:val="1A8041DB"/>
    <w:rsid w:val="1ABB1E60"/>
    <w:rsid w:val="1AE4406F"/>
    <w:rsid w:val="1AEF6D90"/>
    <w:rsid w:val="1B196C01"/>
    <w:rsid w:val="1B4855C5"/>
    <w:rsid w:val="1B692974"/>
    <w:rsid w:val="1BA84E74"/>
    <w:rsid w:val="1BDB66EA"/>
    <w:rsid w:val="1C3778A2"/>
    <w:rsid w:val="1C7C43BA"/>
    <w:rsid w:val="1C8054A9"/>
    <w:rsid w:val="1CCC06EE"/>
    <w:rsid w:val="1CF3016C"/>
    <w:rsid w:val="1D1D08A1"/>
    <w:rsid w:val="1D250EDA"/>
    <w:rsid w:val="1D385D84"/>
    <w:rsid w:val="1D4C431A"/>
    <w:rsid w:val="1D6D11EC"/>
    <w:rsid w:val="1D7A27EC"/>
    <w:rsid w:val="1D7C0C5B"/>
    <w:rsid w:val="1E163811"/>
    <w:rsid w:val="1E430E84"/>
    <w:rsid w:val="1E443011"/>
    <w:rsid w:val="1E791675"/>
    <w:rsid w:val="1EEA7576"/>
    <w:rsid w:val="1F262338"/>
    <w:rsid w:val="1F4268AD"/>
    <w:rsid w:val="1F8A5E81"/>
    <w:rsid w:val="1F974803"/>
    <w:rsid w:val="1FE70832"/>
    <w:rsid w:val="202257EE"/>
    <w:rsid w:val="202F42C5"/>
    <w:rsid w:val="206E5844"/>
    <w:rsid w:val="207F29FC"/>
    <w:rsid w:val="20971013"/>
    <w:rsid w:val="210448FA"/>
    <w:rsid w:val="21494A03"/>
    <w:rsid w:val="216D772D"/>
    <w:rsid w:val="21997739"/>
    <w:rsid w:val="21C978F2"/>
    <w:rsid w:val="221B6C29"/>
    <w:rsid w:val="22A2261D"/>
    <w:rsid w:val="22C555A7"/>
    <w:rsid w:val="22DF0C3F"/>
    <w:rsid w:val="2310373B"/>
    <w:rsid w:val="23205B42"/>
    <w:rsid w:val="233D4C2E"/>
    <w:rsid w:val="23795C57"/>
    <w:rsid w:val="237E2DED"/>
    <w:rsid w:val="23864FBF"/>
    <w:rsid w:val="23A65144"/>
    <w:rsid w:val="23C368E3"/>
    <w:rsid w:val="23C45AE8"/>
    <w:rsid w:val="23F0296C"/>
    <w:rsid w:val="23FB786F"/>
    <w:rsid w:val="240656CC"/>
    <w:rsid w:val="24135D3A"/>
    <w:rsid w:val="24470409"/>
    <w:rsid w:val="24516953"/>
    <w:rsid w:val="246D02AA"/>
    <w:rsid w:val="24A53903"/>
    <w:rsid w:val="24B07E84"/>
    <w:rsid w:val="24C04193"/>
    <w:rsid w:val="24EA5A45"/>
    <w:rsid w:val="250F50F2"/>
    <w:rsid w:val="254A476E"/>
    <w:rsid w:val="25794F23"/>
    <w:rsid w:val="257E2241"/>
    <w:rsid w:val="259455FA"/>
    <w:rsid w:val="25A62424"/>
    <w:rsid w:val="25E45536"/>
    <w:rsid w:val="26345C82"/>
    <w:rsid w:val="26611A28"/>
    <w:rsid w:val="267214EB"/>
    <w:rsid w:val="268A30D0"/>
    <w:rsid w:val="26A46B74"/>
    <w:rsid w:val="26AC2B80"/>
    <w:rsid w:val="271020BE"/>
    <w:rsid w:val="2717514C"/>
    <w:rsid w:val="272F6449"/>
    <w:rsid w:val="27742FFB"/>
    <w:rsid w:val="27910EB2"/>
    <w:rsid w:val="27AB4887"/>
    <w:rsid w:val="27C82265"/>
    <w:rsid w:val="27D364A4"/>
    <w:rsid w:val="27EC3393"/>
    <w:rsid w:val="281B646E"/>
    <w:rsid w:val="281F026C"/>
    <w:rsid w:val="2886390B"/>
    <w:rsid w:val="28A31A75"/>
    <w:rsid w:val="28AC5DCE"/>
    <w:rsid w:val="28B47FB3"/>
    <w:rsid w:val="28D64960"/>
    <w:rsid w:val="29286E25"/>
    <w:rsid w:val="29606AF1"/>
    <w:rsid w:val="296E1C48"/>
    <w:rsid w:val="297168A5"/>
    <w:rsid w:val="29A64FC4"/>
    <w:rsid w:val="29A872DC"/>
    <w:rsid w:val="29D128FA"/>
    <w:rsid w:val="2A036979"/>
    <w:rsid w:val="2A0C65CE"/>
    <w:rsid w:val="2A6254EB"/>
    <w:rsid w:val="2A68171A"/>
    <w:rsid w:val="2AA1438E"/>
    <w:rsid w:val="2AB61AE7"/>
    <w:rsid w:val="2AC76C16"/>
    <w:rsid w:val="2B480D53"/>
    <w:rsid w:val="2B5D17D7"/>
    <w:rsid w:val="2B75657C"/>
    <w:rsid w:val="2B870602"/>
    <w:rsid w:val="2BD34AB9"/>
    <w:rsid w:val="2C121686"/>
    <w:rsid w:val="2C183304"/>
    <w:rsid w:val="2C1B0D4A"/>
    <w:rsid w:val="2C45359F"/>
    <w:rsid w:val="2C475683"/>
    <w:rsid w:val="2C4D177F"/>
    <w:rsid w:val="2C701096"/>
    <w:rsid w:val="2C7A0271"/>
    <w:rsid w:val="2CF03F85"/>
    <w:rsid w:val="2CF33142"/>
    <w:rsid w:val="2CFE66A2"/>
    <w:rsid w:val="2D594250"/>
    <w:rsid w:val="2D5E607D"/>
    <w:rsid w:val="2D855015"/>
    <w:rsid w:val="2DAA2596"/>
    <w:rsid w:val="2DED329C"/>
    <w:rsid w:val="2E1C1CE8"/>
    <w:rsid w:val="2E50005F"/>
    <w:rsid w:val="2EC7564F"/>
    <w:rsid w:val="2EEF31EF"/>
    <w:rsid w:val="2EF7784D"/>
    <w:rsid w:val="2F3B1E2F"/>
    <w:rsid w:val="2F8161F0"/>
    <w:rsid w:val="2FAF1ED5"/>
    <w:rsid w:val="30532F8E"/>
    <w:rsid w:val="306E3696"/>
    <w:rsid w:val="306F1ADE"/>
    <w:rsid w:val="3091782D"/>
    <w:rsid w:val="3095726A"/>
    <w:rsid w:val="30B6013E"/>
    <w:rsid w:val="30C3310C"/>
    <w:rsid w:val="31456F95"/>
    <w:rsid w:val="314E606C"/>
    <w:rsid w:val="315C608D"/>
    <w:rsid w:val="316A69FC"/>
    <w:rsid w:val="318F0210"/>
    <w:rsid w:val="318F6462"/>
    <w:rsid w:val="31BA7342"/>
    <w:rsid w:val="31EE7606"/>
    <w:rsid w:val="321D1B4A"/>
    <w:rsid w:val="32250554"/>
    <w:rsid w:val="32290665"/>
    <w:rsid w:val="32496611"/>
    <w:rsid w:val="324C4353"/>
    <w:rsid w:val="325E59CD"/>
    <w:rsid w:val="32D3237F"/>
    <w:rsid w:val="32D56359"/>
    <w:rsid w:val="32E36F4F"/>
    <w:rsid w:val="33046F06"/>
    <w:rsid w:val="330D4C99"/>
    <w:rsid w:val="331D7A9E"/>
    <w:rsid w:val="3330332D"/>
    <w:rsid w:val="336A286A"/>
    <w:rsid w:val="337F5778"/>
    <w:rsid w:val="33963CFE"/>
    <w:rsid w:val="339B7340"/>
    <w:rsid w:val="33D7599C"/>
    <w:rsid w:val="34136BF8"/>
    <w:rsid w:val="3424680A"/>
    <w:rsid w:val="342B1616"/>
    <w:rsid w:val="34545741"/>
    <w:rsid w:val="345E036E"/>
    <w:rsid w:val="34713F41"/>
    <w:rsid w:val="34753742"/>
    <w:rsid w:val="3498562E"/>
    <w:rsid w:val="349B558B"/>
    <w:rsid w:val="34A0428D"/>
    <w:rsid w:val="34D33E29"/>
    <w:rsid w:val="352670DE"/>
    <w:rsid w:val="35564207"/>
    <w:rsid w:val="35606565"/>
    <w:rsid w:val="35702107"/>
    <w:rsid w:val="35731BF7"/>
    <w:rsid w:val="35B0680E"/>
    <w:rsid w:val="360B1E2F"/>
    <w:rsid w:val="360E3A7E"/>
    <w:rsid w:val="36121A43"/>
    <w:rsid w:val="36571C67"/>
    <w:rsid w:val="369207E8"/>
    <w:rsid w:val="36BE795E"/>
    <w:rsid w:val="370F16D6"/>
    <w:rsid w:val="372C749C"/>
    <w:rsid w:val="373F3B9C"/>
    <w:rsid w:val="374D6389"/>
    <w:rsid w:val="37922808"/>
    <w:rsid w:val="37C16C4A"/>
    <w:rsid w:val="37CF521C"/>
    <w:rsid w:val="37E74B44"/>
    <w:rsid w:val="38020FD6"/>
    <w:rsid w:val="383538AD"/>
    <w:rsid w:val="387348B6"/>
    <w:rsid w:val="38831ACB"/>
    <w:rsid w:val="38C976B6"/>
    <w:rsid w:val="38CF35E8"/>
    <w:rsid w:val="38DD7AB3"/>
    <w:rsid w:val="390D1F0A"/>
    <w:rsid w:val="390E4F3A"/>
    <w:rsid w:val="396A5535"/>
    <w:rsid w:val="396D7F4B"/>
    <w:rsid w:val="39B0341A"/>
    <w:rsid w:val="39B93E43"/>
    <w:rsid w:val="39EE14FD"/>
    <w:rsid w:val="3A1E5033"/>
    <w:rsid w:val="3A2A4F7A"/>
    <w:rsid w:val="3A3E2DB7"/>
    <w:rsid w:val="3A614714"/>
    <w:rsid w:val="3A7C09D4"/>
    <w:rsid w:val="3A841132"/>
    <w:rsid w:val="3AAC5453"/>
    <w:rsid w:val="3AB962FE"/>
    <w:rsid w:val="3AE0388B"/>
    <w:rsid w:val="3AED0EBF"/>
    <w:rsid w:val="3AEF3EC0"/>
    <w:rsid w:val="3AF91595"/>
    <w:rsid w:val="3B4C5746"/>
    <w:rsid w:val="3B6D2846"/>
    <w:rsid w:val="3B8C4327"/>
    <w:rsid w:val="3B9D22A7"/>
    <w:rsid w:val="3BB84FCB"/>
    <w:rsid w:val="3BF227E9"/>
    <w:rsid w:val="3C367516"/>
    <w:rsid w:val="3C373E57"/>
    <w:rsid w:val="3C3E2F5F"/>
    <w:rsid w:val="3CA40DB9"/>
    <w:rsid w:val="3CBD56A5"/>
    <w:rsid w:val="3CCB6E1D"/>
    <w:rsid w:val="3CEC5155"/>
    <w:rsid w:val="3D104204"/>
    <w:rsid w:val="3D1E2826"/>
    <w:rsid w:val="3D205459"/>
    <w:rsid w:val="3D2B38FA"/>
    <w:rsid w:val="3D6A54CD"/>
    <w:rsid w:val="3D785FFC"/>
    <w:rsid w:val="3DA54918"/>
    <w:rsid w:val="3E4D6DC5"/>
    <w:rsid w:val="3E707EA5"/>
    <w:rsid w:val="3E733501"/>
    <w:rsid w:val="3E7C6574"/>
    <w:rsid w:val="3EA352FB"/>
    <w:rsid w:val="3EAB05F9"/>
    <w:rsid w:val="3EDE4585"/>
    <w:rsid w:val="3F0538C0"/>
    <w:rsid w:val="3F79434E"/>
    <w:rsid w:val="3F8C6436"/>
    <w:rsid w:val="3FB609F5"/>
    <w:rsid w:val="3FF01E71"/>
    <w:rsid w:val="40451701"/>
    <w:rsid w:val="40557E16"/>
    <w:rsid w:val="407231D7"/>
    <w:rsid w:val="40AF2D72"/>
    <w:rsid w:val="40CE724E"/>
    <w:rsid w:val="40E554D5"/>
    <w:rsid w:val="410F4DB9"/>
    <w:rsid w:val="413612E2"/>
    <w:rsid w:val="416C3CCC"/>
    <w:rsid w:val="41790595"/>
    <w:rsid w:val="41791DF6"/>
    <w:rsid w:val="4192796D"/>
    <w:rsid w:val="41A23F5B"/>
    <w:rsid w:val="41A3755A"/>
    <w:rsid w:val="41AE0B61"/>
    <w:rsid w:val="41CD097A"/>
    <w:rsid w:val="41D33DBC"/>
    <w:rsid w:val="424F22EC"/>
    <w:rsid w:val="42921370"/>
    <w:rsid w:val="42B01918"/>
    <w:rsid w:val="42C70E04"/>
    <w:rsid w:val="42CB1A33"/>
    <w:rsid w:val="42D9273C"/>
    <w:rsid w:val="42F14560"/>
    <w:rsid w:val="430768F8"/>
    <w:rsid w:val="430E1B28"/>
    <w:rsid w:val="432654DC"/>
    <w:rsid w:val="43362BE2"/>
    <w:rsid w:val="43A34A7D"/>
    <w:rsid w:val="43A53C99"/>
    <w:rsid w:val="43B753A5"/>
    <w:rsid w:val="43BD5855"/>
    <w:rsid w:val="4416031D"/>
    <w:rsid w:val="44251C6B"/>
    <w:rsid w:val="447D60B7"/>
    <w:rsid w:val="44D30B6A"/>
    <w:rsid w:val="44F86357"/>
    <w:rsid w:val="452E3D0A"/>
    <w:rsid w:val="454F5136"/>
    <w:rsid w:val="455628E6"/>
    <w:rsid w:val="45806396"/>
    <w:rsid w:val="45CB2A30"/>
    <w:rsid w:val="45F50E41"/>
    <w:rsid w:val="4608116A"/>
    <w:rsid w:val="461D1E37"/>
    <w:rsid w:val="463E3B5B"/>
    <w:rsid w:val="46433319"/>
    <w:rsid w:val="468123C6"/>
    <w:rsid w:val="46913751"/>
    <w:rsid w:val="46DC3AA0"/>
    <w:rsid w:val="471A1ED2"/>
    <w:rsid w:val="47436F5A"/>
    <w:rsid w:val="47604C12"/>
    <w:rsid w:val="47922210"/>
    <w:rsid w:val="47B40A19"/>
    <w:rsid w:val="47E32C0C"/>
    <w:rsid w:val="481A292B"/>
    <w:rsid w:val="48582D1F"/>
    <w:rsid w:val="48873713"/>
    <w:rsid w:val="48CE11C6"/>
    <w:rsid w:val="49563E5C"/>
    <w:rsid w:val="499056B1"/>
    <w:rsid w:val="4A3B6258"/>
    <w:rsid w:val="4A4065F6"/>
    <w:rsid w:val="4A4A4B72"/>
    <w:rsid w:val="4A4A6B36"/>
    <w:rsid w:val="4A5C2802"/>
    <w:rsid w:val="4A91758E"/>
    <w:rsid w:val="4A9A2971"/>
    <w:rsid w:val="4A9C4F16"/>
    <w:rsid w:val="4AE051E1"/>
    <w:rsid w:val="4AE5697A"/>
    <w:rsid w:val="4B0D25FB"/>
    <w:rsid w:val="4B1922E8"/>
    <w:rsid w:val="4B321EE0"/>
    <w:rsid w:val="4B375749"/>
    <w:rsid w:val="4B6D116B"/>
    <w:rsid w:val="4B712720"/>
    <w:rsid w:val="4B7C20CA"/>
    <w:rsid w:val="4B7E1BD4"/>
    <w:rsid w:val="4B8F5DC2"/>
    <w:rsid w:val="4B901606"/>
    <w:rsid w:val="4BA076A2"/>
    <w:rsid w:val="4BC77999"/>
    <w:rsid w:val="4BD73B3D"/>
    <w:rsid w:val="4BFC0F46"/>
    <w:rsid w:val="4C2318D6"/>
    <w:rsid w:val="4C706DD5"/>
    <w:rsid w:val="4C924C68"/>
    <w:rsid w:val="4CAA019C"/>
    <w:rsid w:val="4D5812A7"/>
    <w:rsid w:val="4DBF37D4"/>
    <w:rsid w:val="4DC81EF4"/>
    <w:rsid w:val="4DCF7EBB"/>
    <w:rsid w:val="4DDD6C4C"/>
    <w:rsid w:val="4E22224F"/>
    <w:rsid w:val="4E69340B"/>
    <w:rsid w:val="4E9609D8"/>
    <w:rsid w:val="4E963E7C"/>
    <w:rsid w:val="4EC1538E"/>
    <w:rsid w:val="4EF30E9A"/>
    <w:rsid w:val="4F1A33B7"/>
    <w:rsid w:val="4F4F0947"/>
    <w:rsid w:val="4F5B577E"/>
    <w:rsid w:val="4F5F526E"/>
    <w:rsid w:val="4F7A5C04"/>
    <w:rsid w:val="4FCD1790"/>
    <w:rsid w:val="4FDE6F60"/>
    <w:rsid w:val="50125E3D"/>
    <w:rsid w:val="503F5C36"/>
    <w:rsid w:val="505C4C07"/>
    <w:rsid w:val="50740BFD"/>
    <w:rsid w:val="50767153"/>
    <w:rsid w:val="50AB6A20"/>
    <w:rsid w:val="50AE1859"/>
    <w:rsid w:val="50C673E2"/>
    <w:rsid w:val="50EF3E9B"/>
    <w:rsid w:val="50F322CF"/>
    <w:rsid w:val="50F34B8F"/>
    <w:rsid w:val="50FA039E"/>
    <w:rsid w:val="51033608"/>
    <w:rsid w:val="510B1687"/>
    <w:rsid w:val="510D6A5D"/>
    <w:rsid w:val="511A2D84"/>
    <w:rsid w:val="51543E3D"/>
    <w:rsid w:val="51A04F5D"/>
    <w:rsid w:val="51AF456A"/>
    <w:rsid w:val="51B4219B"/>
    <w:rsid w:val="51F704A7"/>
    <w:rsid w:val="523E17E6"/>
    <w:rsid w:val="524301A1"/>
    <w:rsid w:val="524A41CF"/>
    <w:rsid w:val="527A5F1B"/>
    <w:rsid w:val="528C45CC"/>
    <w:rsid w:val="52962FA3"/>
    <w:rsid w:val="52D06A32"/>
    <w:rsid w:val="52E41D67"/>
    <w:rsid w:val="52E85A38"/>
    <w:rsid w:val="53373D86"/>
    <w:rsid w:val="53403BE7"/>
    <w:rsid w:val="536B1F33"/>
    <w:rsid w:val="537D2167"/>
    <w:rsid w:val="53BF62DB"/>
    <w:rsid w:val="542E16B3"/>
    <w:rsid w:val="54452167"/>
    <w:rsid w:val="54754BEC"/>
    <w:rsid w:val="54D91136"/>
    <w:rsid w:val="54EF31C0"/>
    <w:rsid w:val="54F2448F"/>
    <w:rsid w:val="550D609A"/>
    <w:rsid w:val="55132EB9"/>
    <w:rsid w:val="55164621"/>
    <w:rsid w:val="55B05CB3"/>
    <w:rsid w:val="55E36CAA"/>
    <w:rsid w:val="564A58B7"/>
    <w:rsid w:val="56707D61"/>
    <w:rsid w:val="56796915"/>
    <w:rsid w:val="568264D8"/>
    <w:rsid w:val="56C403E7"/>
    <w:rsid w:val="56CF4A0A"/>
    <w:rsid w:val="56EB3FA6"/>
    <w:rsid w:val="57B70667"/>
    <w:rsid w:val="57BB0DD8"/>
    <w:rsid w:val="57FF2F44"/>
    <w:rsid w:val="580A39DC"/>
    <w:rsid w:val="581638A7"/>
    <w:rsid w:val="58240BB0"/>
    <w:rsid w:val="588717C9"/>
    <w:rsid w:val="588C20A6"/>
    <w:rsid w:val="58EB36CF"/>
    <w:rsid w:val="5903310E"/>
    <w:rsid w:val="59170025"/>
    <w:rsid w:val="59172716"/>
    <w:rsid w:val="594A5303"/>
    <w:rsid w:val="59B72299"/>
    <w:rsid w:val="59B909C9"/>
    <w:rsid w:val="59E81688"/>
    <w:rsid w:val="5A036542"/>
    <w:rsid w:val="5A1804F3"/>
    <w:rsid w:val="5A203AE8"/>
    <w:rsid w:val="5A4532B2"/>
    <w:rsid w:val="5A6E6B8A"/>
    <w:rsid w:val="5B280B1F"/>
    <w:rsid w:val="5B2829B8"/>
    <w:rsid w:val="5B4A632A"/>
    <w:rsid w:val="5B4D4C0B"/>
    <w:rsid w:val="5B6B32E9"/>
    <w:rsid w:val="5BAE016C"/>
    <w:rsid w:val="5C6E4D42"/>
    <w:rsid w:val="5C805C3A"/>
    <w:rsid w:val="5C92414E"/>
    <w:rsid w:val="5C967E47"/>
    <w:rsid w:val="5CC6692D"/>
    <w:rsid w:val="5CD31049"/>
    <w:rsid w:val="5CD57027"/>
    <w:rsid w:val="5CDF79EE"/>
    <w:rsid w:val="5CE81078"/>
    <w:rsid w:val="5D261179"/>
    <w:rsid w:val="5D4F5542"/>
    <w:rsid w:val="5D79399F"/>
    <w:rsid w:val="5D964551"/>
    <w:rsid w:val="5DA41BA9"/>
    <w:rsid w:val="5DE44ECD"/>
    <w:rsid w:val="5DE9106B"/>
    <w:rsid w:val="5EC4266B"/>
    <w:rsid w:val="5EDB472C"/>
    <w:rsid w:val="5EF807EB"/>
    <w:rsid w:val="5F0E0117"/>
    <w:rsid w:val="5F1C2834"/>
    <w:rsid w:val="5F494D5F"/>
    <w:rsid w:val="5F5C16FC"/>
    <w:rsid w:val="5FA8656D"/>
    <w:rsid w:val="5FB52C88"/>
    <w:rsid w:val="5FE50769"/>
    <w:rsid w:val="5FE61386"/>
    <w:rsid w:val="5FFA4B83"/>
    <w:rsid w:val="603E7BF6"/>
    <w:rsid w:val="60786920"/>
    <w:rsid w:val="609D222E"/>
    <w:rsid w:val="609E609A"/>
    <w:rsid w:val="60BA5CE1"/>
    <w:rsid w:val="60FA2D34"/>
    <w:rsid w:val="61016185"/>
    <w:rsid w:val="61556553"/>
    <w:rsid w:val="616643AF"/>
    <w:rsid w:val="61926DDD"/>
    <w:rsid w:val="619501A8"/>
    <w:rsid w:val="61CE1043"/>
    <w:rsid w:val="61DD5634"/>
    <w:rsid w:val="61E4677E"/>
    <w:rsid w:val="61FC0FEA"/>
    <w:rsid w:val="6201651E"/>
    <w:rsid w:val="621B33AF"/>
    <w:rsid w:val="62230D10"/>
    <w:rsid w:val="623819C4"/>
    <w:rsid w:val="62546789"/>
    <w:rsid w:val="6259203D"/>
    <w:rsid w:val="62800780"/>
    <w:rsid w:val="629628FD"/>
    <w:rsid w:val="62A019CE"/>
    <w:rsid w:val="62BB500E"/>
    <w:rsid w:val="63627211"/>
    <w:rsid w:val="636D5D54"/>
    <w:rsid w:val="638E5891"/>
    <w:rsid w:val="63A13A3F"/>
    <w:rsid w:val="643E380C"/>
    <w:rsid w:val="646A4EE1"/>
    <w:rsid w:val="64845C90"/>
    <w:rsid w:val="64942FF1"/>
    <w:rsid w:val="64DE058B"/>
    <w:rsid w:val="64E35011"/>
    <w:rsid w:val="64FB04B9"/>
    <w:rsid w:val="653B410A"/>
    <w:rsid w:val="65506D17"/>
    <w:rsid w:val="65803907"/>
    <w:rsid w:val="65B27163"/>
    <w:rsid w:val="65BB098D"/>
    <w:rsid w:val="66042274"/>
    <w:rsid w:val="660B715E"/>
    <w:rsid w:val="66580A9B"/>
    <w:rsid w:val="66AA6A39"/>
    <w:rsid w:val="66B2105C"/>
    <w:rsid w:val="670047E9"/>
    <w:rsid w:val="670267B3"/>
    <w:rsid w:val="672777C9"/>
    <w:rsid w:val="67402C60"/>
    <w:rsid w:val="67544A5E"/>
    <w:rsid w:val="6759214B"/>
    <w:rsid w:val="67B748CD"/>
    <w:rsid w:val="67B83316"/>
    <w:rsid w:val="67C43DFF"/>
    <w:rsid w:val="67C94571"/>
    <w:rsid w:val="680B2E81"/>
    <w:rsid w:val="68447EF6"/>
    <w:rsid w:val="68A25666"/>
    <w:rsid w:val="68AE52C9"/>
    <w:rsid w:val="68C657DD"/>
    <w:rsid w:val="68CD7912"/>
    <w:rsid w:val="69825989"/>
    <w:rsid w:val="69874452"/>
    <w:rsid w:val="69981651"/>
    <w:rsid w:val="69A21E94"/>
    <w:rsid w:val="69DC3106"/>
    <w:rsid w:val="69DD09CE"/>
    <w:rsid w:val="69F820EF"/>
    <w:rsid w:val="6A411217"/>
    <w:rsid w:val="6A722E5C"/>
    <w:rsid w:val="6A83578E"/>
    <w:rsid w:val="6AB5353A"/>
    <w:rsid w:val="6ABF4102"/>
    <w:rsid w:val="6AE47DB6"/>
    <w:rsid w:val="6B1E2C4D"/>
    <w:rsid w:val="6B252A70"/>
    <w:rsid w:val="6B3930F4"/>
    <w:rsid w:val="6B3A5986"/>
    <w:rsid w:val="6BAB24B1"/>
    <w:rsid w:val="6BE0578F"/>
    <w:rsid w:val="6BE22003"/>
    <w:rsid w:val="6C0D547B"/>
    <w:rsid w:val="6C0F54CE"/>
    <w:rsid w:val="6C154E66"/>
    <w:rsid w:val="6C350961"/>
    <w:rsid w:val="6C5C11C9"/>
    <w:rsid w:val="6C725096"/>
    <w:rsid w:val="6C8A1293"/>
    <w:rsid w:val="6C9E1E44"/>
    <w:rsid w:val="6CED3201"/>
    <w:rsid w:val="6D682B26"/>
    <w:rsid w:val="6D9E2FAE"/>
    <w:rsid w:val="6DBA4E09"/>
    <w:rsid w:val="6DC618A6"/>
    <w:rsid w:val="6DFE7BE5"/>
    <w:rsid w:val="6E483571"/>
    <w:rsid w:val="6E5242E3"/>
    <w:rsid w:val="6E6850E1"/>
    <w:rsid w:val="6E8403F6"/>
    <w:rsid w:val="6E9323DE"/>
    <w:rsid w:val="6EAF63B4"/>
    <w:rsid w:val="6ECD27A0"/>
    <w:rsid w:val="6F7A2A9D"/>
    <w:rsid w:val="6F845F6F"/>
    <w:rsid w:val="701F4144"/>
    <w:rsid w:val="702A339F"/>
    <w:rsid w:val="70404539"/>
    <w:rsid w:val="70432C4D"/>
    <w:rsid w:val="70483C33"/>
    <w:rsid w:val="709855B3"/>
    <w:rsid w:val="70B2124A"/>
    <w:rsid w:val="70BC0018"/>
    <w:rsid w:val="714040DC"/>
    <w:rsid w:val="71542301"/>
    <w:rsid w:val="716E7B31"/>
    <w:rsid w:val="71AD1A11"/>
    <w:rsid w:val="71B764CB"/>
    <w:rsid w:val="71BF7D94"/>
    <w:rsid w:val="71C561B9"/>
    <w:rsid w:val="71D73C15"/>
    <w:rsid w:val="71E80C9B"/>
    <w:rsid w:val="7200668B"/>
    <w:rsid w:val="720D425E"/>
    <w:rsid w:val="7227091C"/>
    <w:rsid w:val="72764804"/>
    <w:rsid w:val="729D03AB"/>
    <w:rsid w:val="72B7787D"/>
    <w:rsid w:val="72D237C0"/>
    <w:rsid w:val="72E97699"/>
    <w:rsid w:val="72F0605A"/>
    <w:rsid w:val="731A4A45"/>
    <w:rsid w:val="735E7467"/>
    <w:rsid w:val="7374452A"/>
    <w:rsid w:val="7399224D"/>
    <w:rsid w:val="73B60D71"/>
    <w:rsid w:val="73F95C13"/>
    <w:rsid w:val="74786307"/>
    <w:rsid w:val="74877515"/>
    <w:rsid w:val="748C0004"/>
    <w:rsid w:val="74C0557B"/>
    <w:rsid w:val="74E818C1"/>
    <w:rsid w:val="74F30449"/>
    <w:rsid w:val="755346A8"/>
    <w:rsid w:val="75B85125"/>
    <w:rsid w:val="75F12B6D"/>
    <w:rsid w:val="76006F49"/>
    <w:rsid w:val="760E5613"/>
    <w:rsid w:val="765C6FAE"/>
    <w:rsid w:val="769E5B68"/>
    <w:rsid w:val="76BE1FCB"/>
    <w:rsid w:val="77002F93"/>
    <w:rsid w:val="770D3F6E"/>
    <w:rsid w:val="771E686A"/>
    <w:rsid w:val="77387FCF"/>
    <w:rsid w:val="77C875A5"/>
    <w:rsid w:val="77CA638B"/>
    <w:rsid w:val="78085BF3"/>
    <w:rsid w:val="78134F75"/>
    <w:rsid w:val="782F108D"/>
    <w:rsid w:val="7856208C"/>
    <w:rsid w:val="7860628E"/>
    <w:rsid w:val="78900E42"/>
    <w:rsid w:val="78C5192F"/>
    <w:rsid w:val="78C74427"/>
    <w:rsid w:val="78E264AC"/>
    <w:rsid w:val="78FC61DE"/>
    <w:rsid w:val="79053EE1"/>
    <w:rsid w:val="793122E3"/>
    <w:rsid w:val="793F7886"/>
    <w:rsid w:val="79435A80"/>
    <w:rsid w:val="7961380D"/>
    <w:rsid w:val="797D4ED7"/>
    <w:rsid w:val="79856DD0"/>
    <w:rsid w:val="79BA6FC3"/>
    <w:rsid w:val="79E57FEE"/>
    <w:rsid w:val="7A5101BC"/>
    <w:rsid w:val="7A6A5F24"/>
    <w:rsid w:val="7A6F5AB6"/>
    <w:rsid w:val="7A816189"/>
    <w:rsid w:val="7B0703E4"/>
    <w:rsid w:val="7B487945"/>
    <w:rsid w:val="7B4A538E"/>
    <w:rsid w:val="7B737914"/>
    <w:rsid w:val="7B7D4202"/>
    <w:rsid w:val="7BB476CE"/>
    <w:rsid w:val="7BC32EDE"/>
    <w:rsid w:val="7BD302C6"/>
    <w:rsid w:val="7BD76009"/>
    <w:rsid w:val="7C331E95"/>
    <w:rsid w:val="7C57508E"/>
    <w:rsid w:val="7C9064ED"/>
    <w:rsid w:val="7D012C11"/>
    <w:rsid w:val="7D2E294B"/>
    <w:rsid w:val="7D3B32B1"/>
    <w:rsid w:val="7D697134"/>
    <w:rsid w:val="7DA64827"/>
    <w:rsid w:val="7DB76632"/>
    <w:rsid w:val="7DF65A34"/>
    <w:rsid w:val="7E464D80"/>
    <w:rsid w:val="7E9120D1"/>
    <w:rsid w:val="7EE30820"/>
    <w:rsid w:val="7F4E3246"/>
    <w:rsid w:val="7F9A1827"/>
    <w:rsid w:val="7FD821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qFormat="1" w:unhideWhenUsed="0" w:uiPriority="0"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qFormat="1" w:uiPriority="99" w:semiHidden="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uiPriority="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1"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5"/>
    <w:next w:val="1"/>
    <w:link w:val="71"/>
    <w:qFormat/>
    <w:uiPriority w:val="0"/>
    <w:pPr>
      <w:keepNext/>
      <w:jc w:val="left"/>
      <w:outlineLvl w:val="0"/>
    </w:pPr>
    <w:rPr>
      <w:sz w:val="28"/>
    </w:rPr>
  </w:style>
  <w:style w:type="paragraph" w:styleId="6">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2"/>
    <w:qFormat/>
    <w:uiPriority w:val="0"/>
    <w:pPr>
      <w:keepNext/>
      <w:keepLines/>
      <w:spacing w:before="260" w:after="260" w:line="416" w:lineRule="auto"/>
      <w:outlineLvl w:val="2"/>
    </w:pPr>
    <w:rPr>
      <w:b/>
      <w:bCs/>
      <w:sz w:val="32"/>
      <w:szCs w:val="32"/>
    </w:rPr>
  </w:style>
  <w:style w:type="paragraph" w:styleId="8">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9">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0"/>
    <w:pPr>
      <w:ind w:firstLine="420"/>
    </w:pPr>
  </w:style>
  <w:style w:type="paragraph" w:styleId="3">
    <w:name w:val="toc 4"/>
    <w:basedOn w:val="1"/>
    <w:next w:val="1"/>
    <w:qFormat/>
    <w:uiPriority w:val="0"/>
    <w:pPr>
      <w:ind w:left="1260" w:leftChars="600"/>
    </w:pPr>
  </w:style>
  <w:style w:type="paragraph" w:styleId="5">
    <w:name w:val="Title"/>
    <w:basedOn w:val="1"/>
    <w:next w:val="1"/>
    <w:link w:val="60"/>
    <w:qFormat/>
    <w:uiPriority w:val="0"/>
    <w:pPr>
      <w:spacing w:before="240" w:after="60"/>
      <w:jc w:val="center"/>
      <w:outlineLvl w:val="0"/>
    </w:pPr>
    <w:rPr>
      <w:rFonts w:asciiTheme="majorHAnsi" w:hAnsiTheme="majorHAnsi" w:cstheme="majorBidi"/>
      <w:b/>
      <w:bCs/>
      <w:sz w:val="36"/>
      <w:szCs w:val="32"/>
    </w:rPr>
  </w:style>
  <w:style w:type="paragraph" w:styleId="10">
    <w:name w:val="annotation text"/>
    <w:basedOn w:val="1"/>
    <w:link w:val="41"/>
    <w:qFormat/>
    <w:uiPriority w:val="0"/>
    <w:pPr>
      <w:adjustRightInd w:val="0"/>
      <w:spacing w:line="360" w:lineRule="atLeast"/>
      <w:jc w:val="left"/>
      <w:textAlignment w:val="baseline"/>
    </w:pPr>
    <w:rPr>
      <w:kern w:val="0"/>
      <w:sz w:val="24"/>
    </w:rPr>
  </w:style>
  <w:style w:type="paragraph" w:styleId="11">
    <w:name w:val="Body Text 3"/>
    <w:basedOn w:val="1"/>
    <w:qFormat/>
    <w:uiPriority w:val="0"/>
    <w:pPr>
      <w:spacing w:after="120"/>
    </w:pPr>
    <w:rPr>
      <w:sz w:val="16"/>
      <w:szCs w:val="16"/>
    </w:rPr>
  </w:style>
  <w:style w:type="paragraph" w:styleId="12">
    <w:name w:val="Body Text"/>
    <w:basedOn w:val="1"/>
    <w:next w:val="1"/>
    <w:unhideWhenUsed/>
    <w:qFormat/>
    <w:uiPriority w:val="99"/>
    <w:pPr>
      <w:spacing w:beforeLines="0" w:afterLines="0"/>
      <w:ind w:left="140"/>
    </w:pPr>
    <w:rPr>
      <w:rFonts w:ascii="宋体" w:hAnsi="宋体"/>
      <w:sz w:val="28"/>
    </w:rPr>
  </w:style>
  <w:style w:type="paragraph" w:styleId="13">
    <w:name w:val="Body Text Indent"/>
    <w:basedOn w:val="1"/>
    <w:next w:val="14"/>
    <w:qFormat/>
    <w:uiPriority w:val="0"/>
    <w:pPr>
      <w:ind w:firstLine="552"/>
    </w:pPr>
    <w:rPr>
      <w:rFonts w:ascii="宋体"/>
      <w:sz w:val="28"/>
    </w:rPr>
  </w:style>
  <w:style w:type="paragraph" w:styleId="14">
    <w:name w:val="Quote"/>
    <w:next w:val="1"/>
    <w:qFormat/>
    <w:uiPriority w:val="21"/>
    <w:pPr>
      <w:ind w:left="864" w:right="864"/>
      <w:jc w:val="center"/>
    </w:pPr>
    <w:rPr>
      <w:rFonts w:ascii="Calibri" w:hAnsi="Calibri" w:eastAsia="Times New Roman" w:cs="Times New Roman"/>
      <w:i/>
      <w:color w:val="404040"/>
      <w:sz w:val="21"/>
      <w:szCs w:val="21"/>
      <w:lang w:val="en-US" w:eastAsia="zh-CN" w:bidi="ar-SA"/>
    </w:rPr>
  </w:style>
  <w:style w:type="paragraph" w:styleId="15">
    <w:name w:val="List 2"/>
    <w:basedOn w:val="1"/>
    <w:qFormat/>
    <w:uiPriority w:val="0"/>
    <w:pPr>
      <w:ind w:left="100" w:leftChars="200" w:hanging="200" w:hangingChars="200"/>
      <w:contextualSpacing/>
    </w:pPr>
  </w:style>
  <w:style w:type="paragraph" w:styleId="16">
    <w:name w:val="Block Text"/>
    <w:basedOn w:val="1"/>
    <w:unhideWhenUsed/>
    <w:qFormat/>
    <w:uiPriority w:val="99"/>
    <w:pPr>
      <w:spacing w:after="120"/>
      <w:ind w:left="1440" w:leftChars="700" w:right="1440" w:rightChars="700"/>
    </w:pPr>
  </w:style>
  <w:style w:type="paragraph" w:styleId="17">
    <w:name w:val="Plain Text"/>
    <w:basedOn w:val="1"/>
    <w:next w:val="1"/>
    <w:link w:val="49"/>
    <w:qFormat/>
    <w:uiPriority w:val="0"/>
    <w:rPr>
      <w:rFonts w:ascii="宋体" w:hAnsi="Courier New"/>
    </w:rPr>
  </w:style>
  <w:style w:type="paragraph" w:styleId="18">
    <w:name w:val="Date"/>
    <w:basedOn w:val="1"/>
    <w:next w:val="1"/>
    <w:qFormat/>
    <w:uiPriority w:val="0"/>
    <w:rPr>
      <w:rFonts w:ascii="宋体"/>
      <w:sz w:val="24"/>
    </w:rPr>
  </w:style>
  <w:style w:type="paragraph" w:styleId="19">
    <w:name w:val="Balloon Text"/>
    <w:basedOn w:val="1"/>
    <w:link w:val="53"/>
    <w:qFormat/>
    <w:uiPriority w:val="0"/>
    <w:rPr>
      <w:sz w:val="18"/>
      <w:szCs w:val="18"/>
    </w:rPr>
  </w:style>
  <w:style w:type="paragraph" w:styleId="20">
    <w:name w:val="footer"/>
    <w:basedOn w:val="1"/>
    <w:link w:val="39"/>
    <w:qFormat/>
    <w:uiPriority w:val="99"/>
    <w:pPr>
      <w:tabs>
        <w:tab w:val="center" w:pos="4153"/>
        <w:tab w:val="right" w:pos="8306"/>
      </w:tabs>
      <w:adjustRightInd w:val="0"/>
      <w:spacing w:line="240" w:lineRule="atLeast"/>
      <w:jc w:val="left"/>
      <w:textAlignment w:val="baseline"/>
    </w:pPr>
    <w:rPr>
      <w:kern w:val="0"/>
      <w:sz w:val="18"/>
    </w:rPr>
  </w:style>
  <w:style w:type="paragraph" w:styleId="21">
    <w:name w:val="header"/>
    <w:basedOn w:val="1"/>
    <w:link w:val="57"/>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style>
  <w:style w:type="paragraph" w:styleId="23">
    <w:name w:val="Body Text Indent 3"/>
    <w:basedOn w:val="1"/>
    <w:link w:val="51"/>
    <w:qFormat/>
    <w:uiPriority w:val="0"/>
    <w:pPr>
      <w:spacing w:after="120"/>
      <w:ind w:left="420" w:leftChars="200"/>
    </w:pPr>
    <w:rPr>
      <w:sz w:val="16"/>
      <w:szCs w:val="16"/>
    </w:rPr>
  </w:style>
  <w:style w:type="paragraph" w:styleId="24">
    <w:name w:val="table of figures"/>
    <w:basedOn w:val="1"/>
    <w:next w:val="1"/>
    <w:unhideWhenUsed/>
    <w:qFormat/>
    <w:uiPriority w:val="99"/>
    <w:pPr>
      <w:ind w:left="200" w:leftChars="200" w:hanging="200" w:hangingChars="200"/>
    </w:pPr>
  </w:style>
  <w:style w:type="paragraph" w:styleId="25">
    <w:name w:val="toc 2"/>
    <w:basedOn w:val="1"/>
    <w:next w:val="1"/>
    <w:qFormat/>
    <w:uiPriority w:val="39"/>
    <w:pPr>
      <w:ind w:left="420" w:leftChars="200"/>
    </w:pPr>
  </w:style>
  <w:style w:type="paragraph" w:styleId="26">
    <w:name w:val="Body Text 2"/>
    <w:basedOn w:val="1"/>
    <w:qFormat/>
    <w:uiPriority w:val="0"/>
    <w:rPr>
      <w:rFonts w:ascii="Times New Roman" w:hAnsi="Times New Roman" w:eastAsia="宋体" w:cs="Times New Roman"/>
      <w:b/>
      <w:sz w:val="24"/>
    </w:rPr>
  </w:style>
  <w:style w:type="paragraph" w:styleId="27">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8">
    <w:name w:val="annotation subject"/>
    <w:basedOn w:val="10"/>
    <w:next w:val="10"/>
    <w:qFormat/>
    <w:uiPriority w:val="0"/>
    <w:pPr>
      <w:adjustRightInd/>
      <w:spacing w:line="240" w:lineRule="auto"/>
      <w:textAlignment w:val="auto"/>
    </w:pPr>
    <w:rPr>
      <w:b/>
      <w:bCs/>
      <w:szCs w:val="24"/>
    </w:rPr>
  </w:style>
  <w:style w:type="paragraph" w:styleId="29">
    <w:name w:val="Body Text First Indent"/>
    <w:basedOn w:val="12"/>
    <w:next w:val="30"/>
    <w:qFormat/>
    <w:uiPriority w:val="0"/>
    <w:pPr>
      <w:ind w:firstLine="420" w:firstLineChars="100"/>
    </w:pPr>
    <w:rPr>
      <w:szCs w:val="21"/>
    </w:rPr>
  </w:style>
  <w:style w:type="paragraph" w:styleId="30">
    <w:name w:val="Body Text First Indent 2"/>
    <w:basedOn w:val="13"/>
    <w:next w:val="1"/>
    <w:qFormat/>
    <w:uiPriority w:val="0"/>
    <w:pPr>
      <w:spacing w:after="120" w:afterLines="0" w:line="240" w:lineRule="auto"/>
      <w:ind w:left="420" w:leftChars="200" w:firstLine="420"/>
    </w:pPr>
    <w:rPr>
      <w:sz w:val="21"/>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0"/>
    <w:rPr>
      <w:b/>
    </w:rPr>
  </w:style>
  <w:style w:type="character" w:styleId="35">
    <w:name w:val="page number"/>
    <w:basedOn w:val="33"/>
    <w:qFormat/>
    <w:uiPriority w:val="0"/>
  </w:style>
  <w:style w:type="character" w:styleId="36">
    <w:name w:val="Hyperlink"/>
    <w:qFormat/>
    <w:uiPriority w:val="99"/>
    <w:rPr>
      <w:color w:val="0000FF"/>
      <w:u w:val="single"/>
    </w:rPr>
  </w:style>
  <w:style w:type="paragraph" w:customStyle="1" w:styleId="37">
    <w:name w:val="列出段落1"/>
    <w:basedOn w:val="1"/>
    <w:qFormat/>
    <w:uiPriority w:val="34"/>
    <w:pPr>
      <w:ind w:firstLine="420" w:firstLineChars="200"/>
    </w:pPr>
    <w:rPr>
      <w:szCs w:val="20"/>
    </w:rPr>
  </w:style>
  <w:style w:type="paragraph" w:customStyle="1" w:styleId="38">
    <w:name w:val="HTML Preformatted1"/>
    <w:basedOn w:val="1"/>
    <w:qFormat/>
    <w:uiPriority w:val="0"/>
    <w:rPr>
      <w:rFonts w:ascii="Courier New" w:hAnsi="Courier New"/>
      <w:sz w:val="20"/>
    </w:rPr>
  </w:style>
  <w:style w:type="character" w:customStyle="1" w:styleId="39">
    <w:name w:val="页脚 Char"/>
    <w:link w:val="20"/>
    <w:qFormat/>
    <w:locked/>
    <w:uiPriority w:val="99"/>
    <w:rPr>
      <w:rFonts w:eastAsia="宋体"/>
      <w:sz w:val="18"/>
      <w:lang w:val="en-US" w:eastAsia="zh-CN" w:bidi="ar-SA"/>
    </w:rPr>
  </w:style>
  <w:style w:type="character" w:customStyle="1" w:styleId="40">
    <w:name w:val="页脚 字符"/>
    <w:qFormat/>
    <w:uiPriority w:val="99"/>
  </w:style>
  <w:style w:type="character" w:customStyle="1" w:styleId="41">
    <w:name w:val="批注文字 Char"/>
    <w:link w:val="10"/>
    <w:qFormat/>
    <w:uiPriority w:val="0"/>
    <w:rPr>
      <w:sz w:val="24"/>
    </w:rPr>
  </w:style>
  <w:style w:type="character" w:customStyle="1" w:styleId="42">
    <w:name w:val="apple-converted-space"/>
    <w:qFormat/>
    <w:uiPriority w:val="0"/>
  </w:style>
  <w:style w:type="character" w:customStyle="1" w:styleId="43">
    <w:name w:val="Blockquote Char Char"/>
    <w:link w:val="44"/>
    <w:qFormat/>
    <w:uiPriority w:val="0"/>
    <w:rPr>
      <w:rFonts w:eastAsia="宋体"/>
      <w:sz w:val="24"/>
      <w:lang w:val="en-US" w:eastAsia="zh-CN" w:bidi="ar-SA"/>
    </w:rPr>
  </w:style>
  <w:style w:type="paragraph" w:customStyle="1" w:styleId="44">
    <w:name w:val="Blockquote"/>
    <w:basedOn w:val="1"/>
    <w:link w:val="43"/>
    <w:qFormat/>
    <w:uiPriority w:val="0"/>
    <w:pPr>
      <w:autoSpaceDE w:val="0"/>
      <w:autoSpaceDN w:val="0"/>
      <w:adjustRightInd w:val="0"/>
      <w:spacing w:before="100" w:after="100"/>
      <w:ind w:left="360" w:right="360"/>
      <w:jc w:val="left"/>
    </w:pPr>
    <w:rPr>
      <w:kern w:val="0"/>
      <w:sz w:val="24"/>
    </w:rPr>
  </w:style>
  <w:style w:type="paragraph" w:customStyle="1" w:styleId="45">
    <w:name w:val="Char2"/>
    <w:basedOn w:val="1"/>
    <w:qFormat/>
    <w:uiPriority w:val="0"/>
    <w:rPr>
      <w:rFonts w:ascii="Tahoma" w:hAnsi="Tahoma"/>
      <w:sz w:val="24"/>
    </w:rPr>
  </w:style>
  <w:style w:type="paragraph" w:customStyle="1" w:styleId="46">
    <w:name w:val="Char1"/>
    <w:basedOn w:val="1"/>
    <w:qFormat/>
    <w:uiPriority w:val="0"/>
    <w:pPr>
      <w:tabs>
        <w:tab w:val="left" w:pos="360"/>
      </w:tabs>
      <w:ind w:left="360" w:hanging="360" w:hangingChars="200"/>
    </w:pPr>
    <w:rPr>
      <w:sz w:val="24"/>
      <w:szCs w:val="24"/>
    </w:rPr>
  </w:style>
  <w:style w:type="paragraph" w:customStyle="1" w:styleId="47">
    <w:name w:val="_Style 1"/>
    <w:basedOn w:val="1"/>
    <w:qFormat/>
    <w:uiPriority w:val="0"/>
    <w:pPr>
      <w:ind w:firstLine="420" w:firstLineChars="200"/>
    </w:pPr>
    <w:rPr>
      <w:rFonts w:ascii="Calibri" w:hAnsi="Calibri"/>
      <w:szCs w:val="22"/>
    </w:rPr>
  </w:style>
  <w:style w:type="paragraph" w:customStyle="1" w:styleId="48">
    <w:name w:val="Char"/>
    <w:basedOn w:val="1"/>
    <w:qFormat/>
    <w:uiPriority w:val="0"/>
    <w:pPr>
      <w:widowControl/>
      <w:spacing w:after="160" w:line="240" w:lineRule="exact"/>
      <w:jc w:val="left"/>
    </w:pPr>
    <w:rPr>
      <w:rFonts w:ascii="Verdana" w:hAnsi="Verdana" w:eastAsia="仿宋_GB2312"/>
      <w:kern w:val="0"/>
      <w:sz w:val="24"/>
      <w:lang w:eastAsia="en-US"/>
    </w:rPr>
  </w:style>
  <w:style w:type="character" w:customStyle="1" w:styleId="49">
    <w:name w:val="纯文本 Char"/>
    <w:link w:val="17"/>
    <w:qFormat/>
    <w:uiPriority w:val="0"/>
    <w:rPr>
      <w:rFonts w:ascii="宋体" w:hAnsi="Courier New"/>
      <w:kern w:val="2"/>
      <w:sz w:val="21"/>
    </w:rPr>
  </w:style>
  <w:style w:type="paragraph" w:customStyle="1" w:styleId="50">
    <w:name w:val="缺省文本"/>
    <w:basedOn w:val="1"/>
    <w:qFormat/>
    <w:uiPriority w:val="0"/>
    <w:pPr>
      <w:autoSpaceDE w:val="0"/>
      <w:autoSpaceDN w:val="0"/>
      <w:adjustRightInd w:val="0"/>
      <w:spacing w:before="20" w:after="20" w:line="400" w:lineRule="exact"/>
      <w:ind w:firstLine="504"/>
      <w:jc w:val="left"/>
    </w:pPr>
    <w:rPr>
      <w:kern w:val="0"/>
      <w:sz w:val="24"/>
    </w:rPr>
  </w:style>
  <w:style w:type="character" w:customStyle="1" w:styleId="51">
    <w:name w:val="正文文本缩进 3 Char"/>
    <w:link w:val="23"/>
    <w:qFormat/>
    <w:uiPriority w:val="0"/>
    <w:rPr>
      <w:kern w:val="2"/>
      <w:sz w:val="16"/>
      <w:szCs w:val="16"/>
    </w:rPr>
  </w:style>
  <w:style w:type="character" w:customStyle="1" w:styleId="52">
    <w:name w:val="纯文本 Char1"/>
    <w:basedOn w:val="33"/>
    <w:qFormat/>
    <w:uiPriority w:val="0"/>
    <w:rPr>
      <w:rFonts w:ascii="宋体" w:hAnsi="Courier New" w:eastAsia="宋体" w:cs="Times New Roman"/>
      <w:szCs w:val="20"/>
    </w:rPr>
  </w:style>
  <w:style w:type="character" w:customStyle="1" w:styleId="53">
    <w:name w:val="批注框文本 Char"/>
    <w:basedOn w:val="33"/>
    <w:link w:val="19"/>
    <w:qFormat/>
    <w:uiPriority w:val="0"/>
    <w:rPr>
      <w:kern w:val="2"/>
      <w:sz w:val="18"/>
      <w:szCs w:val="18"/>
    </w:rPr>
  </w:style>
  <w:style w:type="character" w:customStyle="1" w:styleId="54">
    <w:name w:val="font41"/>
    <w:basedOn w:val="33"/>
    <w:qFormat/>
    <w:uiPriority w:val="0"/>
    <w:rPr>
      <w:rFonts w:hint="eastAsia" w:ascii="宋体" w:hAnsi="宋体" w:eastAsia="宋体" w:cs="宋体"/>
      <w:color w:val="000000"/>
      <w:sz w:val="22"/>
      <w:szCs w:val="22"/>
      <w:u w:val="none"/>
    </w:rPr>
  </w:style>
  <w:style w:type="character" w:customStyle="1" w:styleId="55">
    <w:name w:val="font11"/>
    <w:basedOn w:val="33"/>
    <w:qFormat/>
    <w:uiPriority w:val="0"/>
    <w:rPr>
      <w:rFonts w:hint="default" w:ascii="Times New Roman" w:hAnsi="Times New Roman" w:cs="Times New Roman"/>
      <w:color w:val="000000"/>
      <w:sz w:val="22"/>
      <w:szCs w:val="22"/>
      <w:u w:val="none"/>
      <w:vertAlign w:val="superscript"/>
    </w:rPr>
  </w:style>
  <w:style w:type="character" w:customStyle="1" w:styleId="56">
    <w:name w:val="font31"/>
    <w:basedOn w:val="33"/>
    <w:qFormat/>
    <w:uiPriority w:val="0"/>
    <w:rPr>
      <w:rFonts w:hint="default" w:ascii="Times New Roman" w:hAnsi="Times New Roman" w:cs="Times New Roman"/>
      <w:color w:val="000000"/>
      <w:sz w:val="22"/>
      <w:szCs w:val="22"/>
      <w:u w:val="none"/>
    </w:rPr>
  </w:style>
  <w:style w:type="character" w:customStyle="1" w:styleId="57">
    <w:name w:val="页眉 Char"/>
    <w:link w:val="21"/>
    <w:qFormat/>
    <w:uiPriority w:val="99"/>
    <w:rPr>
      <w:kern w:val="2"/>
      <w:sz w:val="18"/>
      <w:szCs w:val="18"/>
    </w:rPr>
  </w:style>
  <w:style w:type="character" w:customStyle="1" w:styleId="58">
    <w:name w:val="font01"/>
    <w:basedOn w:val="33"/>
    <w:qFormat/>
    <w:uiPriority w:val="0"/>
    <w:rPr>
      <w:rFonts w:hint="eastAsia" w:ascii="宋体" w:hAnsi="宋体" w:eastAsia="宋体" w:cs="宋体"/>
      <w:color w:val="000000"/>
      <w:sz w:val="22"/>
      <w:szCs w:val="22"/>
      <w:u w:val="none"/>
      <w:vertAlign w:val="superscript"/>
    </w:rPr>
  </w:style>
  <w:style w:type="paragraph" w:customStyle="1" w:styleId="59">
    <w:name w:val="标题 2（投标文件）"/>
    <w:basedOn w:val="6"/>
    <w:qFormat/>
    <w:uiPriority w:val="0"/>
    <w:pPr>
      <w:widowControl/>
      <w:spacing w:before="0" w:after="0" w:line="240" w:lineRule="auto"/>
      <w:jc w:val="center"/>
    </w:pPr>
    <w:rPr>
      <w:rFonts w:ascii="Cambria" w:hAnsi="Cambria" w:eastAsia="宋体"/>
    </w:rPr>
  </w:style>
  <w:style w:type="character" w:customStyle="1" w:styleId="60">
    <w:name w:val="标题 Char"/>
    <w:basedOn w:val="33"/>
    <w:link w:val="5"/>
    <w:qFormat/>
    <w:uiPriority w:val="0"/>
    <w:rPr>
      <w:rFonts w:asciiTheme="majorHAnsi" w:hAnsiTheme="majorHAnsi" w:cstheme="majorBidi"/>
      <w:b/>
      <w:bCs/>
      <w:kern w:val="2"/>
      <w:sz w:val="36"/>
      <w:szCs w:val="32"/>
    </w:rPr>
  </w:style>
  <w:style w:type="paragraph" w:customStyle="1" w:styleId="61">
    <w:name w:val="4"/>
    <w:basedOn w:val="1"/>
    <w:next w:val="62"/>
    <w:qFormat/>
    <w:uiPriority w:val="34"/>
    <w:pPr>
      <w:widowControl/>
      <w:ind w:firstLine="420" w:firstLineChars="200"/>
      <w:jc w:val="left"/>
    </w:pPr>
    <w:rPr>
      <w:rFonts w:ascii="宋体" w:hAnsi="宋体" w:cs="宋体"/>
      <w:kern w:val="0"/>
      <w:sz w:val="24"/>
      <w:szCs w:val="24"/>
    </w:rPr>
  </w:style>
  <w:style w:type="paragraph" w:styleId="62">
    <w:name w:val="List Paragraph"/>
    <w:basedOn w:val="1"/>
    <w:qFormat/>
    <w:uiPriority w:val="34"/>
    <w:pPr>
      <w:ind w:firstLine="420" w:firstLineChars="200"/>
    </w:pPr>
    <w:rPr>
      <w:szCs w:val="20"/>
    </w:rPr>
  </w:style>
  <w:style w:type="character" w:customStyle="1" w:styleId="63">
    <w:name w:val="font71"/>
    <w:basedOn w:val="33"/>
    <w:qFormat/>
    <w:uiPriority w:val="0"/>
    <w:rPr>
      <w:rFonts w:hint="eastAsia" w:ascii="宋体" w:hAnsi="宋体" w:eastAsia="宋体" w:cs="宋体"/>
      <w:color w:val="000000"/>
      <w:sz w:val="18"/>
      <w:szCs w:val="18"/>
      <w:u w:val="none"/>
    </w:rPr>
  </w:style>
  <w:style w:type="character" w:customStyle="1" w:styleId="64">
    <w:name w:val="font61"/>
    <w:basedOn w:val="33"/>
    <w:qFormat/>
    <w:uiPriority w:val="0"/>
    <w:rPr>
      <w:rFonts w:hint="default" w:ascii="Tahoma" w:hAnsi="Tahoma" w:eastAsia="Tahoma" w:cs="Tahoma"/>
      <w:color w:val="000000"/>
      <w:sz w:val="18"/>
      <w:szCs w:val="18"/>
      <w:u w:val="none"/>
    </w:rPr>
  </w:style>
  <w:style w:type="paragraph" w:customStyle="1" w:styleId="65">
    <w:name w:val="样式 首行缩进:  2 字符"/>
    <w:basedOn w:val="1"/>
    <w:qFormat/>
    <w:uiPriority w:val="99"/>
    <w:pPr>
      <w:spacing w:line="400" w:lineRule="exact"/>
      <w:ind w:firstLine="200" w:firstLineChars="200"/>
    </w:pPr>
    <w:rPr>
      <w:rFonts w:cs="宋体"/>
      <w:szCs w:val="24"/>
    </w:rPr>
  </w:style>
  <w:style w:type="table" w:customStyle="1" w:styleId="66">
    <w:name w:val="Table Normal"/>
    <w:unhideWhenUsed/>
    <w:qFormat/>
    <w:uiPriority w:val="0"/>
    <w:tblPr>
      <w:tblCellMar>
        <w:top w:w="0" w:type="dxa"/>
        <w:left w:w="0" w:type="dxa"/>
        <w:bottom w:w="0" w:type="dxa"/>
        <w:right w:w="0" w:type="dxa"/>
      </w:tblCellMar>
    </w:tblPr>
  </w:style>
  <w:style w:type="paragraph" w:customStyle="1" w:styleId="67">
    <w:name w:val="正文缩进1"/>
    <w:basedOn w:val="1"/>
    <w:qFormat/>
    <w:uiPriority w:val="0"/>
    <w:pPr>
      <w:ind w:firstLine="420" w:firstLineChars="200"/>
    </w:pPr>
  </w:style>
  <w:style w:type="character" w:customStyle="1" w:styleId="68">
    <w:name w:val="NormalCharacter"/>
    <w:qFormat/>
    <w:uiPriority w:val="0"/>
    <w:rPr>
      <w:kern w:val="2"/>
      <w:sz w:val="21"/>
      <w:szCs w:val="22"/>
      <w:lang w:val="en-US" w:eastAsia="zh-CN" w:bidi="ar-SA"/>
    </w:rPr>
  </w:style>
  <w:style w:type="paragraph" w:customStyle="1" w:styleId="69">
    <w:name w:val="Table Paragraph"/>
    <w:basedOn w:val="1"/>
    <w:qFormat/>
    <w:uiPriority w:val="1"/>
    <w:rPr>
      <w:rFonts w:ascii="Noto Sans Mono CJK JP Regular" w:hAnsi="Noto Sans Mono CJK JP Regular" w:eastAsia="Noto Sans Mono CJK JP Regular" w:cs="Noto Sans Mono CJK JP Regular"/>
    </w:rPr>
  </w:style>
  <w:style w:type="paragraph" w:customStyle="1" w:styleId="70">
    <w:name w:val="Char111"/>
    <w:basedOn w:val="1"/>
    <w:qFormat/>
    <w:uiPriority w:val="0"/>
    <w:pPr>
      <w:widowControl/>
      <w:spacing w:after="160" w:line="240" w:lineRule="exact"/>
      <w:jc w:val="left"/>
    </w:pPr>
    <w:rPr>
      <w:rFonts w:ascii="Tahoma" w:hAnsi="Tahoma"/>
      <w:kern w:val="0"/>
      <w:sz w:val="24"/>
      <w:lang w:eastAsia="en-US"/>
    </w:rPr>
  </w:style>
  <w:style w:type="character" w:customStyle="1" w:styleId="71">
    <w:name w:val="标题 1 Char"/>
    <w:link w:val="4"/>
    <w:qFormat/>
    <w:uiPriority w:val="0"/>
    <w:rPr>
      <w:sz w:val="28"/>
    </w:rPr>
  </w:style>
  <w:style w:type="paragraph" w:customStyle="1" w:styleId="72">
    <w:name w:val="HtmlNormal"/>
    <w:basedOn w:val="1"/>
    <w:qFormat/>
    <w:uiPriority w:val="0"/>
    <w:pPr>
      <w:widowControl/>
      <w:spacing w:before="100" w:beforeAutospacing="1" w:after="100" w:afterAutospacing="1"/>
      <w:jc w:val="left"/>
      <w:textAlignment w:val="baseline"/>
    </w:pPr>
    <w:rPr>
      <w:rFonts w:ascii="宋体" w:hAnsi="宋体"/>
      <w:kern w:val="0"/>
      <w:sz w:val="24"/>
      <w:lang w:val="en-US" w:eastAsia="zh-CN" w:bidi="ar-SA"/>
    </w:rPr>
  </w:style>
  <w:style w:type="paragraph" w:customStyle="1" w:styleId="73">
    <w:name w:val="*正文"/>
    <w:basedOn w:val="1"/>
    <w:qFormat/>
    <w:uiPriority w:val="0"/>
    <w:pPr>
      <w:widowControl/>
      <w:spacing w:line="360" w:lineRule="auto"/>
      <w:ind w:firstLine="200" w:firstLineChars="200"/>
      <w:jc w:val="left"/>
    </w:pPr>
    <w:rPr>
      <w:rFonts w:ascii="仿宋_GB2312"/>
      <w:kern w:val="0"/>
      <w:sz w:val="24"/>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FD8955-1C66-48FD-8C68-2804C0282F9E}">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91</Pages>
  <Words>13310</Words>
  <Characters>14701</Characters>
  <Lines>185</Lines>
  <Paragraphs>52</Paragraphs>
  <TotalTime>8</TotalTime>
  <ScaleCrop>false</ScaleCrop>
  <LinksUpToDate>false</LinksUpToDate>
  <CharactersWithSpaces>14893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2016-11-15T16:00:00Z</dcterms:created>
  <dc:creator>User</dc:creator>
  <cp:lastModifiedBy>Lemon柠檬</cp:lastModifiedBy>
  <cp:lastPrinted>2025-05-19T03:38:00Z</cp:lastPrinted>
  <dcterms:modified xsi:type="dcterms:W3CDTF">2026-09-02T03:53:05Z</dcterms:modified>
  <dc:title>政府采购货物和服务项目</dc:title>
  <cp:revision>371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3738C2ECD1F140C3B89574334796A35F_13</vt:lpwstr>
  </property>
  <property fmtid="{D5CDD505-2E9C-101B-9397-08002B2CF9AE}" pid="4" name="KSOTemplateDocerSaveRecord">
    <vt:lpwstr>eyJoZGlkIjoiMGZlYzEyZGZiZGQ2ZTRjOWZkZDE4ZGMyYTY2ZmNkNWQiLCJ1c2VySWQiOiIyODA5OTE0MjUifQ==</vt:lpwstr>
  </property>
</Properties>
</file>