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版本号：SNJZ-2026-14920260827001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“高效办成一件事”效能分析服务项目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SNJZ-2026-149</w:t>
      </w:r>
      <w:r>
        <w:br/>
      </w:r>
      <w:r>
        <w:br/>
      </w:r>
      <w:r>
        <w:br/>
      </w:r>
    </w:p>
    <w:p>
      <w:pPr>
        <w:pStyle w:val="null3"/>
        <w:jc w:val="center"/>
        <w:outlineLvl w:val="2"/>
      </w:pPr>
      <w:r>
        <w:rPr>
          <w:rFonts w:ascii="仿宋_GB2312" w:hAnsi="仿宋_GB2312" w:cs="仿宋_GB2312" w:eastAsia="仿宋_GB2312"/>
          <w:sz w:val="28"/>
          <w:b/>
        </w:rPr>
        <w:t>省政府办公厅机关</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省政府办公厅机关</w:t>
      </w:r>
      <w:r>
        <w:rPr>
          <w:rFonts w:ascii="仿宋_GB2312" w:hAnsi="仿宋_GB2312" w:cs="仿宋_GB2312" w:eastAsia="仿宋_GB2312"/>
        </w:rPr>
        <w:t>委托，拟对</w:t>
      </w:r>
      <w:r>
        <w:rPr>
          <w:rFonts w:ascii="仿宋_GB2312" w:hAnsi="仿宋_GB2312" w:cs="仿宋_GB2312" w:eastAsia="仿宋_GB2312"/>
        </w:rPr>
        <w:t>“高效办成一件事”效能分析服务项目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SNJZ-2026-149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“高效办成一件事”效能分析服务项目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本项目主要采购“高效办成一件事”效能分析服务，编制体验报告、检测报告及分析报告等。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2、法定代表人授权书 （或证明书）：法定代表人参加磋商时，提供法定代表人证明书；授权代表参加磋商时，提供法定代表人授权书；非法人单位参照执行。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3、财务状况报告：法人提供经审计的2025年度的财务报告或提交响应文件递交截止时间前12个月内银行出具的资信证明；其他组织和自然人提供银行出具的资信证明或财务报表。</w:t>
      </w:r>
    </w:p>
    <w:p>
      <w:pPr>
        <w:pStyle w:val="null3"/>
      </w:pPr>
      <w:r>
        <w:rPr>
          <w:rFonts w:ascii="仿宋_GB2312" w:hAnsi="仿宋_GB2312" w:cs="仿宋_GB2312" w:eastAsia="仿宋_GB2312"/>
        </w:rPr>
        <w:t>4、税收缴纳证明：提供响应文件提交截止时间前12个月内至少一个月已缴纳的纳税凭据或完税证明，依法免税的供应商应提供相关文件证明。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12个月内已缴存的至少一个月的社会保障资金缴存单据，或社保机构出具的社会保险参保缴费情况证明，依法不需要缴纳社会保障资金的单位应提供相关证明材料。</w:t>
      </w:r>
    </w:p>
    <w:p>
      <w:pPr>
        <w:pStyle w:val="null3"/>
      </w:pPr>
      <w:r>
        <w:rPr>
          <w:rFonts w:ascii="仿宋_GB2312" w:hAnsi="仿宋_GB2312" w:cs="仿宋_GB2312" w:eastAsia="仿宋_GB2312"/>
        </w:rPr>
        <w:t>6、设备和专业技术能力承诺：提供具有履行本合同所必需的设备和专业技术能力的承诺。</w:t>
      </w:r>
    </w:p>
    <w:p>
      <w:pPr>
        <w:pStyle w:val="null3"/>
      </w:pPr>
      <w:r>
        <w:rPr>
          <w:rFonts w:ascii="仿宋_GB2312" w:hAnsi="仿宋_GB2312" w:cs="仿宋_GB2312" w:eastAsia="仿宋_GB2312"/>
        </w:rPr>
        <w:t>7、没有重大违法记录的书面声明：提供参加政府采购活动前三年内在经营活动中没有重大违法记录的书面声明。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省政府办公厅机关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新城大院11号楼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周军锋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029-63912139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孙博、程钰、王力、马子啸、崔斌、左建强、鲁方方、胡荣、石磊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029-88222461 88224929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采购包1：933,000.00元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采购包1保证金金额：9,900.00元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在收到成交通知书后五(5)个日历日内，按照原国家计委《招标代理服务收费管理暂行办法》(计价格[2002]1980号)及发改办价格[2003]857号文件规定的收费标准，向陕西教育招标有限责任公司交纳招标代理服务费，招标代理服务费采用现金、电汇或银行转账方式交纳。 服务费交纳账户： 开户行：中国光大银行陕西自贸试验区西安唐延路支行； 开户名称：陕西教育招标有限责任公司；银行行号：303791000136；开户账号：78580188000058925；财务电话：029-88224928。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省政府办公厅机关</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省政府办公厅机关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省政府办公厅机关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本项⽬产⽣的全部成果的知识产权归采购⼈所有。 供应商应保证其提供的服务及交付的成果不侵犯任何第三⽅的知识产权。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合同文本；国家有关的验收标准及规范；磋商文件；响应文件；按照合同和根据磋商文件所编写的响应文件中相关的全部文档。</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联系人：孙博 程钰</w:t>
      </w:r>
    </w:p>
    <w:p>
      <w:pPr>
        <w:pStyle w:val="null3"/>
      </w:pPr>
      <w:r>
        <w:rPr>
          <w:rFonts w:ascii="仿宋_GB2312" w:hAnsi="仿宋_GB2312" w:cs="仿宋_GB2312" w:eastAsia="仿宋_GB2312"/>
        </w:rPr>
        <w:t>联系电话：029-88222461</w:t>
      </w:r>
    </w:p>
    <w:p>
      <w:pPr>
        <w:pStyle w:val="null3"/>
      </w:pPr>
      <w:r>
        <w:rPr>
          <w:rFonts w:ascii="仿宋_GB2312" w:hAnsi="仿宋_GB2312" w:cs="仿宋_GB2312" w:eastAsia="仿宋_GB2312"/>
        </w:rPr>
        <w:t>地址：陕西省西安市太白南路181号西部电子社区A座B区401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本项目主要采购“高效办成一件”效能分析服务，编制体验报告、检测报告及分析报告等。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933,000.00</w:t>
      </w:r>
    </w:p>
    <w:p>
      <w:pPr>
        <w:pStyle w:val="null3"/>
      </w:pPr>
      <w:r>
        <w:rPr>
          <w:rFonts w:ascii="仿宋_GB2312" w:hAnsi="仿宋_GB2312" w:cs="仿宋_GB2312" w:eastAsia="仿宋_GB2312"/>
        </w:rPr>
        <w:t>采购包最高限价（元）: 933,000.00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“高效办成一件事”效能分析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933,000.00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标的名称：“高效办成一件事”效能分析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1"/>
              </w:rPr>
              <w:t>一、服务内容</w:t>
            </w:r>
          </w:p>
          <w:p>
            <w:pPr>
              <w:pStyle w:val="null3"/>
              <w:ind w:firstLine="480"/>
              <w:jc w:val="both"/>
            </w:pPr>
            <w:r>
              <w:rPr>
                <w:rFonts w:ascii="仿宋_GB2312" w:hAnsi="仿宋_GB2312" w:cs="仿宋_GB2312" w:eastAsia="仿宋_GB2312"/>
                <w:sz w:val="21"/>
              </w:rPr>
              <w:t>（一）主要服务内容</w:t>
            </w:r>
          </w:p>
          <w:p>
            <w:pPr>
              <w:pStyle w:val="null3"/>
              <w:ind w:firstLine="480"/>
              <w:jc w:val="both"/>
            </w:pPr>
            <w:r>
              <w:rPr>
                <w:rFonts w:ascii="仿宋_GB2312" w:hAnsi="仿宋_GB2312" w:cs="仿宋_GB2312" w:eastAsia="仿宋_GB2312"/>
                <w:sz w:val="21"/>
              </w:rPr>
              <w:t>1．</w:t>
            </w:r>
            <w:r>
              <w:rPr>
                <w:rFonts w:ascii="仿宋_GB2312" w:hAnsi="仿宋_GB2312" w:cs="仿宋_GB2312" w:eastAsia="仿宋_GB2312"/>
                <w:sz w:val="21"/>
              </w:rPr>
              <w:t>需求挖掘</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委托第三方邀请国家高端智库政务服务效能评估专家、长期参与国办</w:t>
            </w:r>
            <w:r>
              <w:rPr>
                <w:rFonts w:ascii="仿宋_GB2312" w:hAnsi="仿宋_GB2312" w:cs="仿宋_GB2312" w:eastAsia="仿宋_GB2312"/>
                <w:sz w:val="21"/>
              </w:rPr>
              <w:t>“高效办成一件事”效能研究分析专家，全国一体化政务服务平台运营方及具备省级政务服务评估经验的资深分析师组成专家团队，严格对标《关于开展“高效办成一件事”重点事项“回头看”工作的实施方案》相关要求，紧密结合我省政务服务运行实际研究制定科学完整的工作实施计划，全面开展重点事项推进总体进度、办事流程优化情况、办事材料精简情况、数据共享情况等“高效办成一件事”相关数据的归集梳理、规范整理，综合采用定性与定量相结合的专业分析方法开展多维度深度研判，分别构建形成独立完整、可量化可评估的“高效办成一件事”线上服务效能指标体系、线下政务大厅服务效能指标体系，为全省政务服务提质增效、重点事项“回头看”工作提供权威专业支撑。</w:t>
            </w:r>
          </w:p>
          <w:p>
            <w:pPr>
              <w:pStyle w:val="null3"/>
              <w:ind w:firstLine="480"/>
              <w:jc w:val="both"/>
            </w:pPr>
            <w:r>
              <w:rPr>
                <w:rFonts w:ascii="仿宋_GB2312" w:hAnsi="仿宋_GB2312" w:cs="仿宋_GB2312" w:eastAsia="仿宋_GB2312"/>
                <w:sz w:val="21"/>
              </w:rPr>
              <w:t>2．</w:t>
            </w:r>
            <w:r>
              <w:rPr>
                <w:rFonts w:ascii="仿宋_GB2312" w:hAnsi="仿宋_GB2312" w:cs="仿宋_GB2312" w:eastAsia="仿宋_GB2312"/>
                <w:sz w:val="21"/>
              </w:rPr>
              <w:t>重点事项线上体验及分析报告撰写</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从我省实际出发，结合国务院办公厅</w:t>
            </w:r>
            <w:r>
              <w:rPr>
                <w:rFonts w:ascii="仿宋_GB2312" w:hAnsi="仿宋_GB2312" w:cs="仿宋_GB2312" w:eastAsia="仿宋_GB2312"/>
                <w:sz w:val="21"/>
              </w:rPr>
              <w:t>2024年至2026年发布的“高效办成一件事”重点事项，委托第三方组织专家走流程，按照既定指标体系，以企业群众视角全流程模拟电脑端、移动端、电话咨询等线上办事渠道，综合运用在线监测、办件分析、模拟测试、电话拨测等方式，全面核查重点事项落地、平台运行、系统对接、指南准确性及群众体验情况，精准识别线上服务堵点难点。全年共开展4次，每次体验2024年至2026年国家发布的重点事项，共形成4份报告。</w:t>
            </w:r>
            <w:r>
              <w:rPr>
                <w:rFonts w:ascii="仿宋_GB2312" w:hAnsi="仿宋_GB2312" w:cs="仿宋_GB2312" w:eastAsia="仿宋_GB2312"/>
                <w:sz w:val="21"/>
              </w:rPr>
              <w:t>其中，</w:t>
            </w:r>
            <w:r>
              <w:rPr>
                <w:rFonts w:ascii="仿宋_GB2312" w:hAnsi="仿宋_GB2312" w:cs="仿宋_GB2312" w:eastAsia="仿宋_GB2312"/>
                <w:sz w:val="21"/>
              </w:rPr>
              <w:t>采取人工全流程体验，每次体验后及时组织专家与分析师专题研讨深挖成因，并撰写</w:t>
            </w:r>
            <w:r>
              <w:rPr>
                <w:rFonts w:ascii="仿宋_GB2312" w:hAnsi="仿宋_GB2312" w:cs="仿宋_GB2312" w:eastAsia="仿宋_GB2312"/>
                <w:sz w:val="21"/>
              </w:rPr>
              <w:t>2024年至2026年“高效办成一件事”重点事项体验报告</w:t>
            </w:r>
            <w:r>
              <w:rPr>
                <w:rFonts w:ascii="仿宋_GB2312" w:hAnsi="仿宋_GB2312" w:cs="仿宋_GB2312" w:eastAsia="仿宋_GB2312"/>
                <w:sz w:val="21"/>
              </w:rPr>
              <w:t>（</w:t>
            </w:r>
            <w:r>
              <w:rPr>
                <w:rFonts w:ascii="仿宋_GB2312" w:hAnsi="仿宋_GB2312" w:cs="仿宋_GB2312" w:eastAsia="仿宋_GB2312"/>
                <w:sz w:val="21"/>
              </w:rPr>
              <w:t>人工</w:t>
            </w:r>
            <w:r>
              <w:rPr>
                <w:rFonts w:ascii="仿宋_GB2312" w:hAnsi="仿宋_GB2312" w:cs="仿宋_GB2312" w:eastAsia="仿宋_GB2312"/>
                <w:sz w:val="21"/>
              </w:rPr>
              <w:t>）</w:t>
            </w:r>
            <w:r>
              <w:rPr>
                <w:rFonts w:ascii="仿宋_GB2312" w:hAnsi="仿宋_GB2312" w:cs="仿宋_GB2312" w:eastAsia="仿宋_GB2312"/>
                <w:sz w:val="21"/>
              </w:rPr>
              <w:t>共</w:t>
            </w:r>
            <w:r>
              <w:rPr>
                <w:rFonts w:ascii="仿宋_GB2312" w:hAnsi="仿宋_GB2312" w:cs="仿宋_GB2312" w:eastAsia="仿宋_GB2312"/>
                <w:sz w:val="21"/>
              </w:rPr>
              <w:t>2份</w:t>
            </w:r>
            <w:r>
              <w:rPr>
                <w:rFonts w:ascii="仿宋_GB2312" w:hAnsi="仿宋_GB2312" w:cs="仿宋_GB2312" w:eastAsia="仿宋_GB2312"/>
                <w:sz w:val="21"/>
              </w:rPr>
              <w:t>；</w:t>
            </w:r>
            <w:r>
              <w:rPr>
                <w:rFonts w:ascii="仿宋_GB2312" w:hAnsi="仿宋_GB2312" w:cs="仿宋_GB2312" w:eastAsia="仿宋_GB2312"/>
                <w:sz w:val="21"/>
              </w:rPr>
              <w:t>使用智能检测产品对陕西政务服务网</w:t>
            </w:r>
            <w:r>
              <w:rPr>
                <w:rFonts w:ascii="仿宋_GB2312" w:hAnsi="仿宋_GB2312" w:cs="仿宋_GB2312" w:eastAsia="仿宋_GB2312"/>
                <w:sz w:val="21"/>
              </w:rPr>
              <w:t>“高效办成一件事”专区涉及的事项要素、办事材料、联办事项、错敏字等进行全面检测，并形成陕西政务服务网“高效办成一件事”专区智能检测产品检测报告（</w:t>
            </w:r>
            <w:r>
              <w:rPr>
                <w:rFonts w:ascii="仿宋_GB2312" w:hAnsi="仿宋_GB2312" w:cs="仿宋_GB2312" w:eastAsia="仿宋_GB2312"/>
                <w:sz w:val="21"/>
              </w:rPr>
              <w:t>AI</w:t>
            </w:r>
            <w:r>
              <w:rPr>
                <w:rFonts w:ascii="仿宋_GB2312" w:hAnsi="仿宋_GB2312" w:cs="仿宋_GB2312" w:eastAsia="仿宋_GB2312"/>
                <w:sz w:val="21"/>
              </w:rPr>
              <w:t>）</w:t>
            </w:r>
            <w:r>
              <w:rPr>
                <w:rFonts w:ascii="仿宋_GB2312" w:hAnsi="仿宋_GB2312" w:cs="仿宋_GB2312" w:eastAsia="仿宋_GB2312"/>
                <w:sz w:val="21"/>
              </w:rPr>
              <w:t>2份</w:t>
            </w:r>
            <w:r>
              <w:rPr>
                <w:rFonts w:ascii="仿宋_GB2312" w:hAnsi="仿宋_GB2312" w:cs="仿宋_GB2312" w:eastAsia="仿宋_GB2312"/>
                <w:sz w:val="21"/>
              </w:rPr>
              <w:t>。</w:t>
            </w:r>
            <w:r>
              <w:rPr>
                <w:rFonts w:ascii="仿宋_GB2312" w:hAnsi="仿宋_GB2312" w:cs="仿宋_GB2312" w:eastAsia="仿宋_GB2312"/>
                <w:sz w:val="21"/>
              </w:rPr>
              <w:t>为我省</w:t>
            </w:r>
            <w:r>
              <w:rPr>
                <w:rFonts w:ascii="仿宋_GB2312" w:hAnsi="仿宋_GB2312" w:cs="仿宋_GB2312" w:eastAsia="仿宋_GB2312"/>
                <w:sz w:val="21"/>
              </w:rPr>
              <w:t>“高效办成一件事”线上效能提升提供专业决策参考与实操依据。</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开展线下大厅综合体验及分析报告撰写</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体验员以</w:t>
            </w:r>
            <w:r>
              <w:rPr>
                <w:rFonts w:ascii="仿宋_GB2312" w:hAnsi="仿宋_GB2312" w:cs="仿宋_GB2312" w:eastAsia="仿宋_GB2312"/>
                <w:sz w:val="21"/>
              </w:rPr>
              <w:t>“企业办事人”“普通群众”身份，结合高频办事、重点民生及政务服务改革创新等事项，站在全省政务服务发展的视角，按照实际办事流程对省级、11个市（区）级及其下属县（区）政务服务大厅（每个市抽样1个）的政务服务进行全要素实地调研体验，并根据体验情况，于年底前对出现问题较多的政务服务大厅再次进行全流程体验。重点对大厅窗口设置、咨询引导、取号排队、材料提交、系统办理、结果领取等办理全过程，对标全国先进水平，从制度设计、流程优化、系统支撑、服务效能、作风建设等维度进行综合评价，重点关注导询台引导分流能力、对“高效办成一件事”重点事项适用范围的识别能力、窗口人员独立指导事项办理的业务能力、工作人员在岗纪律与服务态度、硬件设备配置水平和窗口开设合理性、自助专区可用性、帮办代办规范性，以及意见反馈渠道畅通程度。通过全方位体验，准确把握各级政务大厅整体情况，形成线下政务大厅专业分析报告，共2份，内容涵盖工作总体推进情况、成效亮点、主要问题及工作建议，并附各个政务服务大厅重点问题梳理清单</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（二）交付成果</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2024年至2026年“高效办成一件事”重点事项体验报告2份（人工）</w:t>
            </w:r>
            <w:r>
              <w:rPr>
                <w:rFonts w:ascii="仿宋_GB2312" w:hAnsi="仿宋_GB2312" w:cs="仿宋_GB2312" w:eastAsia="仿宋_GB2312"/>
                <w:sz w:val="21"/>
              </w:rPr>
              <w:t>（</w:t>
            </w:r>
            <w:r>
              <w:rPr>
                <w:rFonts w:ascii="仿宋_GB2312" w:hAnsi="仿宋_GB2312" w:cs="仿宋_GB2312" w:eastAsia="仿宋_GB2312"/>
                <w:sz w:val="21"/>
              </w:rPr>
              <w:t>2份</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陕西政务服务网</w:t>
            </w:r>
            <w:r>
              <w:rPr>
                <w:rFonts w:ascii="仿宋_GB2312" w:hAnsi="仿宋_GB2312" w:cs="仿宋_GB2312" w:eastAsia="仿宋_GB2312"/>
                <w:sz w:val="21"/>
              </w:rPr>
              <w:t>“高效办成一件事”专区智能检测产品检测报告（</w:t>
            </w:r>
            <w:r>
              <w:rPr>
                <w:rFonts w:ascii="仿宋_GB2312" w:hAnsi="仿宋_GB2312" w:cs="仿宋_GB2312" w:eastAsia="仿宋_GB2312"/>
                <w:sz w:val="21"/>
              </w:rPr>
              <w:t>AI</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2份</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线下政务大厅专业分析报告</w:t>
            </w:r>
            <w:r>
              <w:rPr>
                <w:rFonts w:ascii="仿宋_GB2312" w:hAnsi="仿宋_GB2312" w:cs="仿宋_GB2312" w:eastAsia="仿宋_GB2312"/>
                <w:sz w:val="21"/>
              </w:rPr>
              <w:t>（</w:t>
            </w:r>
            <w:r>
              <w:rPr>
                <w:rFonts w:ascii="仿宋_GB2312" w:hAnsi="仿宋_GB2312" w:cs="仿宋_GB2312" w:eastAsia="仿宋_GB2312"/>
                <w:sz w:val="21"/>
              </w:rPr>
              <w:t>2份</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（三）服务要求</w:t>
            </w:r>
          </w:p>
          <w:p>
            <w:pPr>
              <w:pStyle w:val="null3"/>
              <w:ind w:firstLine="480"/>
              <w:jc w:val="both"/>
            </w:pPr>
            <w:r>
              <w:rPr>
                <w:rFonts w:ascii="仿宋_GB2312" w:hAnsi="仿宋_GB2312" w:cs="仿宋_GB2312" w:eastAsia="仿宋_GB2312"/>
                <w:sz w:val="21"/>
              </w:rPr>
              <w:t>供应商应针对本项目组建不少于</w:t>
            </w:r>
            <w:r>
              <w:rPr>
                <w:rFonts w:ascii="仿宋_GB2312" w:hAnsi="仿宋_GB2312" w:cs="仿宋_GB2312" w:eastAsia="仿宋_GB2312"/>
                <w:sz w:val="21"/>
              </w:rPr>
              <w:t>4</w:t>
            </w:r>
            <w:r>
              <w:rPr>
                <w:rFonts w:ascii="仿宋_GB2312" w:hAnsi="仿宋_GB2312" w:cs="仿宋_GB2312" w:eastAsia="仿宋_GB2312"/>
                <w:sz w:val="21"/>
              </w:rPr>
              <w:t>人的服务团队，服务团队人员应具备相关专业技术能力。服务团队中应配备项目负责人</w:t>
            </w:r>
            <w:r>
              <w:rPr>
                <w:rFonts w:ascii="仿宋_GB2312" w:hAnsi="仿宋_GB2312" w:cs="仿宋_GB2312" w:eastAsia="仿宋_GB2312"/>
                <w:sz w:val="21"/>
              </w:rPr>
              <w:t>1名</w:t>
            </w:r>
            <w:r>
              <w:rPr>
                <w:rFonts w:ascii="仿宋_GB2312" w:hAnsi="仿宋_GB2312" w:cs="仿宋_GB2312" w:eastAsia="仿宋_GB2312"/>
                <w:sz w:val="21"/>
              </w:rPr>
              <w:t>，</w:t>
            </w:r>
            <w:r>
              <w:rPr>
                <w:rFonts w:ascii="仿宋_GB2312" w:hAnsi="仿宋_GB2312" w:cs="仿宋_GB2312" w:eastAsia="仿宋_GB2312"/>
                <w:sz w:val="21"/>
              </w:rPr>
              <w:t>项目负责人应具备多年丰富的同类项目服务经验。</w:t>
            </w:r>
          </w:p>
          <w:p>
            <w:pPr>
              <w:pStyle w:val="null3"/>
              <w:ind w:firstLine="480"/>
              <w:jc w:val="both"/>
            </w:pPr>
            <w:r>
              <w:rPr>
                <w:rFonts w:ascii="仿宋_GB2312" w:hAnsi="仿宋_GB2312" w:cs="仿宋_GB2312" w:eastAsia="仿宋_GB2312"/>
                <w:sz w:val="21"/>
              </w:rPr>
              <w:t>二、服务实施要求</w:t>
            </w:r>
          </w:p>
          <w:p>
            <w:pPr>
              <w:pStyle w:val="null3"/>
              <w:ind w:firstLine="480"/>
              <w:jc w:val="both"/>
            </w:pPr>
            <w:r>
              <w:rPr>
                <w:rFonts w:ascii="仿宋_GB2312" w:hAnsi="仿宋_GB2312" w:cs="仿宋_GB2312" w:eastAsia="仿宋_GB2312"/>
                <w:sz w:val="21"/>
              </w:rPr>
              <w:t>（一）实施管理</w:t>
            </w:r>
          </w:p>
          <w:p>
            <w:pPr>
              <w:pStyle w:val="null3"/>
              <w:ind w:firstLine="480"/>
              <w:jc w:val="both"/>
            </w:pPr>
            <w:r>
              <w:rPr>
                <w:rFonts w:ascii="仿宋_GB2312" w:hAnsi="仿宋_GB2312" w:cs="仿宋_GB2312" w:eastAsia="仿宋_GB2312"/>
                <w:sz w:val="21"/>
              </w:rPr>
              <w:t>为</w:t>
            </w:r>
            <w:r>
              <w:rPr>
                <w:rFonts w:ascii="仿宋_GB2312" w:hAnsi="仿宋_GB2312" w:cs="仿宋_GB2312" w:eastAsia="仿宋_GB2312"/>
                <w:sz w:val="21"/>
              </w:rPr>
              <w:t>“高效办成一件事”效能分析服务项目</w:t>
            </w:r>
            <w:r>
              <w:rPr>
                <w:rFonts w:ascii="仿宋_GB2312" w:hAnsi="仿宋_GB2312" w:cs="仿宋_GB2312" w:eastAsia="仿宋_GB2312"/>
                <w:sz w:val="21"/>
              </w:rPr>
              <w:t>相关服务</w:t>
            </w:r>
            <w:r>
              <w:rPr>
                <w:rFonts w:ascii="仿宋_GB2312" w:hAnsi="仿宋_GB2312" w:cs="仿宋_GB2312" w:eastAsia="仿宋_GB2312"/>
                <w:sz w:val="21"/>
              </w:rPr>
              <w:t>工作顺利开展，服务实施中须强化实施过程管理，主要包括：</w:t>
            </w:r>
          </w:p>
          <w:p>
            <w:pPr>
              <w:pStyle w:val="null3"/>
              <w:ind w:firstLine="480"/>
              <w:jc w:val="both"/>
            </w:pPr>
            <w:r>
              <w:rPr>
                <w:rFonts w:ascii="仿宋_GB2312" w:hAnsi="仿宋_GB2312" w:cs="仿宋_GB2312" w:eastAsia="仿宋_GB2312"/>
                <w:sz w:val="21"/>
              </w:rPr>
              <w:t>1.进度管理。供应商应明确本项目工作的方式、方法、过程步骤、按阶段分解的详细计划、对应计划应提交的工作成果、需要采购人协调与配合的事项，其中需要包括进度计划、里程碑、交付成果等</w:t>
            </w:r>
            <w:r>
              <w:rPr>
                <w:rFonts w:ascii="仿宋_GB2312" w:hAnsi="仿宋_GB2312" w:cs="仿宋_GB2312" w:eastAsia="仿宋_GB2312"/>
                <w:sz w:val="21"/>
              </w:rPr>
              <w:t>，</w:t>
            </w:r>
            <w:r>
              <w:rPr>
                <w:rFonts w:ascii="仿宋_GB2312" w:hAnsi="仿宋_GB2312" w:cs="仿宋_GB2312" w:eastAsia="仿宋_GB2312"/>
                <w:sz w:val="21"/>
              </w:rPr>
              <w:t>供应商须接受并服从采购人的监督、管理要求，按要求提供中间过程工作成果。</w:t>
            </w:r>
          </w:p>
          <w:p>
            <w:pPr>
              <w:pStyle w:val="null3"/>
              <w:ind w:firstLine="480"/>
              <w:jc w:val="both"/>
            </w:pPr>
            <w:r>
              <w:rPr>
                <w:rFonts w:ascii="仿宋_GB2312" w:hAnsi="仿宋_GB2312" w:cs="仿宋_GB2312" w:eastAsia="仿宋_GB2312"/>
                <w:sz w:val="21"/>
              </w:rPr>
              <w:t>2.组织实施。为使项目保质保量、按时有序实施，供应商应建立完善、稳定的项目团队</w:t>
            </w:r>
            <w:r>
              <w:rPr>
                <w:rFonts w:ascii="仿宋_GB2312" w:hAnsi="仿宋_GB2312" w:cs="仿宋_GB2312" w:eastAsia="仿宋_GB2312"/>
                <w:sz w:val="21"/>
              </w:rPr>
              <w:t>，</w:t>
            </w:r>
            <w:r>
              <w:rPr>
                <w:rFonts w:ascii="仿宋_GB2312" w:hAnsi="仿宋_GB2312" w:cs="仿宋_GB2312" w:eastAsia="仿宋_GB2312"/>
                <w:sz w:val="21"/>
              </w:rPr>
              <w:t>明确</w:t>
            </w:r>
            <w:r>
              <w:rPr>
                <w:rFonts w:ascii="仿宋_GB2312" w:hAnsi="仿宋_GB2312" w:cs="仿宋_GB2312" w:eastAsia="仿宋_GB2312"/>
                <w:sz w:val="21"/>
              </w:rPr>
              <w:t>内部组织管理方式</w:t>
            </w:r>
            <w:r>
              <w:rPr>
                <w:rFonts w:ascii="仿宋_GB2312" w:hAnsi="仿宋_GB2312" w:cs="仿宋_GB2312" w:eastAsia="仿宋_GB2312"/>
                <w:sz w:val="21"/>
              </w:rPr>
              <w:t>、</w:t>
            </w:r>
            <w:r>
              <w:rPr>
                <w:rFonts w:ascii="仿宋_GB2312" w:hAnsi="仿宋_GB2312" w:cs="仿宋_GB2312" w:eastAsia="仿宋_GB2312"/>
                <w:sz w:val="21"/>
              </w:rPr>
              <w:t>支撑保障要求及其他相关要求。</w:t>
            </w:r>
          </w:p>
          <w:p>
            <w:pPr>
              <w:pStyle w:val="null3"/>
              <w:ind w:firstLine="480"/>
              <w:jc w:val="both"/>
            </w:pPr>
            <w:r>
              <w:rPr>
                <w:rFonts w:ascii="仿宋_GB2312" w:hAnsi="仿宋_GB2312" w:cs="仿宋_GB2312" w:eastAsia="仿宋_GB2312"/>
                <w:sz w:val="21"/>
              </w:rPr>
              <w:t>3.文档管理。供应商应在项目服务期内或完成时，按照档案管理要求，将本项目所有文档、资料汇集成册交付给采购人，所有文件要求用中文书写或有完整的中文注释。</w:t>
            </w:r>
          </w:p>
          <w:p>
            <w:pPr>
              <w:pStyle w:val="null3"/>
              <w:ind w:firstLine="480"/>
              <w:jc w:val="both"/>
            </w:pPr>
            <w:r>
              <w:rPr>
                <w:rFonts w:ascii="仿宋_GB2312" w:hAnsi="仿宋_GB2312" w:cs="仿宋_GB2312" w:eastAsia="仿宋_GB2312"/>
                <w:sz w:val="21"/>
              </w:rPr>
              <w:t>4</w:t>
            </w:r>
            <w:r>
              <w:rPr>
                <w:rFonts w:ascii="仿宋_GB2312" w:hAnsi="仿宋_GB2312" w:cs="仿宋_GB2312" w:eastAsia="仿宋_GB2312"/>
                <w:sz w:val="21"/>
              </w:rPr>
              <w:t>.质量管理。供应商应建立项目质量管理体系，包括但不限于质量目标、</w:t>
            </w:r>
            <w:r>
              <w:rPr>
                <w:rFonts w:ascii="仿宋_GB2312" w:hAnsi="仿宋_GB2312" w:cs="仿宋_GB2312" w:eastAsia="仿宋_GB2312"/>
                <w:sz w:val="21"/>
              </w:rPr>
              <w:t>质量保障措施</w:t>
            </w:r>
            <w:r>
              <w:rPr>
                <w:rFonts w:ascii="仿宋_GB2312" w:hAnsi="仿宋_GB2312" w:cs="仿宋_GB2312" w:eastAsia="仿宋_GB2312"/>
                <w:sz w:val="21"/>
              </w:rPr>
              <w:t>等内容。</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）成果归属</w:t>
            </w:r>
          </w:p>
          <w:p>
            <w:pPr>
              <w:pStyle w:val="null3"/>
              <w:ind w:firstLine="480"/>
              <w:jc w:val="both"/>
            </w:pPr>
            <w:r>
              <w:rPr>
                <w:rFonts w:ascii="仿宋_GB2312" w:hAnsi="仿宋_GB2312" w:cs="仿宋_GB2312" w:eastAsia="仿宋_GB2312"/>
                <w:sz w:val="21"/>
              </w:rPr>
              <w:t>1.供应商为履行本项目义务所形成的服务成果的知识产权、数据所有权等归采购人所有。本项目不会引起任何已申请、登记的知识产权所有权的转移。</w:t>
            </w:r>
          </w:p>
          <w:p>
            <w:pPr>
              <w:pStyle w:val="null3"/>
              <w:ind w:firstLine="480"/>
              <w:jc w:val="both"/>
            </w:pPr>
            <w:r>
              <w:rPr>
                <w:rFonts w:ascii="仿宋_GB2312" w:hAnsi="仿宋_GB2312" w:cs="仿宋_GB2312" w:eastAsia="仿宋_GB2312"/>
                <w:sz w:val="21"/>
              </w:rPr>
              <w:t>2.供应商保证向采购人提供的服务成果是其独立实施完成，不存在任何侵犯第三方专利权、商标权、著作权等合法权益。</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）保密要求</w:t>
            </w:r>
          </w:p>
          <w:p>
            <w:pPr>
              <w:pStyle w:val="null3"/>
              <w:ind w:firstLine="480"/>
              <w:jc w:val="both"/>
            </w:pPr>
            <w:r>
              <w:rPr>
                <w:rFonts w:ascii="仿宋_GB2312" w:hAnsi="仿宋_GB2312" w:cs="仿宋_GB2312" w:eastAsia="仿宋_GB2312"/>
                <w:sz w:val="21"/>
              </w:rPr>
              <w:t>项目实施过程中涉及</w:t>
            </w:r>
            <w:r>
              <w:rPr>
                <w:rFonts w:ascii="仿宋_GB2312" w:hAnsi="仿宋_GB2312" w:cs="仿宋_GB2312" w:eastAsia="仿宋_GB2312"/>
                <w:sz w:val="21"/>
              </w:rPr>
              <w:t>政务服务</w:t>
            </w:r>
            <w:r>
              <w:rPr>
                <w:rFonts w:ascii="仿宋_GB2312" w:hAnsi="仿宋_GB2312" w:cs="仿宋_GB2312" w:eastAsia="仿宋_GB2312"/>
                <w:sz w:val="21"/>
              </w:rPr>
              <w:t>敏感信息，需要制定严格的保密工作制度，主要包括：</w:t>
            </w:r>
          </w:p>
          <w:p>
            <w:pPr>
              <w:pStyle w:val="null3"/>
              <w:ind w:firstLine="480"/>
              <w:jc w:val="both"/>
            </w:pPr>
            <w:r>
              <w:rPr>
                <w:rFonts w:ascii="仿宋_GB2312" w:hAnsi="仿宋_GB2312" w:cs="仿宋_GB2312" w:eastAsia="仿宋_GB2312"/>
                <w:sz w:val="21"/>
              </w:rPr>
              <w:t>1.供应商应签订保密协议，对其因身份、职务、职业或技术关系而知悉的党政机关保密信息、各级未公开的规划材料等敏感信息应严格保守，保证不被披露或使用，包括意外或过失。</w:t>
            </w:r>
          </w:p>
          <w:p>
            <w:pPr>
              <w:pStyle w:val="null3"/>
              <w:ind w:firstLine="480"/>
              <w:jc w:val="both"/>
            </w:pPr>
            <w:r>
              <w:rPr>
                <w:rFonts w:ascii="仿宋_GB2312" w:hAnsi="仿宋_GB2312" w:cs="仿宋_GB2312" w:eastAsia="仿宋_GB2312"/>
                <w:sz w:val="21"/>
              </w:rPr>
              <w:t>2.供应商不得以竞争为目的或出于私利或为第三人谋利而擅自保存、披露、使用党政机关保密信息、省级政务信息化项目等敏感信息；未经允许，在从事政府项目时，不得擅自记录、复制、拍摄、摘抄、收藏在工作中涉及的保密信息；未经允许，不得直接或间接地向无关人员泄露党政机关保密信息、各级未公开的规划材料等敏感信息；未经允许，不得向不承担保密义务的任何第三人披露党政机关保密信息、各级未公开的规划材料等敏感信息。</w:t>
            </w:r>
          </w:p>
          <w:p>
            <w:pPr>
              <w:pStyle w:val="null3"/>
            </w:pPr>
            <w:r>
              <w:rPr>
                <w:rFonts w:ascii="仿宋_GB2312" w:hAnsi="仿宋_GB2312" w:cs="仿宋_GB2312" w:eastAsia="仿宋_GB2312"/>
                <w:sz w:val="21"/>
              </w:rPr>
              <w:t xml:space="preserve">   3.供应商及其服务团队工作人员对于工作期间知悉采购人的党政机关保密信息等敏感信息或工作过程中接触到的政府机关文件（包括内部发文、各类通知及会议记录等）的内容，同样承担保密责任，严禁将政府机关内部会议、谈话内容泄露给无关人员；不得翻阅与工作无关的文件和资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所有服务成果交付后，即可由成交人向采购人提出申请，由采购人组织履约验收。验收会对所有交付成果进行清点交接，验收通过后视为完成所有服务内容。（2）验收依据：合同文本；国家有关的验收标准及规范；磋商文件；响应文件；按照合同和根据磋商文件所编写的响应文件中相关的全部文档。</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预付款，签订合同后30日内，由成交人书面提出支付申请及相应发票，达到付款条件起15个工作日内，支付合同总金额的30.0%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交人提交1份“高效办成一件事”重点事项体检报告（人工）及1份“高效办成一件事”专区智能检测产品检测报告（AI）后30日内，由成交人书面提出支付申请及相应发票，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进度款，履约验收合格后，由成交人书面提出支付申请及相应发票 ，达到付款条件起15个工作日内，支付合同总金额的30.0%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在合同履行中，成交人无正当理由而停止向采购人继续提供服务的，或成交人未经采购人同意，擅自变更服务内容或提高收费标准、降低服务质量或提供服务不符合合同约定，每发生一次，成交人承担本合同总价款3‰的违约责任；发生三次以上的，采购人还有权单方解除合同，并要求成交人退还已支付的相关费用且有权要求成交人支付合同总价款20%的违约金，违约金不足以弥补损失的，成交人应予补足。（3）成交人擅自将合同所涉事项转委托给第三人的，采购人有权单方解除本合同，同时，成交人还应按照本合同总价款的20%向采购人支付违约金，违约金不足以弥补损失的，乙方应予补足。（4）服务过程中，成交人无正当理由提前终止本合同的，采购人有权拒绝支付费用，成交人应返还甲方已支付全部费用，采购人还有权要求成交人支付本合同总价款20%的违约金，违约金不足以弥补采购人损失的，成交人应予补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（1）供应商应根据磋商文件“第三章 磋商项目技术、服务、商务及其他要求”及“第六章 磋商办法”中“6.4.2评分标准”编制服务方案。（2）本项目结果公告发布后，成交人应向代理机构提供纸质响应文件三套，纸质响应文件应与系统上传响应文件内容保持一致。纸质响应文件应提供规范且结构清晰的目录，并标明具体页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本项目的特定资格要求证明材料.docx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本项目的特定资格要求证明材料.docx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 （或证明书）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本项目的特定资格要求证明材料.docx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法人提供经审计的2025年度的财务报告或提交响应文件递交截止时间前12个月内银行出具的资信证明；其他组织和自然人提供银行出具的资信证明或财务报表。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本项目的特定资格要求证明材料.docx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提供响应文件提交截止时间前12个月内至少一个月已缴纳的纳税凭据或完税证明，依法免税的供应商应提供相关文件证明。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本项目的特定资格要求证明材料.docx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提供响应文件截止时间前12个月内已缴存的至少一个月的社会保障资金缴存单据，或社保机构出具的社会保险参保缴费情况证明，依法不需要缴纳社会保障资金的单位应提供相关证明材料。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本项目的特定资格要求证明材料.docx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本项目的特定资格要求证明材料.docx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本项目的特定资格要求证明材料.docx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磋商报价未高于磋商文件公布的预算金额或最高限价。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磋商有效期不少于性磋商文件要求，否则其响应文件作为无效处理。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响应磋商文件“3.3 商务要求”中所列条款要求。</w:t>
            </w:r>
          </w:p>
        </w:tc>
        <w:tc>
          <w:tcPr>
            <w:tcW w:type="dxa" w:w="1661"/>
          </w:tcPr>
          <w:p>
            <w:pPr>
              <w:pStyle w:val="null3"/>
            </w:pPr>
            <w:r>
              <w:rPr>
                <w:rFonts w:ascii="仿宋_GB2312" w:hAnsi="仿宋_GB2312" w:cs="仿宋_GB2312" w:eastAsia="仿宋_GB2312"/>
              </w:rPr>
              <w:t>商务要求响应偏离表.docx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出现不符合法律、法规和磋商文件中规定的其他实质性要求的情况，响应文件作为无效处理。</w:t>
            </w:r>
          </w:p>
        </w:tc>
        <w:tc>
          <w:tcPr>
            <w:tcW w:type="dxa" w:w="1661"/>
          </w:tcPr>
          <w:p>
            <w:pPr>
              <w:pStyle w:val="null3"/>
            </w:pPr>
            <w:r>
              <w:rPr>
                <w:rFonts w:ascii="仿宋_GB2312" w:hAnsi="仿宋_GB2312" w:cs="仿宋_GB2312" w:eastAsia="仿宋_GB2312"/>
              </w:rPr>
              <w:t>响应文件封面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项目理解分析</w:t>
            </w:r>
          </w:p>
        </w:tc>
        <w:tc>
          <w:tcPr>
            <w:tcW w:type="dxa" w:w="2492"/>
          </w:tcPr>
          <w:p>
            <w:pPr>
              <w:pStyle w:val="null3"/>
            </w:pPr>
            <w:r>
              <w:rPr>
                <w:rFonts w:ascii="仿宋_GB2312" w:hAnsi="仿宋_GB2312" w:cs="仿宋_GB2312" w:eastAsia="仿宋_GB2312"/>
              </w:rPr>
              <w:t>一、评审内容： 根据供应商提供的方案内容进行赋分，方案内容包括： （1）项目背景及现状的了解和分析； （2）项目重点难点工作的了解及分析。 二、评审标准： （1）完整性：方案内容全面，结构框架完整，内容要素详尽； （2）针对性：贴合项目实际，与需求精准对接，分析及建议精确可行，未出现与项目无关的内容。 三、赋分标准（满分4分）： （1）项目背景及现状的了解和分析：完全满足所有评审标准得2分（每满足1个评审标准得1分，有瑕疵得0.5分，有缺陷或方案未提供得0分）。 （2）项目重点难点工作的了解及分析：完全满足评审标准得2分（每满足1个评审标准得1分，有瑕疵得0.5分，有缺陷或方案未提供得0分）。 备注：瑕疵是指存在不完全满足评审标准的情况；缺陷是指与项目需求不匹配，关键内容缺失，出现前后内容不一致的情形。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针对本项目的合理化建议</w:t>
            </w:r>
          </w:p>
        </w:tc>
        <w:tc>
          <w:tcPr>
            <w:tcW w:type="dxa" w:w="2492"/>
          </w:tcPr>
          <w:p>
            <w:pPr>
              <w:pStyle w:val="null3"/>
            </w:pPr>
            <w:r>
              <w:rPr>
                <w:rFonts w:ascii="仿宋_GB2312" w:hAnsi="仿宋_GB2312" w:cs="仿宋_GB2312" w:eastAsia="仿宋_GB2312"/>
              </w:rPr>
              <w:t>一、评审内容： 根据供应商提供的建议内容进行赋分： 二、评审标准： （1）完整性：内容全面，结构框架完整，内容要素详尽； （2）针对性：贴合项目实际，与需求精准对接，未出现与项目无关的内容； （3）可实施性：目标具体，步骤明确，内容切实可行，能保障项目顺利实施。 三、赋分标准（满分3分）： 完全满足评审标准得3分（每满足1个评审标准得1分，有瑕疵得0.5分，有缺陷或方案未提供得0分）。 备注：瑕疵是指存在不完全满足评审标准的情况；缺陷是指与项目需求不匹配，关键内容缺失，出现前后内容不一致的情形。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服务内容</w:t>
            </w:r>
          </w:p>
        </w:tc>
        <w:tc>
          <w:tcPr>
            <w:tcW w:type="dxa" w:w="2492"/>
          </w:tcPr>
          <w:p>
            <w:pPr>
              <w:pStyle w:val="null3"/>
            </w:pPr>
            <w:r>
              <w:rPr>
                <w:rFonts w:ascii="仿宋_GB2312" w:hAnsi="仿宋_GB2312" w:cs="仿宋_GB2312" w:eastAsia="仿宋_GB2312"/>
              </w:rPr>
              <w:t>一、评审内容： 根据供应商提供的方案内容进行赋分，方案内容包括： （1）需求挖掘； （2）重点事项线上体验及分析报告撰写； （3）线下大厅综合体验及分析报告撰写。 二、评审标准： （1）完整性：方案内容全面，结构框架完整，内容要素详尽，相关内容附有佐证材料支撑； （2）针对性：贴合项目实际，与需求精准对接，未出现与项目无关的内容； （3）可实施性：目标具体，步骤明确，内容切实可行，能保障项目顺利实施。 三、赋分标准（满分9分）： （1）需求挖掘：完全满足评审标准得3分（每满足1个评审标准得1分，有瑕疵得0.5分，有缺陷或方案未提供得0分）。 （2）重点事项线上体验及分析报告撰写：完全满足评审标准得3分（每满足1个评审标准得1分，有瑕疵得0.5分，有缺陷或方案未提供得0分）。 （3）线下大厅综合体验及分析报告撰写： 完全满足评审标准得3分（每满足1个评审标准得1分，有瑕疵得0.5分，有缺陷或方案未提供得0分）。 备注：瑕疵是指存在不完全满足评审标准的情况；缺陷是指与项目需求不匹配，关键内容缺失，出现前后内容不一致的情形。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服务实施</w:t>
            </w:r>
          </w:p>
        </w:tc>
        <w:tc>
          <w:tcPr>
            <w:tcW w:type="dxa" w:w="2492"/>
          </w:tcPr>
          <w:p>
            <w:pPr>
              <w:pStyle w:val="null3"/>
            </w:pPr>
            <w:r>
              <w:rPr>
                <w:rFonts w:ascii="仿宋_GB2312" w:hAnsi="仿宋_GB2312" w:cs="仿宋_GB2312" w:eastAsia="仿宋_GB2312"/>
              </w:rPr>
              <w:t>一、评审内容： 根据供应商提供的方案内容进行赋分，方案内容包括： （1）进度管理方案； （2）组织实施方案； （3）文档管理方案； （4）质量管理方案。 二、评审标准： （1）完整性：方案内容全面，结构框架完整，内容要素详尽，相关内容附有佐证材料支撑； （2）针对性：贴合项目实际，与需求精准对接，未出现与项目无关的内容； （3）可实施性：目标具体，步骤明确，内容切实可行，能保障项目顺利实施。 三、赋分标准（满分12分）： （1）进度管理方案：完全满足评审标准得3分（每满足1个评审标准得1分，有瑕疵得0.5分，有缺陷或方案未提供得0分）。 （2）组织实施方案：完全满足评审标准得3分（每满足1个评审标准得1分，有瑕疵得0.5分，有缺陷或方案未提供得0分）。 （3）文档管理方案：完全满足评审标准得3分（每满足1个评审标准得1分，有瑕疵得0.5分，有缺陷或方案未提供得0分）。 （4）质量管理方案：完全满足评审标准得3分（每满足1个评审标准得1分，有瑕疵得0.5分，有缺陷或方案未提供得0分）。 备注：瑕疵是指存在不完全满足评审标准的情况；缺陷是指与项目需求不匹配，关键内容缺失，出现前后内容不一致的情形。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根据供应商提供的方案内容进行赋分，方案内容包括： （1）保密措施； （2）保密制度。 二、评审标准： （1）完整性：方案内容全面，结构框架完整，内容要素详尽，相关内容附有佐证材料支撑； （2）针对性：贴合项目实际，与需求精准对接，未出现与项目无关的内容； （3）可实施性：目标具体，步骤明确，内容切实可行，能保障项目顺利实施。 三、赋分标准（满分6分） （1）保密措施：完全满足评审标准得3分（每满足1个评审标准得1分，有瑕疵得0.5分，有缺陷或方案未提供得0分）。 （2）保密制度：完全满足评审标准得3分（每满足1个评审标准得1分，有瑕疵得0.5分，有缺陷或方案未提供得0分）。 备注：瑕疵是指存在不完全满足评审标准的情况；缺陷是指与项目需求不匹配，关键内容缺失，出现前后内容不一致的情形。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一、评审内容： 根据供应商提供的方案内容进行赋分，方案内容包括： （1）针对项目实施过程中可能发生的突发事件进行梳理及分析； （2）针对各类突发事件的应急保障措施。 二、评审标准： （1）完整性：方案内容全面，结构框架完整，内容要素详尽，相关内容附有佐证材料支撑； （2）针对性：贴合项目实际，与需求精准对接，未出现与项目无关的内容； （3）可实施性：目标具体，步骤明确，内容切实可行，能保障项目顺利实施。 三、赋分标准（满分6分）： （1）针对项目实施过程中可能发生的突发事件进行梳理及分析：完全满足评审标准得3分（每满足1个评审标准得1分，有瑕疵得0.5分，有缺陷或方案未提供得0分）。 （2）针对各类突发事件的应急保障措施：完全满足评审标准得3分（每满足1个评审标准得1分，有瑕疵得0.5分，有缺陷或方案未提供得0分）。 备注：瑕疵是指存在不完全满足评审标准的情况；缺陷是指与项目需求不匹配，关键内容缺失，出现前后内容不一致的情形。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成果交付响应情况</w:t>
            </w:r>
          </w:p>
        </w:tc>
        <w:tc>
          <w:tcPr>
            <w:tcW w:type="dxa" w:w="2492"/>
          </w:tcPr>
          <w:p>
            <w:pPr>
              <w:pStyle w:val="null3"/>
            </w:pPr>
            <w:r>
              <w:rPr>
                <w:rFonts w:ascii="仿宋_GB2312" w:hAnsi="仿宋_GB2312" w:cs="仿宋_GB2312" w:eastAsia="仿宋_GB2312"/>
              </w:rPr>
              <w:t>根据供应商对磋商文件“3.2.2服务要求”→“技术参数与性能指标”→“一、服务内容”中“（二）交付成果”的响应情况进行赋分，完全响应磋商文件要求得10分，存在负偏离则不得分。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服务要求响应偏离表.docx</w:t>
            </w:r>
          </w:p>
        </w:tc>
      </w:tr>
      <w:tr>
        <w:tc>
          <w:tcPr>
            <w:tcW w:type="dxa" w:w="831"/>
            <w:vMerge/>
          </w:tcPr>
          <w:p/>
        </w:tc>
        <w:tc>
          <w:tcPr>
            <w:tcW w:type="dxa" w:w="1661"/>
          </w:tcPr>
          <w:p>
            <w:pPr>
              <w:pStyle w:val="null3"/>
            </w:pPr>
            <w:r>
              <w:rPr>
                <w:rFonts w:ascii="仿宋_GB2312" w:hAnsi="仿宋_GB2312" w:cs="仿宋_GB2312" w:eastAsia="仿宋_GB2312"/>
              </w:rPr>
              <w:t>成果归属响应情况</w:t>
            </w:r>
          </w:p>
        </w:tc>
        <w:tc>
          <w:tcPr>
            <w:tcW w:type="dxa" w:w="2492"/>
          </w:tcPr>
          <w:p>
            <w:pPr>
              <w:pStyle w:val="null3"/>
            </w:pPr>
            <w:r>
              <w:rPr>
                <w:rFonts w:ascii="仿宋_GB2312" w:hAnsi="仿宋_GB2312" w:cs="仿宋_GB2312" w:eastAsia="仿宋_GB2312"/>
              </w:rPr>
              <w:t>根据供应商对磋商文件“3.2.2服务要求”→“技术参数与性能指标”→“二、服务实施要求”中“（二）成果归属”的响应情况进行赋分，完全响应磋商文件要求得10分，存在负偏离则不得分。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服务要求响应偏离表.docx</w:t>
            </w:r>
          </w:p>
        </w:tc>
      </w:tr>
      <w:tr>
        <w:tc>
          <w:tcPr>
            <w:tcW w:type="dxa" w:w="831"/>
            <w:vMerge/>
          </w:tcPr>
          <w:p/>
        </w:tc>
        <w:tc>
          <w:tcPr>
            <w:tcW w:type="dxa" w:w="1661"/>
          </w:tcPr>
          <w:p>
            <w:pPr>
              <w:pStyle w:val="null3"/>
            </w:pPr>
            <w:r>
              <w:rPr>
                <w:rFonts w:ascii="仿宋_GB2312" w:hAnsi="仿宋_GB2312" w:cs="仿宋_GB2312" w:eastAsia="仿宋_GB2312"/>
              </w:rPr>
              <w:t>服务团队人员履约能力</w:t>
            </w:r>
          </w:p>
        </w:tc>
        <w:tc>
          <w:tcPr>
            <w:tcW w:type="dxa" w:w="2492"/>
          </w:tcPr>
          <w:p>
            <w:pPr>
              <w:pStyle w:val="null3"/>
            </w:pPr>
            <w:r>
              <w:rPr>
                <w:rFonts w:ascii="仿宋_GB2312" w:hAnsi="仿宋_GB2312" w:cs="仿宋_GB2312" w:eastAsia="仿宋_GB2312"/>
              </w:rPr>
              <w:t>一、服务团队人员：具备副高级或以上编辑职称证书，每提供1份职称证书得2.5分，最高得10分。 二、项目负责人：具备同类项目服务经验，每提供1份证明材料得3分，最高得6分。证明材料不限于服务合同或服务委托方出具的证明，证明材料中应体现服务内容及人员信息。 备注：职称证书按人计分；职称证书及证明材料复印件加盖公章。</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服务团队人员履约能力证明材料.docx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一、供应商具备GB/T19001或ISO9001质量管理体系证书，得2分； 二、供应商具备GB/T22080或ISO/IEC27001信息安全管理体系证书，得2分； 三、供应商具备GB/T24405或ISO/IEC20000信息技术服务管理体系认证证书，得2分。 备注：提供证书复印件加盖公章。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履约能力证明材料.docx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供应商提供2023年1月至今同类项目合同（以合同签订日期为准），每提供1份同类项目合同得1分，最高得8分。 备注：提供合同关键页（首页、金额页、服务内容页、签署页）并加盖公章。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分值计算方法：P=10×Pmin/ Pn 其中：Pmin：所有有效供应商的最后报价的最低报价。 Pn：第n个供应商的最后报价。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详见附件：服务要求响应偏离表.docx</w:t>
      </w:r>
    </w:p>
    <w:p>
      <w:pPr>
        <w:pStyle w:val="null3"/>
        <w:ind w:firstLine="960"/>
      </w:pPr>
      <w:r>
        <w:rPr>
          <w:rFonts w:ascii="仿宋_GB2312" w:hAnsi="仿宋_GB2312" w:cs="仿宋_GB2312" w:eastAsia="仿宋_GB2312"/>
        </w:rPr>
        <w:t>详见附件：商务要求响应偏离表.docx</w:t>
      </w:r>
    </w:p>
    <w:p>
      <w:pPr>
        <w:pStyle w:val="null3"/>
        <w:ind w:firstLine="960"/>
      </w:pPr>
      <w:r>
        <w:rPr>
          <w:rFonts w:ascii="仿宋_GB2312" w:hAnsi="仿宋_GB2312" w:cs="仿宋_GB2312" w:eastAsia="仿宋_GB2312"/>
        </w:rPr>
        <w:t>详见附件：履约能力证明材料.docx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详见附件：服务团队人员履约能力证明材料.docx</w:t>
      </w:r>
    </w:p>
    <w:p>
      <w:pPr>
        <w:pStyle w:val="null3"/>
        <w:ind w:firstLine="960"/>
      </w:pPr>
      <w:r>
        <w:rPr>
          <w:rFonts w:ascii="仿宋_GB2312" w:hAnsi="仿宋_GB2312" w:cs="仿宋_GB2312" w:eastAsia="仿宋_GB2312"/>
        </w:rPr>
        <w:t>详见附件：总体服务方案.docx</w:t>
      </w:r>
    </w:p>
    <w:p>
      <w:pPr>
        <w:pStyle w:val="null3"/>
        <w:ind w:firstLine="960"/>
      </w:pPr>
      <w:r>
        <w:rPr>
          <w:rFonts w:ascii="仿宋_GB2312" w:hAnsi="仿宋_GB2312" w:cs="仿宋_GB2312" w:eastAsia="仿宋_GB2312"/>
        </w:rPr>
        <w:t>详见附件：本项目的特定资格要求证明材料.docx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