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版本号：ZMZB2026SYDX-28420260709001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AI智能体创新应用与服务平台项目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ZMZB2026SYDX-284</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AI智能体创新应用与服务平台项目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ZMZB2026SYDX-284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AI智能体创新应用与服务平台项目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AI智能体创新应用与服务平台项目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pPr>
        <w:pStyle w:val="null3"/>
      </w:pPr>
      <w:r>
        <w:rPr>
          <w:rFonts w:ascii="仿宋_GB2312" w:hAnsi="仿宋_GB2312" w:cs="仿宋_GB2312" w:eastAsia="仿宋_GB2312"/>
        </w:rPr>
        <w:t>3、具有履行本合同所必需专业技术能力的说明及承诺：提供具有履行本合同所必需专业技术能力的说明及承诺</w:t>
      </w:r>
    </w:p>
    <w:p>
      <w:pPr>
        <w:pStyle w:val="null3"/>
      </w:pPr>
      <w:r>
        <w:rPr>
          <w:rFonts w:ascii="仿宋_GB2312" w:hAnsi="仿宋_GB2312" w:cs="仿宋_GB2312" w:eastAsia="仿宋_GB2312"/>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8、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采购包1保证金金额：37,800.00元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 待合同执行完毕、服务验收合格后凭验收单和缴款收据，合同履约保证金予以无息退还。如遇下列情况之一者，合同履约保证金不予退还，作为对招标人的赔偿：（1）合同签订后不能按合同时限要求供货或安装调试；（2）所供内容不合格、与合同不符；（3）不能按合同履约；（4）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代理服务费收费标准：采购代理服务费参照国家计委颁布的《招标代理服务收费管理暂行办法》（计价格[2002]1980号）号文件收费标准的90%收取。 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西安石油大学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在采购项目实施过程中采用自有或者第三方知识成果的，使用该知识成果后，供应商需提供开发接口和开发手册等技术资料，并承诺提供无限期支持，采购人享有使用权（含采购人委托第三方在该项目后续开发的使用权）。供应商提供的AI智能体开发平台中，由采购人利用平台功能独立或主导产生的智能体（Agent）、知识库（Knowledge Base）、工作流（Workflow）、技能（Skill）、MCP（Model Context Protocol）配置、插件（Plugin）、提示词（Prompt）及其他利用平台工具生成的智力成果，其知识产权及相关权益归采购人所有。采购人对前述成果享有完整的占有、使用、收益和处分的权利，供应商不得以任何形式主张权利或对采购人后续的使用、复制、修改、分发及商业化利用施加限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AI智能体创新应用与服务平台项目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1,890,000.00</w:t>
      </w:r>
    </w:p>
    <w:p>
      <w:pPr>
        <w:pStyle w:val="null3"/>
      </w:pPr>
      <w:r>
        <w:rPr>
          <w:rFonts w:ascii="仿宋_GB2312" w:hAnsi="仿宋_GB2312" w:cs="仿宋_GB2312" w:eastAsia="仿宋_GB2312"/>
        </w:rPr>
        <w:t>采购包最高限价（元）: 1,890,000.00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西安石油大学AI智能体创新应用与服务平台项目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标的名称：西安石油大学AI智能体创新应用与服务平台项目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pPr>
            <w:r>
              <w:rPr>
                <w:rFonts w:ascii="仿宋_GB2312" w:hAnsi="仿宋_GB2312" w:cs="仿宋_GB2312" w:eastAsia="仿宋_GB2312"/>
                <w:sz w:val="28"/>
                <w:color w:val="000000"/>
              </w:rPr>
              <w:t>一</w:t>
            </w:r>
            <w:r>
              <w:rPr>
                <w:rFonts w:ascii="仿宋_GB2312" w:hAnsi="仿宋_GB2312" w:cs="仿宋_GB2312" w:eastAsia="仿宋_GB2312"/>
                <w:sz w:val="28"/>
                <w:color w:val="000000"/>
              </w:rPr>
              <w:t>、项目简介</w:t>
            </w:r>
          </w:p>
          <w:p>
            <w:pPr>
              <w:pStyle w:val="null3"/>
            </w:pPr>
            <w:r>
              <w:rPr>
                <w:rFonts w:ascii="仿宋_GB2312" w:hAnsi="仿宋_GB2312" w:cs="仿宋_GB2312" w:eastAsia="仿宋_GB2312"/>
                <w:sz w:val="24"/>
              </w:rPr>
              <w:t>本项目以构建面向全校的统一</w:t>
            </w:r>
            <w:r>
              <w:rPr>
                <w:rFonts w:ascii="仿宋_GB2312" w:hAnsi="仿宋_GB2312" w:cs="仿宋_GB2312" w:eastAsia="仿宋_GB2312"/>
                <w:sz w:val="24"/>
              </w:rPr>
              <w:t>AI智能体创新应用与服务平台为核心，打造"智能体开发平台+AI中台+场景化智能体应用+培训与赛事运营"一体化体系，建设内容包括：提供低代码/零代码智能体开发平台，支持多模型统一纳管调度与工作流编排，降低AI应用开发门槛；建设一站式AI融合门户，实现智能体统一聚合展示与多终端自然语言交互访问；搭建私有化知识库平台，实现多类型文档本地化向量检索与知识支撑；构建智能体全生命周期管理平台，涵盖备案、审核、发布、监控与安全运营；分批交付不少于60个覆盖教学、科研、管理、服务四大领域的场景化智能体；配套建设培训与赛事运营体系，以赛促学、以训促践。项目建设旨在解决当前学校服务入口分散、数据孤岛制约智能服务、AI应用缺乏统一平台与规范等突出问题，构建面向全校的统一AI技术底座，推动人工智能与教学、科研、管理、服务的深度融合，加速学校从传统"系统上线"阶段向"智能服务""智能助理"阶段转型升级，全面提升学校教育数字化与智能化水平。</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rPr>
              <w:t>二、项目背景</w:t>
            </w:r>
            <w:r>
              <w:br/>
            </w:r>
            <w:r>
              <w:rPr>
                <w:rFonts w:ascii="仿宋_GB2312" w:hAnsi="仿宋_GB2312" w:cs="仿宋_GB2312" w:eastAsia="仿宋_GB2312"/>
              </w:rPr>
              <w:t xml:space="preserve">     </w:t>
            </w:r>
            <w:r>
              <w:rPr>
                <w:rFonts w:ascii="仿宋_GB2312" w:hAnsi="仿宋_GB2312" w:cs="仿宋_GB2312" w:eastAsia="仿宋_GB2312"/>
                <w:sz w:val="24"/>
              </w:rPr>
              <w:t>西安石油大学</w:t>
            </w:r>
            <w:r>
              <w:rPr>
                <w:rFonts w:ascii="仿宋_GB2312" w:hAnsi="仿宋_GB2312" w:cs="仿宋_GB2312" w:eastAsia="仿宋_GB2312"/>
                <w:sz w:val="24"/>
              </w:rPr>
              <w:t>“十四五”期间已建设完成校园网络、统一身份认证、一卡通、教务与科研管理、智慧</w:t>
            </w:r>
            <w:r>
              <w:rPr>
                <w:rFonts w:ascii="仿宋_GB2312" w:hAnsi="仿宋_GB2312" w:cs="仿宋_GB2312" w:eastAsia="仿宋_GB2312"/>
                <w:sz w:val="24"/>
              </w:rPr>
              <w:t>教室</w:t>
            </w:r>
            <w:r>
              <w:rPr>
                <w:rFonts w:ascii="仿宋_GB2312" w:hAnsi="仿宋_GB2312" w:cs="仿宋_GB2312" w:eastAsia="仿宋_GB2312"/>
                <w:sz w:val="24"/>
              </w:rPr>
              <w:t>、数据治理等基础信息化体系，业务流程基本实现线上化与标准化。但在人工智能方向仍缺乏统一平台和体系化能力支撑，难以承接国家、省级政策的创新要求以及校内快速增长的智能化服务需求</w:t>
            </w:r>
            <w:r>
              <w:rPr>
                <w:rFonts w:ascii="仿宋_GB2312" w:hAnsi="仿宋_GB2312" w:cs="仿宋_GB2312" w:eastAsia="仿宋_GB2312"/>
                <w:sz w:val="24"/>
              </w:rPr>
              <w:t>。</w:t>
            </w:r>
            <w:r>
              <w:br/>
            </w:r>
            <w:r>
              <w:rPr>
                <w:rFonts w:ascii="仿宋_GB2312" w:hAnsi="仿宋_GB2312" w:cs="仿宋_GB2312" w:eastAsia="仿宋_GB2312"/>
                <w:sz w:val="24"/>
              </w:rPr>
              <w:t>1. 现状分析：</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①服务入口分散、交互方式落后：各业务系统相对割裂，师生在教务、科研、后勤等系统间频繁切换，尚未形成统一的智能服务入口；现有应用多依赖表单、菜单式操作，缺乏“框式”自然语言对话式交互，难以满足“问一处、办多事”的即时服务体验。  </w:t>
            </w:r>
            <w:r>
              <w:br/>
            </w:r>
            <w:r>
              <w:rPr>
                <w:rFonts w:ascii="仿宋_GB2312" w:hAnsi="仿宋_GB2312" w:cs="仿宋_GB2312" w:eastAsia="仿宋_GB2312"/>
                <w:sz w:val="24"/>
              </w:rPr>
              <w:t xml:space="preserve">    </w:t>
            </w:r>
            <w:r>
              <w:rPr>
                <w:rFonts w:ascii="仿宋_GB2312" w:hAnsi="仿宋_GB2312" w:cs="仿宋_GB2312" w:eastAsia="仿宋_GB2312"/>
                <w:sz w:val="24"/>
              </w:rPr>
              <w:t>②数据孤岛制约智能问答与场景化服务：教务、科研、财务、人事、后勤等数据分散在不同系统，缺少统一的数据融合与语义理解层，无法对跨系统的综合问题进行智能分析与联动响应，数据价值尚未充分转化为智能服务能力。</w:t>
            </w:r>
            <w:r>
              <w:br/>
            </w:r>
            <w:r>
              <w:rPr>
                <w:rFonts w:ascii="仿宋_GB2312" w:hAnsi="仿宋_GB2312" w:cs="仿宋_GB2312" w:eastAsia="仿宋_GB2312"/>
                <w:sz w:val="24"/>
              </w:rPr>
              <w:t xml:space="preserve">    </w:t>
            </w:r>
            <w:r>
              <w:rPr>
                <w:rFonts w:ascii="仿宋_GB2312" w:hAnsi="仿宋_GB2312" w:cs="仿宋_GB2312" w:eastAsia="仿宋_GB2312"/>
                <w:sz w:val="24"/>
              </w:rPr>
              <w:t>③AI 应用建设缺乏统一平台与规范：学校在智能化转型上有迫切诉求，但缺少统一的智能体开发、部署、运维与门户平台，智能应用建设呈零散探索状态，存在重复建设、技术栈不统一、接口标准不一致等问题，不利于规模化推广与复用。</w:t>
            </w:r>
            <w:r>
              <w:br/>
            </w:r>
            <w:r>
              <w:rPr>
                <w:rFonts w:ascii="仿宋_GB2312" w:hAnsi="仿宋_GB2312" w:cs="仿宋_GB2312" w:eastAsia="仿宋_GB2312"/>
                <w:sz w:val="24"/>
              </w:rPr>
              <w:t xml:space="preserve">    </w:t>
            </w:r>
            <w:r>
              <w:rPr>
                <w:rFonts w:ascii="仿宋_GB2312" w:hAnsi="仿宋_GB2312" w:cs="仿宋_GB2312" w:eastAsia="仿宋_GB2312"/>
                <w:sz w:val="24"/>
              </w:rPr>
              <w:t>④业务部门缺少将需求转化为 AI 应用的工具与能力：业务部门掌握大量一线场景，但受限于大模型与AI技术门槛，缺乏低门槛的智能体配置工具和方法论，难以高效完成“业务需求—智能体应用”的闭环转化。</w:t>
            </w:r>
            <w:r>
              <w:br/>
            </w:r>
            <w:r>
              <w:rPr>
                <w:rFonts w:ascii="仿宋_GB2312" w:hAnsi="仿宋_GB2312" w:cs="仿宋_GB2312" w:eastAsia="仿宋_GB2312"/>
                <w:sz w:val="24"/>
              </w:rPr>
              <w:t xml:space="preserve">    </w:t>
            </w:r>
            <w:r>
              <w:rPr>
                <w:rFonts w:ascii="仿宋_GB2312" w:hAnsi="仿宋_GB2312" w:cs="仿宋_GB2312" w:eastAsia="仿宋_GB2312"/>
                <w:sz w:val="24"/>
              </w:rPr>
              <w:t>⑤智能化服务缺少可持续演进的统一底座：现有信息化建设多围绕单一系统功能扩展，尚未形成面向全校的统一AI技术底座，无法在同一平台上完成大模型接入、知识库构建、智能体编排、多渠道发布与运营监控，导致新场景落地周期长、评估和迭代困难。</w:t>
            </w:r>
            <w:r>
              <w:br/>
            </w:r>
            <w:r>
              <w:rPr>
                <w:rFonts w:ascii="仿宋_GB2312" w:hAnsi="仿宋_GB2312" w:cs="仿宋_GB2312" w:eastAsia="仿宋_GB2312"/>
                <w:sz w:val="24"/>
              </w:rPr>
              <w:t xml:space="preserve">     </w:t>
            </w:r>
            <w:r>
              <w:rPr>
                <w:rFonts w:ascii="仿宋_GB2312" w:hAnsi="仿宋_GB2312" w:cs="仿宋_GB2312" w:eastAsia="仿宋_GB2312"/>
                <w:sz w:val="24"/>
              </w:rPr>
              <w:t>基于上述背景，学校拟建设</w:t>
            </w:r>
            <w:r>
              <w:rPr>
                <w:rFonts w:ascii="仿宋_GB2312" w:hAnsi="仿宋_GB2312" w:cs="仿宋_GB2312" w:eastAsia="仿宋_GB2312"/>
                <w:sz w:val="24"/>
              </w:rPr>
              <w:t>“西安石油大学智能体创新应用服务平台”，打造面向全校的校园AI智能体开发与应用平台，作为统一AI底座，支撑教学、学习、科研、管理、服务和产教融合等各类智能体场景建设，全面提升学校教育数字化和智能化水平。</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after="165"/>
              <w:ind w:firstLine="560"/>
            </w:pPr>
            <w:r>
              <w:rPr>
                <w:rFonts w:ascii="仿宋_GB2312" w:hAnsi="仿宋_GB2312" w:cs="仿宋_GB2312" w:eastAsia="仿宋_GB2312"/>
                <w:sz w:val="28"/>
                <w:color w:val="000000"/>
              </w:rPr>
              <w:t>三</w:t>
            </w:r>
            <w:r>
              <w:rPr>
                <w:rFonts w:ascii="仿宋_GB2312" w:hAnsi="仿宋_GB2312" w:cs="仿宋_GB2312" w:eastAsia="仿宋_GB2312"/>
                <w:sz w:val="28"/>
                <w:color w:val="000000"/>
              </w:rPr>
              <w:t>、建设内容</w:t>
            </w:r>
            <w:r>
              <w:br/>
            </w:r>
            <w:r>
              <w:rPr>
                <w:rFonts w:ascii="仿宋_GB2312" w:hAnsi="仿宋_GB2312" w:cs="仿宋_GB2312" w:eastAsia="仿宋_GB2312"/>
                <w:sz w:val="24"/>
                <w:color w:val="000000"/>
              </w:rPr>
              <w:t>1.建设清单</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本项目面向全校构建统一的智能体创新应用服务平台，形成</w:t>
            </w:r>
            <w:r>
              <w:rPr>
                <w:rFonts w:ascii="仿宋_GB2312" w:hAnsi="仿宋_GB2312" w:cs="仿宋_GB2312" w:eastAsia="仿宋_GB2312"/>
                <w:sz w:val="24"/>
                <w:color w:val="000000"/>
              </w:rPr>
              <w:t>“智能体开发平台 + AI中台 + 场景化智能体应用 + 培训与赛事运营”的整体体系</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建设清单</w:t>
            </w:r>
          </w:p>
          <w:tbl>
            <w:tblPr>
              <w:tblInd w:type="dxa" w:w="210"/>
              <w:tblBorders>
                <w:top w:val="none" w:color="000000" w:sz="4"/>
                <w:left w:val="none" w:color="000000" w:sz="4"/>
                <w:bottom w:val="none" w:color="000000" w:sz="4"/>
                <w:right w:val="none" w:color="000000" w:sz="4"/>
                <w:insideH w:val="none"/>
                <w:insideV w:val="none"/>
              </w:tblBorders>
            </w:tblPr>
            <w:tblGrid>
              <w:gridCol w:w="198"/>
              <w:gridCol w:w="783"/>
              <w:gridCol w:w="1566"/>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序号</w:t>
                  </w:r>
                </w:p>
              </w:tc>
              <w:tc>
                <w:tcPr>
                  <w:tcW w:type="dxa" w:w="7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分类</w:t>
                  </w:r>
                </w:p>
              </w:tc>
              <w:tc>
                <w:tcPr>
                  <w:tcW w:type="dxa" w:w="1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建设功能</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智能体开发平台</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提供智能体搭建平台，可借助零代码智能体助手或工作流编排、知识库</w:t>
                  </w:r>
                  <w:r>
                    <w:rPr>
                      <w:rFonts w:ascii="仿宋_GB2312" w:hAnsi="仿宋_GB2312" w:cs="仿宋_GB2312" w:eastAsia="仿宋_GB2312"/>
                      <w:sz w:val="24"/>
                      <w:color w:val="000000"/>
                    </w:rPr>
                    <w:t>/数据库引用、工具插件集成，同时具备多种模型接入等能力低门槛构建智能体。</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AI融合门户</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建设校园</w:t>
                  </w:r>
                  <w:r>
                    <w:rPr>
                      <w:rFonts w:ascii="仿宋_GB2312" w:hAnsi="仿宋_GB2312" w:cs="仿宋_GB2312" w:eastAsia="仿宋_GB2312"/>
                      <w:sz w:val="24"/>
                      <w:color w:val="000000"/>
                    </w:rPr>
                    <w:t>AI总入口，统一聚合各类智能体应用，支持多终端访问，可接入第三方智能体。</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智能体管理平台</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实现智能体全生命周期管理，包括备案、审核、发布、监控、统计分析，同时具备智能体效果观测和相关安全能力。</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私有化知识库平台</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支持多类非结构化与结构化文档的本地向量存储与语义混合检索，具备图文协同匹配、多轮会话管理及三级细粒度权限，数据不离场，为智能体问答与业务咨询提供安全高效的知识支撑。</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场景化智能体应用</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分三期</w:t>
                  </w:r>
                  <w:r>
                    <w:rPr>
                      <w:rFonts w:ascii="仿宋_GB2312" w:hAnsi="仿宋_GB2312" w:cs="仿宋_GB2312" w:eastAsia="仿宋_GB2312"/>
                      <w:sz w:val="24"/>
                      <w:color w:val="000000"/>
                    </w:rPr>
                    <w:t>建设通用工具类、问答助手类、办公办事类、业务及数据对接类、数字员工类智能体，总数不少于</w:t>
                  </w:r>
                  <w:r>
                    <w:rPr>
                      <w:rFonts w:ascii="仿宋_GB2312" w:hAnsi="仿宋_GB2312" w:cs="仿宋_GB2312" w:eastAsia="仿宋_GB2312"/>
                      <w:sz w:val="24"/>
                      <w:color w:val="000000"/>
                    </w:rPr>
                    <w:t>60个。</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培训与赛事运营子系统</w:t>
                  </w:r>
                </w:p>
              </w:tc>
              <w:tc>
                <w:tcPr>
                  <w:tcW w:type="dxa" w:w="1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支撑分层分类培训与校级</w:t>
                  </w:r>
                  <w:r>
                    <w:rPr>
                      <w:rFonts w:ascii="仿宋_GB2312" w:hAnsi="仿宋_GB2312" w:cs="仿宋_GB2312" w:eastAsia="仿宋_GB2312"/>
                      <w:sz w:val="24"/>
                      <w:color w:val="000000"/>
                    </w:rPr>
                    <w:t>AI智能体创新大赛运营及作品孵化，涵盖赛题设计与成果转化，以赛促学、以训促践，提升师生数字化素养与智能应用能力</w:t>
                  </w:r>
                  <w:r>
                    <w:rPr>
                      <w:rFonts w:ascii="仿宋_GB2312" w:hAnsi="仿宋_GB2312" w:cs="仿宋_GB2312" w:eastAsia="仿宋_GB2312"/>
                      <w:sz w:val="24"/>
                      <w:color w:val="000000"/>
                    </w:rPr>
                    <w:t>。</w:t>
                  </w:r>
                </w:p>
              </w:tc>
            </w:tr>
          </w:tbl>
          <w:p>
            <w:pPr>
              <w:pStyle w:val="null3"/>
              <w:spacing w:after="165"/>
              <w:jc w:val="center"/>
            </w:pPr>
            <w:r>
              <w:rPr>
                <w:rFonts w:ascii="仿宋_GB2312" w:hAnsi="仿宋_GB2312" w:cs="仿宋_GB2312" w:eastAsia="仿宋_GB2312"/>
                <w:sz w:val="24"/>
                <w:color w:val="000000"/>
              </w:rPr>
              <w:t>算力资源建设清单</w:t>
            </w:r>
          </w:p>
          <w:tbl>
            <w:tblPr>
              <w:tblInd w:type="dxa" w:w="210"/>
              <w:tblBorders>
                <w:top w:val="none" w:color="000000" w:sz="4"/>
                <w:left w:val="none" w:color="000000" w:sz="4"/>
                <w:bottom w:val="none" w:color="000000" w:sz="4"/>
                <w:right w:val="none" w:color="000000" w:sz="4"/>
                <w:insideH w:val="none"/>
                <w:insideV w:val="none"/>
              </w:tblBorders>
            </w:tblPr>
            <w:tblGrid>
              <w:gridCol w:w="224"/>
              <w:gridCol w:w="769"/>
              <w:gridCol w:w="1548"/>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序号</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分类</w:t>
                  </w:r>
                </w:p>
              </w:tc>
              <w:tc>
                <w:tcPr>
                  <w:tcW w:type="dxa" w:w="1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建设功能</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公有云算力与模型服务</w:t>
                  </w:r>
                </w:p>
              </w:tc>
              <w:tc>
                <w:tcPr>
                  <w:tcW w:type="dxa" w:w="1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提供文本</w:t>
                  </w:r>
                  <w:r>
                    <w:rPr>
                      <w:rFonts w:ascii="仿宋_GB2312" w:hAnsi="仿宋_GB2312" w:cs="仿宋_GB2312" w:eastAsia="仿宋_GB2312"/>
                      <w:sz w:val="24"/>
                      <w:color w:val="000000"/>
                    </w:rPr>
                    <w:t>/多模态大模型推理与生成能力，</w:t>
                  </w:r>
                  <w:r>
                    <w:rPr>
                      <w:rFonts w:ascii="仿宋_GB2312" w:hAnsi="仿宋_GB2312" w:cs="仿宋_GB2312" w:eastAsia="仿宋_GB2312"/>
                      <w:sz w:val="24"/>
                      <w:color w:val="000000"/>
                    </w:rPr>
                    <w:t>兼容多家主流大模型</w:t>
                  </w:r>
                  <w:r>
                    <w:rPr>
                      <w:rFonts w:ascii="仿宋_GB2312" w:hAnsi="仿宋_GB2312" w:cs="仿宋_GB2312" w:eastAsia="仿宋_GB2312"/>
                      <w:sz w:val="24"/>
                      <w:color w:val="000000"/>
                    </w:rPr>
                    <w:t>云端算力的</w:t>
                  </w:r>
                  <w:r>
                    <w:rPr>
                      <w:rFonts w:ascii="仿宋_GB2312" w:hAnsi="仿宋_GB2312" w:cs="仿宋_GB2312" w:eastAsia="仿宋_GB2312"/>
                      <w:sz w:val="24"/>
                      <w:color w:val="000000"/>
                    </w:rPr>
                    <w:t>统一开发</w:t>
                  </w:r>
                  <w:r>
                    <w:rPr>
                      <w:rFonts w:ascii="仿宋_GB2312" w:hAnsi="仿宋_GB2312" w:cs="仿宋_GB2312" w:eastAsia="仿宋_GB2312"/>
                      <w:sz w:val="24"/>
                      <w:color w:val="000000"/>
                    </w:rPr>
                    <w:t>调用</w:t>
                  </w:r>
                  <w:r>
                    <w:rPr>
                      <w:rFonts w:ascii="仿宋_GB2312" w:hAnsi="仿宋_GB2312" w:cs="仿宋_GB2312" w:eastAsia="仿宋_GB2312"/>
                      <w:sz w:val="24"/>
                      <w:color w:val="000000"/>
                    </w:rPr>
                    <w:t>环境</w:t>
                  </w:r>
                  <w:r>
                    <w:rPr>
                      <w:rFonts w:ascii="仿宋_GB2312" w:hAnsi="仿宋_GB2312" w:cs="仿宋_GB2312" w:eastAsia="仿宋_GB2312"/>
                      <w:sz w:val="24"/>
                      <w:color w:val="000000"/>
                    </w:rPr>
                    <w:t>。</w:t>
                  </w:r>
                </w:p>
              </w:tc>
            </w:tr>
          </w:tbl>
          <w:p>
            <w:pPr>
              <w:pStyle w:val="null3"/>
              <w:spacing w:after="285"/>
              <w:ind w:left="15" w:right="60"/>
              <w:outlineLvl w:val="3"/>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平台总体架构</w:t>
            </w:r>
          </w:p>
          <w:p>
            <w:pPr>
              <w:pStyle w:val="null3"/>
              <w:spacing w:after="165"/>
              <w:ind w:firstLine="480"/>
            </w:pPr>
            <w:r>
              <w:rPr>
                <w:rFonts w:ascii="仿宋_GB2312" w:hAnsi="仿宋_GB2312" w:cs="仿宋_GB2312" w:eastAsia="仿宋_GB2312"/>
                <w:sz w:val="24"/>
                <w:color w:val="000000"/>
              </w:rPr>
              <w:t>智能体创新应用服务平台总体采用</w:t>
            </w:r>
            <w:r>
              <w:rPr>
                <w:rFonts w:ascii="仿宋_GB2312" w:hAnsi="仿宋_GB2312" w:cs="仿宋_GB2312" w:eastAsia="仿宋_GB2312"/>
                <w:sz w:val="24"/>
                <w:color w:val="000000"/>
              </w:rPr>
              <w:t>“应用矩阵层—平台服务层—中台能力层—基础支撑层—学校基础数据层”的五层架构，统筹建设：</w:t>
            </w:r>
          </w:p>
          <w:p>
            <w:pPr>
              <w:pStyle w:val="null3"/>
              <w:spacing w:after="165"/>
              <w:ind w:firstLine="480"/>
            </w:pPr>
            <w:r>
              <w:rPr>
                <w:rFonts w:ascii="仿宋_GB2312" w:hAnsi="仿宋_GB2312" w:cs="仿宋_GB2312" w:eastAsia="仿宋_GB2312"/>
                <w:sz w:val="24"/>
                <w:color w:val="000000"/>
              </w:rPr>
              <w:t xml:space="preserve">① </w:t>
            </w:r>
            <w:r>
              <w:rPr>
                <w:rFonts w:ascii="仿宋_GB2312" w:hAnsi="仿宋_GB2312" w:cs="仿宋_GB2312" w:eastAsia="仿宋_GB2312"/>
                <w:sz w:val="24"/>
                <w:color w:val="000000"/>
              </w:rPr>
              <w:t>校园</w:t>
            </w:r>
            <w:r>
              <w:rPr>
                <w:rFonts w:ascii="仿宋_GB2312" w:hAnsi="仿宋_GB2312" w:cs="仿宋_GB2312" w:eastAsia="仿宋_GB2312"/>
                <w:sz w:val="24"/>
                <w:color w:val="000000"/>
              </w:rPr>
              <w:t>AI应用矩阵：围绕“教、学、管、研、服”五大领域，建设授课助手、学情分析、教学评价、个性化学习、学生管理、人事服务、科研助手、迎新服务、后勤保障等一批场景化智能体，形成可持续扩展的AI应用矩阵。</w:t>
            </w:r>
          </w:p>
          <w:p>
            <w:pPr>
              <w:pStyle w:val="null3"/>
              <w:spacing w:after="165"/>
              <w:ind w:firstLine="480"/>
            </w:pPr>
            <w:r>
              <w:rPr>
                <w:rFonts w:ascii="仿宋_GB2312" w:hAnsi="仿宋_GB2312" w:cs="仿宋_GB2312" w:eastAsia="仿宋_GB2312"/>
                <w:sz w:val="24"/>
                <w:color w:val="000000"/>
              </w:rPr>
              <w:t xml:space="preserve">② </w:t>
            </w:r>
            <w:r>
              <w:rPr>
                <w:rFonts w:ascii="仿宋_GB2312" w:hAnsi="仿宋_GB2312" w:cs="仿宋_GB2312" w:eastAsia="仿宋_GB2312"/>
                <w:sz w:val="24"/>
                <w:color w:val="000000"/>
              </w:rPr>
              <w:t>平台服务层（</w:t>
            </w:r>
            <w:r>
              <w:rPr>
                <w:rFonts w:ascii="仿宋_GB2312" w:hAnsi="仿宋_GB2312" w:cs="仿宋_GB2312" w:eastAsia="仿宋_GB2312"/>
                <w:sz w:val="24"/>
                <w:color w:val="000000"/>
              </w:rPr>
              <w:t>AI融合门户 + 运维管理）：建设一站式AI服务门户和智能体运管平台，实现智能体统一展示、统一入口、统一授权、统一监测、统一发布。</w:t>
            </w:r>
          </w:p>
          <w:p>
            <w:pPr>
              <w:pStyle w:val="null3"/>
              <w:spacing w:after="165"/>
              <w:ind w:firstLine="480"/>
            </w:pPr>
            <w:r>
              <w:rPr>
                <w:rFonts w:ascii="仿宋_GB2312" w:hAnsi="仿宋_GB2312" w:cs="仿宋_GB2312" w:eastAsia="仿宋_GB2312"/>
                <w:sz w:val="24"/>
                <w:color w:val="000000"/>
              </w:rPr>
              <w:t xml:space="preserve">③ </w:t>
            </w:r>
            <w:r>
              <w:rPr>
                <w:rFonts w:ascii="仿宋_GB2312" w:hAnsi="仿宋_GB2312" w:cs="仿宋_GB2312" w:eastAsia="仿宋_GB2312"/>
                <w:sz w:val="24"/>
                <w:color w:val="000000"/>
              </w:rPr>
              <w:t>中台能力层：包括本地知识库、智能体编排与管理平台、插件与工具管理、模型管理等，为上层应用提供统一的智能服务能力。</w:t>
            </w:r>
          </w:p>
          <w:p>
            <w:pPr>
              <w:pStyle w:val="null3"/>
              <w:spacing w:after="165"/>
              <w:ind w:firstLine="480"/>
            </w:pPr>
            <w:r>
              <w:rPr>
                <w:rFonts w:ascii="仿宋_GB2312" w:hAnsi="仿宋_GB2312" w:cs="仿宋_GB2312" w:eastAsia="仿宋_GB2312"/>
                <w:sz w:val="24"/>
                <w:color w:val="000000"/>
              </w:rPr>
              <w:t xml:space="preserve">④ </w:t>
            </w:r>
            <w:r>
              <w:rPr>
                <w:rFonts w:ascii="仿宋_GB2312" w:hAnsi="仿宋_GB2312" w:cs="仿宋_GB2312" w:eastAsia="仿宋_GB2312"/>
                <w:sz w:val="24"/>
                <w:color w:val="000000"/>
              </w:rPr>
              <w:t>基础支撑层：由大模型基座、云端算力资源、存储和网络等构成，为平台稳定运行和高并发访问提供算力与基础设施保障。</w:t>
            </w:r>
          </w:p>
          <w:p>
            <w:pPr>
              <w:pStyle w:val="null3"/>
              <w:spacing w:after="165"/>
              <w:ind w:firstLine="480"/>
            </w:pPr>
            <w:r>
              <w:rPr>
                <w:rFonts w:ascii="仿宋_GB2312" w:hAnsi="仿宋_GB2312" w:cs="仿宋_GB2312" w:eastAsia="仿宋_GB2312"/>
                <w:sz w:val="24"/>
                <w:color w:val="000000"/>
              </w:rPr>
              <w:t xml:space="preserve">⑤ </w:t>
            </w:r>
            <w:r>
              <w:rPr>
                <w:rFonts w:ascii="仿宋_GB2312" w:hAnsi="仿宋_GB2312" w:cs="仿宋_GB2312" w:eastAsia="仿宋_GB2312"/>
                <w:sz w:val="24"/>
                <w:color w:val="000000"/>
              </w:rPr>
              <w:t>学校基础数据层：与学校数字中台、人事、教务、学工、科研、</w:t>
            </w:r>
            <w:r>
              <w:rPr>
                <w:rFonts w:ascii="仿宋_GB2312" w:hAnsi="仿宋_GB2312" w:cs="仿宋_GB2312" w:eastAsia="仿宋_GB2312"/>
                <w:sz w:val="24"/>
                <w:color w:val="000000"/>
              </w:rPr>
              <w:t>财务</w:t>
            </w:r>
            <w:r>
              <w:rPr>
                <w:rFonts w:ascii="仿宋_GB2312" w:hAnsi="仿宋_GB2312" w:cs="仿宋_GB2312" w:eastAsia="仿宋_GB2312"/>
                <w:sz w:val="24"/>
                <w:color w:val="000000"/>
              </w:rPr>
              <w:t>等系统对接，打通关键业务数据，为智能体提供统一可信的数据来源。</w:t>
            </w:r>
            <w:r>
              <w:br/>
            </w:r>
            <w:r>
              <w:rPr>
                <w:rFonts w:ascii="仿宋_GB2312" w:hAnsi="仿宋_GB2312" w:cs="仿宋_GB2312" w:eastAsia="仿宋_GB2312"/>
                <w:sz w:val="24"/>
                <w:b/>
                <w:color w:val="000000"/>
              </w:rPr>
              <w:t>（一）平台能力内容</w:t>
            </w:r>
          </w:p>
          <w:p>
            <w:pPr>
              <w:pStyle w:val="null3"/>
              <w:spacing w:before="60" w:after="105"/>
            </w:pPr>
            <w:r>
              <w:rPr>
                <w:rFonts w:ascii="仿宋_GB2312" w:hAnsi="仿宋_GB2312" w:cs="仿宋_GB2312" w:eastAsia="仿宋_GB2312"/>
                <w:sz w:val="24"/>
                <w:color w:val="000000"/>
              </w:rPr>
              <w:t>1.</w:t>
            </w:r>
            <w:r>
              <w:rPr>
                <w:rFonts w:ascii="仿宋_GB2312" w:hAnsi="仿宋_GB2312" w:cs="仿宋_GB2312" w:eastAsia="仿宋_GB2312"/>
                <w:sz w:val="24"/>
                <w:color w:val="000000"/>
              </w:rPr>
              <w:t>一站式</w:t>
            </w:r>
            <w:r>
              <w:rPr>
                <w:rFonts w:ascii="仿宋_GB2312" w:hAnsi="仿宋_GB2312" w:cs="仿宋_GB2312" w:eastAsia="仿宋_GB2312"/>
                <w:sz w:val="24"/>
                <w:color w:val="000000"/>
              </w:rPr>
              <w:t>大模型调度管理</w:t>
            </w:r>
            <w:r>
              <w:rPr>
                <w:rFonts w:ascii="仿宋_GB2312" w:hAnsi="仿宋_GB2312" w:cs="仿宋_GB2312" w:eastAsia="仿宋_GB2312"/>
                <w:sz w:val="24"/>
                <w:color w:val="000000"/>
              </w:rPr>
              <w:t>能力</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 xml:space="preserve">  ① </w:t>
            </w:r>
            <w:r>
              <w:rPr>
                <w:rFonts w:ascii="仿宋_GB2312" w:hAnsi="仿宋_GB2312" w:cs="仿宋_GB2312" w:eastAsia="仿宋_GB2312"/>
                <w:sz w:val="24"/>
                <w:color w:val="000000"/>
              </w:rPr>
              <w:t>提供兼容多家主流大模型云端算力的统一开发调用环境，提供</w:t>
            </w:r>
            <w:r>
              <w:rPr>
                <w:rFonts w:ascii="仿宋_GB2312" w:hAnsi="仿宋_GB2312" w:cs="仿宋_GB2312" w:eastAsia="仿宋_GB2312"/>
                <w:sz w:val="24"/>
                <w:color w:val="000000"/>
              </w:rPr>
              <w:t>至少包括</w:t>
            </w:r>
            <w:r>
              <w:rPr>
                <w:rFonts w:ascii="仿宋_GB2312" w:hAnsi="仿宋_GB2312" w:cs="仿宋_GB2312" w:eastAsia="仿宋_GB2312"/>
                <w:sz w:val="24"/>
                <w:color w:val="000000"/>
              </w:rPr>
              <w:t>DeepSeek系列、通义千问系列、豆包系列其中之一系列模型，同时模型需具备编程、文生图、文生视频、语音克隆能力，只调用模型接口不本地部署大模型，该项没有本地部署算力的需求</w:t>
            </w:r>
            <w:r>
              <w:rPr>
                <w:rFonts w:ascii="仿宋_GB2312" w:hAnsi="仿宋_GB2312" w:cs="仿宋_GB2312" w:eastAsia="仿宋_GB2312"/>
                <w:sz w:val="24"/>
                <w:color w:val="000000"/>
              </w:rPr>
              <w:t>，支持接入本校已建设的</w:t>
            </w:r>
            <w:r>
              <w:rPr>
                <w:rFonts w:ascii="仿宋_GB2312" w:hAnsi="仿宋_GB2312" w:cs="仿宋_GB2312" w:eastAsia="仿宋_GB2312"/>
                <w:sz w:val="24"/>
                <w:color w:val="000000"/>
              </w:rPr>
              <w:t>"力行大模型"，该本地模型规格为兼容OpenAI接口架构的非多模态语言大模型，参数70B</w:t>
            </w:r>
            <w:r>
              <w:rPr>
                <w:rFonts w:ascii="仿宋_GB2312" w:hAnsi="仿宋_GB2312" w:cs="仿宋_GB2312" w:eastAsia="仿宋_GB2312"/>
                <w:sz w:val="24"/>
                <w:color w:val="000000"/>
              </w:rPr>
              <w:t>，同时应可调用本地未来构建的符合</w:t>
            </w:r>
            <w:r>
              <w:rPr>
                <w:rFonts w:ascii="仿宋_GB2312" w:hAnsi="仿宋_GB2312" w:cs="仿宋_GB2312" w:eastAsia="仿宋_GB2312"/>
                <w:sz w:val="24"/>
                <w:color w:val="000000"/>
              </w:rPr>
              <w:t>兼容</w:t>
            </w:r>
            <w:r>
              <w:rPr>
                <w:rFonts w:ascii="仿宋_GB2312" w:hAnsi="仿宋_GB2312" w:cs="仿宋_GB2312" w:eastAsia="仿宋_GB2312"/>
                <w:sz w:val="24"/>
                <w:color w:val="000000"/>
              </w:rPr>
              <w:t>OpenAI接口的</w:t>
            </w:r>
            <w:r>
              <w:rPr>
                <w:rFonts w:ascii="仿宋_GB2312" w:hAnsi="仿宋_GB2312" w:cs="仿宋_GB2312" w:eastAsia="仿宋_GB2312"/>
                <w:sz w:val="24"/>
                <w:color w:val="000000"/>
              </w:rPr>
              <w:t>各类模型</w:t>
            </w:r>
            <w:r>
              <w:rPr>
                <w:rFonts w:ascii="仿宋_GB2312" w:hAnsi="仿宋_GB2312" w:cs="仿宋_GB2312" w:eastAsia="仿宋_GB2312"/>
                <w:sz w:val="24"/>
                <w:color w:val="000000"/>
              </w:rPr>
              <w:t>，实现校内外模型资源的统一纳管与调度</w:t>
            </w:r>
            <w:r>
              <w:rPr>
                <w:rFonts w:ascii="仿宋_GB2312" w:hAnsi="仿宋_GB2312" w:cs="仿宋_GB2312" w:eastAsia="仿宋_GB2312"/>
                <w:sz w:val="24"/>
                <w:color w:val="000000"/>
              </w:rPr>
              <w:t>。</w:t>
            </w:r>
          </w:p>
          <w:p>
            <w:pPr>
              <w:pStyle w:val="null3"/>
              <w:spacing w:before="60" w:after="105"/>
            </w:pPr>
            <w:r>
              <w:rPr>
                <w:rFonts w:ascii="仿宋_GB2312" w:hAnsi="仿宋_GB2312" w:cs="仿宋_GB2312" w:eastAsia="仿宋_GB2312"/>
                <w:sz w:val="24"/>
                <w:color w:val="000000"/>
              </w:rPr>
              <w:t xml:space="preserve">  ② </w:t>
            </w:r>
            <w:r>
              <w:rPr>
                <w:rFonts w:ascii="仿宋_GB2312" w:hAnsi="仿宋_GB2312" w:cs="仿宋_GB2312" w:eastAsia="仿宋_GB2312"/>
                <w:sz w:val="24"/>
                <w:color w:val="000000"/>
              </w:rPr>
              <w:t>支持通过提示词工程、组件拖拽、工作流编排等方式，快速构建面向教学、科研、管理和服务的智能体应用。</w:t>
            </w:r>
          </w:p>
          <w:p>
            <w:pPr>
              <w:pStyle w:val="null3"/>
              <w:spacing w:before="60" w:after="105"/>
            </w:pPr>
            <w:r>
              <w:rPr>
                <w:rFonts w:ascii="仿宋_GB2312" w:hAnsi="仿宋_GB2312" w:cs="仿宋_GB2312" w:eastAsia="仿宋_GB2312"/>
                <w:sz w:val="24"/>
                <w:color w:val="000000"/>
              </w:rPr>
              <w:t xml:space="preserve">  ③ </w:t>
            </w:r>
            <w:r>
              <w:rPr>
                <w:rFonts w:ascii="仿宋_GB2312" w:hAnsi="仿宋_GB2312" w:cs="仿宋_GB2312" w:eastAsia="仿宋_GB2312"/>
                <w:sz w:val="24"/>
                <w:color w:val="000000"/>
              </w:rPr>
              <w:t>支持模型精调与任务适配，便于对学校特色场景进行优化。</w:t>
            </w:r>
          </w:p>
          <w:p>
            <w:pPr>
              <w:pStyle w:val="null3"/>
              <w:spacing w:before="60" w:after="105"/>
            </w:pPr>
            <w:r>
              <w:rPr>
                <w:rFonts w:ascii="仿宋_GB2312" w:hAnsi="仿宋_GB2312" w:cs="仿宋_GB2312" w:eastAsia="仿宋_GB2312"/>
                <w:sz w:val="24"/>
                <w:color w:val="000000"/>
              </w:rPr>
              <w:t>2.</w:t>
            </w:r>
            <w:r>
              <w:rPr>
                <w:rFonts w:ascii="仿宋_GB2312" w:hAnsi="仿宋_GB2312" w:cs="仿宋_GB2312" w:eastAsia="仿宋_GB2312"/>
                <w:sz w:val="24"/>
                <w:color w:val="000000"/>
              </w:rPr>
              <w:t>低代码</w:t>
            </w:r>
            <w:r>
              <w:rPr>
                <w:rFonts w:ascii="仿宋_GB2312" w:hAnsi="仿宋_GB2312" w:cs="仿宋_GB2312" w:eastAsia="仿宋_GB2312"/>
                <w:sz w:val="24"/>
                <w:color w:val="000000"/>
              </w:rPr>
              <w:t>/零代码开发环境</w:t>
            </w:r>
            <w:r>
              <w:rPr>
                <w:rFonts w:ascii="仿宋_GB2312" w:hAnsi="仿宋_GB2312" w:cs="仿宋_GB2312" w:eastAsia="仿宋_GB2312"/>
                <w:sz w:val="24"/>
                <w:color w:val="000000"/>
              </w:rPr>
              <w:t>:</w:t>
            </w:r>
          </w:p>
          <w:p>
            <w:pPr>
              <w:pStyle w:val="null3"/>
              <w:spacing w:before="60" w:after="105"/>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① </w:t>
            </w:r>
            <w:r>
              <w:rPr>
                <w:rFonts w:ascii="仿宋_GB2312" w:hAnsi="仿宋_GB2312" w:cs="仿宋_GB2312" w:eastAsia="仿宋_GB2312"/>
                <w:sz w:val="24"/>
                <w:color w:val="000000"/>
              </w:rPr>
              <w:t>面向</w:t>
            </w:r>
            <w:r>
              <w:rPr>
                <w:rFonts w:ascii="仿宋_GB2312" w:hAnsi="仿宋_GB2312" w:cs="仿宋_GB2312" w:eastAsia="仿宋_GB2312"/>
                <w:sz w:val="24"/>
                <w:color w:val="000000"/>
              </w:rPr>
              <w:t>师生</w:t>
            </w:r>
            <w:r>
              <w:rPr>
                <w:rFonts w:ascii="仿宋_GB2312" w:hAnsi="仿宋_GB2312" w:cs="仿宋_GB2312" w:eastAsia="仿宋_GB2312"/>
                <w:sz w:val="24"/>
                <w:color w:val="000000"/>
              </w:rPr>
              <w:t>、行政管理人员等非技术群体，提供图形化配置界面，实现</w:t>
            </w:r>
            <w:r>
              <w:rPr>
                <w:rFonts w:ascii="仿宋_GB2312" w:hAnsi="仿宋_GB2312" w:cs="仿宋_GB2312" w:eastAsia="仿宋_GB2312"/>
                <w:sz w:val="24"/>
                <w:color w:val="000000"/>
              </w:rPr>
              <w:t>“会用业务就会搭智能体”。</w:t>
            </w:r>
          </w:p>
          <w:p>
            <w:pPr>
              <w:pStyle w:val="null3"/>
              <w:spacing w:before="60" w:after="105"/>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② </w:t>
            </w:r>
            <w:r>
              <w:rPr>
                <w:rFonts w:ascii="仿宋_GB2312" w:hAnsi="仿宋_GB2312" w:cs="仿宋_GB2312" w:eastAsia="仿宋_GB2312"/>
                <w:sz w:val="24"/>
                <w:color w:val="000000"/>
              </w:rPr>
              <w:t>支持通过自然语言描述业务流程，自动生成智能体或工作流原型，大幅降低</w:t>
            </w:r>
            <w:r>
              <w:rPr>
                <w:rFonts w:ascii="仿宋_GB2312" w:hAnsi="仿宋_GB2312" w:cs="仿宋_GB2312" w:eastAsia="仿宋_GB2312"/>
                <w:sz w:val="24"/>
                <w:color w:val="000000"/>
              </w:rPr>
              <w:t>AI应用开发门槛。</w:t>
            </w:r>
          </w:p>
          <w:p>
            <w:pPr>
              <w:pStyle w:val="null3"/>
              <w:spacing w:before="60" w:after="105"/>
            </w:pPr>
            <w:r>
              <w:rPr>
                <w:rFonts w:ascii="仿宋_GB2312" w:hAnsi="仿宋_GB2312" w:cs="仿宋_GB2312" w:eastAsia="仿宋_GB2312"/>
                <w:sz w:val="24"/>
                <w:color w:val="000000"/>
              </w:rPr>
              <w:t>3.</w:t>
            </w:r>
            <w:r>
              <w:rPr>
                <w:rFonts w:ascii="仿宋_GB2312" w:hAnsi="仿宋_GB2312" w:cs="仿宋_GB2312" w:eastAsia="仿宋_GB2312"/>
                <w:sz w:val="24"/>
                <w:color w:val="000000"/>
              </w:rPr>
              <w:t>开发者协同与权限管理</w:t>
            </w:r>
            <w:r>
              <w:rPr>
                <w:rFonts w:ascii="仿宋_GB2312" w:hAnsi="仿宋_GB2312" w:cs="仿宋_GB2312" w:eastAsia="仿宋_GB2312"/>
                <w:sz w:val="24"/>
                <w:color w:val="000000"/>
              </w:rPr>
              <w:t>:</w:t>
            </w:r>
          </w:p>
          <w:p>
            <w:pPr>
              <w:pStyle w:val="null3"/>
              <w:spacing w:before="60" w:after="105"/>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① </w:t>
            </w:r>
            <w:r>
              <w:rPr>
                <w:rFonts w:ascii="仿宋_GB2312" w:hAnsi="仿宋_GB2312" w:cs="仿宋_GB2312" w:eastAsia="仿宋_GB2312"/>
                <w:sz w:val="24"/>
                <w:color w:val="000000"/>
              </w:rPr>
              <w:t>提供不少于</w:t>
            </w:r>
            <w:r>
              <w:rPr>
                <w:rFonts w:ascii="仿宋_GB2312" w:hAnsi="仿宋_GB2312" w:cs="仿宋_GB2312" w:eastAsia="仿宋_GB2312"/>
                <w:sz w:val="24"/>
                <w:color w:val="000000"/>
              </w:rPr>
              <w:t xml:space="preserve"> 1000 个开发者席位，支持多学院、多部门协同建设。</w:t>
            </w:r>
          </w:p>
          <w:p>
            <w:pPr>
              <w:pStyle w:val="null3"/>
              <w:spacing w:before="60" w:after="105"/>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② </w:t>
            </w:r>
            <w:r>
              <w:rPr>
                <w:rFonts w:ascii="仿宋_GB2312" w:hAnsi="仿宋_GB2312" w:cs="仿宋_GB2312" w:eastAsia="仿宋_GB2312"/>
                <w:sz w:val="24"/>
                <w:color w:val="000000"/>
              </w:rPr>
              <w:t>支持按工作空间、项目、角色进行细粒度权限控制，实现安全高效的协作开发。</w:t>
            </w:r>
          </w:p>
          <w:p>
            <w:pPr>
              <w:pStyle w:val="null3"/>
              <w:spacing w:before="60" w:after="10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AI融合门户建设</w:t>
            </w:r>
          </w:p>
          <w:p>
            <w:pPr>
              <w:pStyle w:val="null3"/>
              <w:spacing w:before="60" w:after="105"/>
            </w:pPr>
            <w:r>
              <w:rPr>
                <w:rFonts w:ascii="仿宋_GB2312" w:hAnsi="仿宋_GB2312" w:cs="仿宋_GB2312" w:eastAsia="仿宋_GB2312"/>
                <w:sz w:val="24"/>
                <w:color w:val="000000"/>
              </w:rPr>
              <w:t>1.AI融合门户</w:t>
            </w:r>
          </w:p>
          <w:p>
            <w:pPr>
              <w:pStyle w:val="null3"/>
              <w:spacing w:before="60" w:after="105"/>
            </w:pPr>
            <w:r>
              <w:rPr>
                <w:rFonts w:ascii="仿宋_GB2312" w:hAnsi="仿宋_GB2312" w:cs="仿宋_GB2312" w:eastAsia="仿宋_GB2312"/>
                <w:sz w:val="24"/>
                <w:color w:val="000000"/>
              </w:rPr>
              <w:t xml:space="preserve">  ① </w:t>
            </w:r>
            <w:r>
              <w:rPr>
                <w:rFonts w:ascii="仿宋_GB2312" w:hAnsi="仿宋_GB2312" w:cs="仿宋_GB2312" w:eastAsia="仿宋_GB2312"/>
                <w:sz w:val="24"/>
                <w:color w:val="000000"/>
              </w:rPr>
              <w:t>建设面向全体师生的一站式校园</w:t>
            </w:r>
            <w:r>
              <w:rPr>
                <w:rFonts w:ascii="仿宋_GB2312" w:hAnsi="仿宋_GB2312" w:cs="仿宋_GB2312" w:eastAsia="仿宋_GB2312"/>
                <w:sz w:val="24"/>
                <w:color w:val="000000"/>
              </w:rPr>
              <w:t>AI服务入口，实现智能体统一聚合展示与分类检索。</w:t>
            </w:r>
          </w:p>
          <w:p>
            <w:pPr>
              <w:pStyle w:val="null3"/>
              <w:spacing w:before="60" w:after="105"/>
            </w:pPr>
            <w:r>
              <w:rPr>
                <w:rFonts w:ascii="仿宋_GB2312" w:hAnsi="仿宋_GB2312" w:cs="仿宋_GB2312" w:eastAsia="仿宋_GB2312"/>
                <w:sz w:val="24"/>
                <w:color w:val="000000"/>
              </w:rPr>
              <w:t xml:space="preserve">  ②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Web、移动端、微信小程序等多种访问方式，提供自然语言对话、表单填报、卡片式结果展示等多种交互模式。</w:t>
            </w:r>
          </w:p>
          <w:p>
            <w:pPr>
              <w:pStyle w:val="null3"/>
              <w:spacing w:before="60" w:after="105"/>
            </w:pPr>
            <w:r>
              <w:rPr>
                <w:rFonts w:ascii="仿宋_GB2312" w:hAnsi="仿宋_GB2312" w:cs="仿宋_GB2312" w:eastAsia="仿宋_GB2312"/>
                <w:sz w:val="24"/>
                <w:color w:val="000000"/>
              </w:rPr>
              <w:t xml:space="preserve">2.统一认证与权限控制 </w:t>
            </w:r>
          </w:p>
          <w:p>
            <w:pPr>
              <w:pStyle w:val="null3"/>
              <w:spacing w:before="60" w:after="105"/>
            </w:pPr>
            <w:r>
              <w:rPr>
                <w:rFonts w:ascii="仿宋_GB2312" w:hAnsi="仿宋_GB2312" w:cs="仿宋_GB2312" w:eastAsia="仿宋_GB2312"/>
                <w:sz w:val="24"/>
                <w:color w:val="000000"/>
              </w:rPr>
              <w:t xml:space="preserve">  ① </w:t>
            </w:r>
            <w:r>
              <w:rPr>
                <w:rFonts w:ascii="仿宋_GB2312" w:hAnsi="仿宋_GB2312" w:cs="仿宋_GB2312" w:eastAsia="仿宋_GB2312"/>
                <w:sz w:val="24"/>
                <w:color w:val="000000"/>
              </w:rPr>
              <w:t>与学校统一身份认证系统打通，支持</w:t>
            </w:r>
            <w:r>
              <w:rPr>
                <w:rFonts w:ascii="仿宋_GB2312" w:hAnsi="仿宋_GB2312" w:cs="仿宋_GB2312" w:eastAsia="仿宋_GB2312"/>
                <w:sz w:val="24"/>
                <w:color w:val="000000"/>
              </w:rPr>
              <w:t xml:space="preserve"> SSO 单点登录及 CAS/OAuth/SAML 等协议。</w:t>
            </w:r>
          </w:p>
          <w:p>
            <w:pPr>
              <w:pStyle w:val="null3"/>
              <w:spacing w:before="60" w:after="105"/>
            </w:pPr>
            <w:r>
              <w:rPr>
                <w:rFonts w:ascii="仿宋_GB2312" w:hAnsi="仿宋_GB2312" w:cs="仿宋_GB2312" w:eastAsia="仿宋_GB2312"/>
                <w:sz w:val="24"/>
                <w:color w:val="000000"/>
              </w:rPr>
              <w:t xml:space="preserve">  ② </w:t>
            </w:r>
            <w:r>
              <w:rPr>
                <w:rFonts w:ascii="仿宋_GB2312" w:hAnsi="仿宋_GB2312" w:cs="仿宋_GB2312" w:eastAsia="仿宋_GB2312"/>
                <w:sz w:val="24"/>
                <w:color w:val="000000"/>
              </w:rPr>
              <w:t>支持基于角色（</w:t>
            </w:r>
            <w:r>
              <w:rPr>
                <w:rFonts w:ascii="仿宋_GB2312" w:hAnsi="仿宋_GB2312" w:cs="仿宋_GB2312" w:eastAsia="仿宋_GB2312"/>
                <w:sz w:val="24"/>
                <w:color w:val="000000"/>
              </w:rPr>
              <w:t>RBAC）和属性（ABAC）的多维度权限控制，确保不同角色访问不同级别的智能体与数据资源。</w:t>
            </w:r>
          </w:p>
          <w:p>
            <w:pPr>
              <w:pStyle w:val="null3"/>
              <w:spacing w:before="60" w:after="105"/>
            </w:pPr>
            <w:r>
              <w:rPr>
                <w:rFonts w:ascii="仿宋_GB2312" w:hAnsi="仿宋_GB2312" w:cs="仿宋_GB2312" w:eastAsia="仿宋_GB2312"/>
                <w:sz w:val="24"/>
                <w:color w:val="000000"/>
              </w:rPr>
              <w:t>3.</w:t>
            </w:r>
            <w:r>
              <w:rPr>
                <w:rFonts w:ascii="仿宋_GB2312" w:hAnsi="仿宋_GB2312" w:cs="仿宋_GB2312" w:eastAsia="仿宋_GB2312"/>
                <w:sz w:val="24"/>
                <w:color w:val="000000"/>
              </w:rPr>
              <w:t>智能体管理与运维</w:t>
            </w:r>
          </w:p>
          <w:p>
            <w:pPr>
              <w:pStyle w:val="null3"/>
              <w:spacing w:before="60" w:after="105"/>
            </w:pPr>
            <w:r>
              <w:rPr>
                <w:rFonts w:ascii="仿宋_GB2312" w:hAnsi="仿宋_GB2312" w:cs="仿宋_GB2312" w:eastAsia="仿宋_GB2312"/>
                <w:sz w:val="24"/>
                <w:color w:val="000000"/>
              </w:rPr>
              <w:t xml:space="preserve">  ① </w:t>
            </w:r>
            <w:r>
              <w:rPr>
                <w:rFonts w:ascii="仿宋_GB2312" w:hAnsi="仿宋_GB2312" w:cs="仿宋_GB2312" w:eastAsia="仿宋_GB2312"/>
                <w:sz w:val="24"/>
                <w:color w:val="000000"/>
              </w:rPr>
              <w:t>支持智能体备案、审核、发布、上下架等全流程管理，保障应用合规、安全、稳定。</w:t>
            </w:r>
          </w:p>
          <w:p>
            <w:pPr>
              <w:pStyle w:val="null3"/>
              <w:spacing w:before="60" w:after="105"/>
            </w:pPr>
            <w:r>
              <w:rPr>
                <w:rFonts w:ascii="仿宋_GB2312" w:hAnsi="仿宋_GB2312" w:cs="仿宋_GB2312" w:eastAsia="仿宋_GB2312"/>
                <w:sz w:val="24"/>
                <w:color w:val="000000"/>
              </w:rPr>
              <w:t xml:space="preserve">  ② </w:t>
            </w:r>
            <w:r>
              <w:rPr>
                <w:rFonts w:ascii="仿宋_GB2312" w:hAnsi="仿宋_GB2312" w:cs="仿宋_GB2312" w:eastAsia="仿宋_GB2312"/>
                <w:sz w:val="24"/>
                <w:color w:val="000000"/>
              </w:rPr>
              <w:t>提供运行监控与日志审计功能，实时掌握访问量、错误率、响应时间等关键指标，为性能调优与资源规划提供依据。</w:t>
            </w:r>
          </w:p>
          <w:p>
            <w:pPr>
              <w:pStyle w:val="null3"/>
              <w:spacing w:before="60" w:after="10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）私有化知识库与数据治理</w:t>
            </w:r>
          </w:p>
          <w:p>
            <w:pPr>
              <w:pStyle w:val="null3"/>
              <w:spacing w:before="60" w:after="105"/>
            </w:pPr>
            <w:r>
              <w:rPr>
                <w:rFonts w:ascii="仿宋_GB2312" w:hAnsi="仿宋_GB2312" w:cs="仿宋_GB2312" w:eastAsia="仿宋_GB2312"/>
                <w:sz w:val="24"/>
                <w:color w:val="000000"/>
              </w:rPr>
              <w:t>1.</w:t>
            </w:r>
            <w:r>
              <w:rPr>
                <w:rFonts w:ascii="仿宋_GB2312" w:hAnsi="仿宋_GB2312" w:cs="仿宋_GB2312" w:eastAsia="仿宋_GB2312"/>
                <w:sz w:val="24"/>
                <w:color w:val="000000"/>
              </w:rPr>
              <w:t>知识库建设</w:t>
            </w:r>
          </w:p>
          <w:p>
            <w:pPr>
              <w:pStyle w:val="null3"/>
              <w:spacing w:before="60" w:after="105"/>
            </w:pPr>
            <w:r>
              <w:rPr>
                <w:rFonts w:ascii="仿宋_GB2312" w:hAnsi="仿宋_GB2312" w:cs="仿宋_GB2312" w:eastAsia="仿宋_GB2312"/>
                <w:sz w:val="24"/>
                <w:color w:val="000000"/>
              </w:rPr>
              <w:t xml:space="preserve">  ①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文本</w:t>
            </w:r>
            <w:r>
              <w:rPr>
                <w:rFonts w:ascii="仿宋_GB2312" w:hAnsi="仿宋_GB2312" w:cs="仿宋_GB2312" w:eastAsia="仿宋_GB2312"/>
                <w:sz w:val="24"/>
                <w:color w:val="000000"/>
              </w:rPr>
              <w:t>、</w:t>
            </w:r>
            <w:r>
              <w:rPr>
                <w:rFonts w:ascii="仿宋_GB2312" w:hAnsi="仿宋_GB2312" w:cs="仿宋_GB2312" w:eastAsia="仿宋_GB2312"/>
                <w:sz w:val="24"/>
                <w:color w:val="000000"/>
              </w:rPr>
              <w:t>演示文稿</w:t>
            </w:r>
            <w:r>
              <w:rPr>
                <w:rFonts w:ascii="仿宋_GB2312" w:hAnsi="仿宋_GB2312" w:cs="仿宋_GB2312" w:eastAsia="仿宋_GB2312"/>
                <w:sz w:val="24"/>
                <w:color w:val="000000"/>
              </w:rPr>
              <w:t>、</w:t>
            </w:r>
            <w:r>
              <w:rPr>
                <w:rFonts w:ascii="仿宋_GB2312" w:hAnsi="仿宋_GB2312" w:cs="仿宋_GB2312" w:eastAsia="仿宋_GB2312"/>
                <w:sz w:val="24"/>
                <w:color w:val="000000"/>
              </w:rPr>
              <w:t>表格</w:t>
            </w:r>
            <w:r>
              <w:rPr>
                <w:rFonts w:ascii="仿宋_GB2312" w:hAnsi="仿宋_GB2312" w:cs="仿宋_GB2312" w:eastAsia="仿宋_GB2312"/>
                <w:sz w:val="24"/>
                <w:color w:val="000000"/>
              </w:rPr>
              <w:t>、</w:t>
            </w:r>
            <w:r>
              <w:rPr>
                <w:rFonts w:ascii="仿宋_GB2312" w:hAnsi="仿宋_GB2312" w:cs="仿宋_GB2312" w:eastAsia="仿宋_GB2312"/>
                <w:sz w:val="24"/>
                <w:color w:val="000000"/>
              </w:rPr>
              <w:t>便携式文档、图片</w:t>
            </w:r>
            <w:r>
              <w:rPr>
                <w:rFonts w:ascii="仿宋_GB2312" w:hAnsi="仿宋_GB2312" w:cs="仿宋_GB2312" w:eastAsia="仿宋_GB2312"/>
                <w:sz w:val="24"/>
                <w:color w:val="000000"/>
              </w:rPr>
              <w:t>等多类非结构化文档以及</w:t>
            </w:r>
            <w:r>
              <w:rPr>
                <w:rFonts w:ascii="仿宋_GB2312" w:hAnsi="仿宋_GB2312" w:cs="仿宋_GB2312" w:eastAsia="仿宋_GB2312"/>
                <w:sz w:val="24"/>
                <w:color w:val="000000"/>
              </w:rPr>
              <w:t xml:space="preserve"> JSON、CSV 等结构化数据的本地化存储与向量化检索。</w:t>
            </w:r>
          </w:p>
          <w:p>
            <w:pPr>
              <w:pStyle w:val="null3"/>
              <w:spacing w:before="60" w:after="105"/>
            </w:pPr>
            <w:r>
              <w:rPr>
                <w:rFonts w:ascii="仿宋_GB2312" w:hAnsi="仿宋_GB2312" w:cs="仿宋_GB2312" w:eastAsia="仿宋_GB2312"/>
                <w:sz w:val="24"/>
                <w:color w:val="000000"/>
              </w:rPr>
              <w:t xml:space="preserve">  ② </w:t>
            </w:r>
            <w:r>
              <w:rPr>
                <w:rFonts w:ascii="仿宋_GB2312" w:hAnsi="仿宋_GB2312" w:cs="仿宋_GB2312" w:eastAsia="仿宋_GB2312"/>
                <w:sz w:val="24"/>
                <w:color w:val="000000"/>
              </w:rPr>
              <w:t>支持图文协同匹配与多轮会话上下文管理，提高智能问答的准确性与一致性。</w:t>
            </w:r>
          </w:p>
          <w:p>
            <w:pPr>
              <w:pStyle w:val="null3"/>
              <w:spacing w:before="60" w:after="105"/>
            </w:pPr>
            <w:r>
              <w:rPr>
                <w:rFonts w:ascii="仿宋_GB2312" w:hAnsi="仿宋_GB2312" w:cs="仿宋_GB2312" w:eastAsia="仿宋_GB2312"/>
                <w:sz w:val="24"/>
                <w:color w:val="000000"/>
              </w:rPr>
              <w:t>2.</w:t>
            </w:r>
            <w:r>
              <w:rPr>
                <w:rFonts w:ascii="仿宋_GB2312" w:hAnsi="仿宋_GB2312" w:cs="仿宋_GB2312" w:eastAsia="仿宋_GB2312"/>
                <w:sz w:val="24"/>
                <w:color w:val="000000"/>
              </w:rPr>
              <w:t>数据安全与合规</w:t>
            </w:r>
          </w:p>
          <w:p>
            <w:pPr>
              <w:pStyle w:val="null3"/>
              <w:spacing w:before="60" w:after="105"/>
            </w:pPr>
            <w:r>
              <w:rPr>
                <w:rFonts w:ascii="仿宋_GB2312" w:hAnsi="仿宋_GB2312" w:cs="仿宋_GB2312" w:eastAsia="仿宋_GB2312"/>
                <w:sz w:val="24"/>
                <w:color w:val="000000"/>
              </w:rPr>
              <w:t xml:space="preserve">  ① </w:t>
            </w:r>
            <w:r>
              <w:rPr>
                <w:rFonts w:ascii="仿宋_GB2312" w:hAnsi="仿宋_GB2312" w:cs="仿宋_GB2312" w:eastAsia="仿宋_GB2312"/>
                <w:sz w:val="24"/>
                <w:color w:val="000000"/>
              </w:rPr>
              <w:t>遵循</w:t>
            </w:r>
            <w:r>
              <w:rPr>
                <w:rFonts w:ascii="仿宋_GB2312" w:hAnsi="仿宋_GB2312" w:cs="仿宋_GB2312" w:eastAsia="仿宋_GB2312"/>
                <w:sz w:val="24"/>
                <w:color w:val="000000"/>
              </w:rPr>
              <w:t>“数据不离场”原则，核心数据与知识在校内私有化部署环境中保存与处理。</w:t>
            </w:r>
          </w:p>
          <w:p>
            <w:pPr>
              <w:pStyle w:val="null3"/>
              <w:spacing w:before="60" w:after="105"/>
            </w:pPr>
            <w:r>
              <w:rPr>
                <w:rFonts w:ascii="仿宋_GB2312" w:hAnsi="仿宋_GB2312" w:cs="仿宋_GB2312" w:eastAsia="仿宋_GB2312"/>
                <w:sz w:val="24"/>
                <w:color w:val="000000"/>
              </w:rPr>
              <w:t xml:space="preserve">  ② </w:t>
            </w:r>
            <w:r>
              <w:rPr>
                <w:rFonts w:ascii="仿宋_GB2312" w:hAnsi="仿宋_GB2312" w:cs="仿宋_GB2312" w:eastAsia="仿宋_GB2312"/>
                <w:sz w:val="24"/>
                <w:color w:val="000000"/>
              </w:rPr>
              <w:t>实施访问控制、脱敏与审计策略，符合国家教育数据安全和个人信息保护规范。</w:t>
            </w:r>
          </w:p>
          <w:p>
            <w:pPr>
              <w:pStyle w:val="null3"/>
              <w:spacing w:before="60" w:after="10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）场景化智能体应用建设与交付</w:t>
            </w:r>
          </w:p>
          <w:p>
            <w:pPr>
              <w:pStyle w:val="null3"/>
              <w:spacing w:before="60" w:after="105"/>
            </w:pP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应用范围与数量</w:t>
            </w:r>
          </w:p>
          <w:p>
            <w:pPr>
              <w:pStyle w:val="null3"/>
              <w:spacing w:before="60" w:after="105"/>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智能体分三期建设，分批交付不少于</w:t>
            </w:r>
            <w:r>
              <w:rPr>
                <w:rFonts w:ascii="仿宋_GB2312" w:hAnsi="仿宋_GB2312" w:cs="仿宋_GB2312" w:eastAsia="仿宋_GB2312"/>
                <w:sz w:val="24"/>
                <w:color w:val="000000"/>
              </w:rPr>
              <w:t>60个场景化智能体，第一期建设公文辅助助手、教学课件生成助手、招生咨询助手、行政制度咨询助手、网络运维问答助手、办公流程问答、问事问办助手、课程伴学助手等。第二、三期按通用工具类、问答助手类、办公办事类、业务及数据对接类、数字员工类五大类建设，要求满足学校真实场景和业务流程，做到"落地即用、用即见效"</w:t>
            </w:r>
            <w:r>
              <w:rPr>
                <w:rFonts w:ascii="仿宋_GB2312" w:hAnsi="仿宋_GB2312" w:cs="仿宋_GB2312" w:eastAsia="仿宋_GB2312"/>
                <w:sz w:val="24"/>
                <w:color w:val="000000"/>
              </w:rPr>
              <w:t>。</w:t>
            </w:r>
          </w:p>
          <w:p>
            <w:pPr>
              <w:pStyle w:val="null3"/>
              <w:spacing w:before="60" w:after="105"/>
            </w:pPr>
            <w:r>
              <w:rPr>
                <w:rFonts w:ascii="仿宋_GB2312" w:hAnsi="仿宋_GB2312" w:cs="仿宋_GB2312" w:eastAsia="仿宋_GB2312"/>
                <w:sz w:val="24"/>
                <w:color w:val="000000"/>
              </w:rPr>
              <w:t>2.</w:t>
            </w:r>
            <w:r>
              <w:rPr>
                <w:rFonts w:ascii="仿宋_GB2312" w:hAnsi="仿宋_GB2312" w:cs="仿宋_GB2312" w:eastAsia="仿宋_GB2312"/>
                <w:sz w:val="24"/>
                <w:color w:val="000000"/>
              </w:rPr>
              <w:t>分阶段交付策略</w:t>
            </w:r>
          </w:p>
          <w:p>
            <w:pPr>
              <w:pStyle w:val="null3"/>
              <w:spacing w:before="60" w:after="105"/>
            </w:pPr>
            <w:r>
              <w:rPr>
                <w:rFonts w:ascii="仿宋_GB2312" w:hAnsi="仿宋_GB2312" w:cs="仿宋_GB2312" w:eastAsia="仿宋_GB2312"/>
                <w:sz w:val="24"/>
                <w:color w:val="000000"/>
              </w:rPr>
              <w:t xml:space="preserve">  ①　</w:t>
            </w:r>
            <w:r>
              <w:rPr>
                <w:rFonts w:ascii="仿宋_GB2312" w:hAnsi="仿宋_GB2312" w:cs="仿宋_GB2312" w:eastAsia="仿宋_GB2312"/>
                <w:sz w:val="24"/>
                <w:color w:val="000000"/>
              </w:rPr>
              <w:t>第一期(不迟于2026年12月31日前交付)建设交付不少于10个智能体；</w:t>
            </w:r>
          </w:p>
          <w:p>
            <w:pPr>
              <w:pStyle w:val="null3"/>
              <w:spacing w:before="60" w:after="105"/>
            </w:pPr>
            <w:r>
              <w:rPr>
                <w:rFonts w:ascii="仿宋_GB2312" w:hAnsi="仿宋_GB2312" w:cs="仿宋_GB2312" w:eastAsia="仿宋_GB2312"/>
                <w:sz w:val="24"/>
                <w:color w:val="000000"/>
              </w:rPr>
              <w:t xml:space="preserve">  ②　</w:t>
            </w:r>
            <w:r>
              <w:rPr>
                <w:rFonts w:ascii="仿宋_GB2312" w:hAnsi="仿宋_GB2312" w:cs="仿宋_GB2312" w:eastAsia="仿宋_GB2312"/>
                <w:sz w:val="24"/>
                <w:color w:val="000000"/>
              </w:rPr>
              <w:t>第二期建设累计交付不少于</w:t>
            </w:r>
            <w:r>
              <w:rPr>
                <w:rFonts w:ascii="仿宋_GB2312" w:hAnsi="仿宋_GB2312" w:cs="仿宋_GB2312" w:eastAsia="仿宋_GB2312"/>
                <w:sz w:val="24"/>
                <w:color w:val="000000"/>
              </w:rPr>
              <w:t>40个智能体(不迟于2027年12月31日前交付)；</w:t>
            </w:r>
          </w:p>
          <w:p>
            <w:pPr>
              <w:pStyle w:val="null3"/>
              <w:spacing w:before="60" w:after="105"/>
            </w:pPr>
            <w:r>
              <w:rPr>
                <w:rFonts w:ascii="仿宋_GB2312" w:hAnsi="仿宋_GB2312" w:cs="仿宋_GB2312" w:eastAsia="仿宋_GB2312"/>
                <w:sz w:val="24"/>
                <w:color w:val="000000"/>
              </w:rPr>
              <w:t xml:space="preserve">  ③　</w:t>
            </w:r>
            <w:r>
              <w:rPr>
                <w:rFonts w:ascii="仿宋_GB2312" w:hAnsi="仿宋_GB2312" w:cs="仿宋_GB2312" w:eastAsia="仿宋_GB2312"/>
                <w:sz w:val="24"/>
                <w:color w:val="000000"/>
              </w:rPr>
              <w:t>第三期建设累计交付不少于</w:t>
            </w:r>
            <w:r>
              <w:rPr>
                <w:rFonts w:ascii="仿宋_GB2312" w:hAnsi="仿宋_GB2312" w:cs="仿宋_GB2312" w:eastAsia="仿宋_GB2312"/>
                <w:sz w:val="24"/>
                <w:color w:val="000000"/>
              </w:rPr>
              <w:t>60个智能体(2028年12月31日前交付)</w:t>
            </w:r>
            <w:r>
              <w:rPr>
                <w:rFonts w:ascii="仿宋_GB2312" w:hAnsi="仿宋_GB2312" w:cs="仿宋_GB2312" w:eastAsia="仿宋_GB2312"/>
                <w:sz w:val="24"/>
                <w:color w:val="000000"/>
              </w:rPr>
              <w:t>。</w:t>
            </w:r>
          </w:p>
          <w:p>
            <w:pPr>
              <w:pStyle w:val="null3"/>
              <w:spacing w:before="60" w:after="105"/>
            </w:pPr>
            <w:r>
              <w:rPr>
                <w:rFonts w:ascii="仿宋_GB2312" w:hAnsi="仿宋_GB2312" w:cs="仿宋_GB2312" w:eastAsia="仿宋_GB2312"/>
                <w:sz w:val="24"/>
                <w:color w:val="000000"/>
              </w:rPr>
              <w:t>3.</w:t>
            </w:r>
            <w:r>
              <w:rPr>
                <w:rFonts w:ascii="仿宋_GB2312" w:hAnsi="仿宋_GB2312" w:cs="仿宋_GB2312" w:eastAsia="仿宋_GB2312"/>
                <w:sz w:val="24"/>
                <w:color w:val="000000"/>
              </w:rPr>
              <w:t>质量保障机制</w:t>
            </w:r>
          </w:p>
          <w:p>
            <w:pPr>
              <w:pStyle w:val="null3"/>
              <w:spacing w:before="60" w:after="105"/>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所有智能体在上线前均需进行提示词调优、多模型对比测试与业务逻辑验证，确保契合高校真实</w:t>
            </w:r>
            <w:r>
              <w:rPr>
                <w:rFonts w:ascii="仿宋_GB2312" w:hAnsi="仿宋_GB2312" w:cs="仿宋_GB2312" w:eastAsia="仿宋_GB2312"/>
                <w:sz w:val="24"/>
                <w:color w:val="000000"/>
              </w:rPr>
              <w:t>业务流程</w:t>
            </w:r>
            <w:r>
              <w:rPr>
                <w:rFonts w:ascii="仿宋_GB2312" w:hAnsi="仿宋_GB2312" w:cs="仿宋_GB2312" w:eastAsia="仿宋_GB2312"/>
                <w:sz w:val="24"/>
                <w:color w:val="000000"/>
              </w:rPr>
              <w:t>。</w:t>
            </w:r>
          </w:p>
          <w:p>
            <w:pPr>
              <w:pStyle w:val="null3"/>
              <w:spacing w:before="60" w:after="10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）培训赋能与运营体系建设</w:t>
            </w:r>
          </w:p>
          <w:p>
            <w:pPr>
              <w:pStyle w:val="null3"/>
              <w:spacing w:before="60" w:after="105"/>
            </w:pPr>
            <w:r>
              <w:rPr>
                <w:rFonts w:ascii="仿宋_GB2312" w:hAnsi="仿宋_GB2312" w:cs="仿宋_GB2312" w:eastAsia="仿宋_GB2312"/>
                <w:sz w:val="24"/>
                <w:color w:val="000000"/>
              </w:rPr>
              <w:t xml:space="preserve">  1. </w:t>
            </w:r>
            <w:r>
              <w:rPr>
                <w:rFonts w:ascii="仿宋_GB2312" w:hAnsi="仿宋_GB2312" w:cs="仿宋_GB2312" w:eastAsia="仿宋_GB2312"/>
                <w:sz w:val="24"/>
                <w:color w:val="000000"/>
              </w:rPr>
              <w:t>全生命周期运营体系</w:t>
            </w:r>
          </w:p>
          <w:p>
            <w:pPr>
              <w:pStyle w:val="null3"/>
              <w:spacing w:before="60" w:after="105"/>
            </w:pPr>
            <w:r>
              <w:rPr>
                <w:rFonts w:ascii="仿宋_GB2312" w:hAnsi="仿宋_GB2312" w:cs="仿宋_GB2312" w:eastAsia="仿宋_GB2312"/>
                <w:sz w:val="24"/>
                <w:color w:val="000000"/>
              </w:rPr>
              <w:t xml:space="preserve">  ① </w:t>
            </w:r>
            <w:r>
              <w:rPr>
                <w:rFonts w:ascii="仿宋_GB2312" w:hAnsi="仿宋_GB2312" w:cs="仿宋_GB2312" w:eastAsia="仿宋_GB2312"/>
                <w:sz w:val="24"/>
                <w:color w:val="000000"/>
              </w:rPr>
              <w:t>构建</w:t>
            </w:r>
            <w:r>
              <w:rPr>
                <w:rFonts w:ascii="仿宋_GB2312" w:hAnsi="仿宋_GB2312" w:cs="仿宋_GB2312" w:eastAsia="仿宋_GB2312"/>
                <w:sz w:val="24"/>
                <w:color w:val="000000"/>
              </w:rPr>
              <w:t>“设计—开发—测试—发布—运维—迭代”的全生命周期管理体系。</w:t>
            </w:r>
          </w:p>
          <w:p>
            <w:pPr>
              <w:pStyle w:val="null3"/>
              <w:spacing w:before="60" w:after="105"/>
            </w:pPr>
            <w:r>
              <w:rPr>
                <w:rFonts w:ascii="仿宋_GB2312" w:hAnsi="仿宋_GB2312" w:cs="仿宋_GB2312" w:eastAsia="仿宋_GB2312"/>
                <w:sz w:val="24"/>
                <w:color w:val="000000"/>
              </w:rPr>
              <w:t xml:space="preserve">  ② </w:t>
            </w:r>
            <w:r>
              <w:rPr>
                <w:rFonts w:ascii="仿宋_GB2312" w:hAnsi="仿宋_GB2312" w:cs="仿宋_GB2312" w:eastAsia="仿宋_GB2312"/>
                <w:sz w:val="24"/>
                <w:color w:val="000000"/>
              </w:rPr>
              <w:t>建立用户反馈闭环和数据驱动优化机制，推动智能体持续演进。</w:t>
            </w:r>
          </w:p>
          <w:p>
            <w:pPr>
              <w:pStyle w:val="null3"/>
              <w:spacing w:before="60" w:after="105"/>
            </w:pPr>
            <w:r>
              <w:rPr>
                <w:rFonts w:ascii="仿宋_GB2312" w:hAnsi="仿宋_GB2312" w:cs="仿宋_GB2312" w:eastAsia="仿宋_GB2312"/>
                <w:sz w:val="24"/>
                <w:color w:val="000000"/>
              </w:rPr>
              <w:t xml:space="preserve">  2.</w:t>
            </w:r>
            <w:r>
              <w:rPr>
                <w:rFonts w:ascii="仿宋_GB2312" w:hAnsi="仿宋_GB2312" w:cs="仿宋_GB2312" w:eastAsia="仿宋_GB2312"/>
                <w:sz w:val="24"/>
                <w:color w:val="000000"/>
              </w:rPr>
              <w:t>培训体系</w:t>
            </w:r>
          </w:p>
          <w:p>
            <w:pPr>
              <w:pStyle w:val="null3"/>
              <w:spacing w:before="60" w:after="105"/>
            </w:pPr>
            <w:r>
              <w:rPr>
                <w:rFonts w:ascii="仿宋_GB2312" w:hAnsi="仿宋_GB2312" w:cs="仿宋_GB2312" w:eastAsia="仿宋_GB2312"/>
                <w:sz w:val="24"/>
                <w:color w:val="000000"/>
              </w:rPr>
              <w:t xml:space="preserve">  ① </w:t>
            </w:r>
            <w:r>
              <w:rPr>
                <w:rFonts w:ascii="仿宋_GB2312" w:hAnsi="仿宋_GB2312" w:cs="仿宋_GB2312" w:eastAsia="仿宋_GB2312"/>
                <w:sz w:val="24"/>
                <w:color w:val="000000"/>
              </w:rPr>
              <w:t>每年组织不少于</w:t>
            </w:r>
            <w:r>
              <w:rPr>
                <w:rFonts w:ascii="仿宋_GB2312" w:hAnsi="仿宋_GB2312" w:cs="仿宋_GB2312" w:eastAsia="仿宋_GB2312"/>
                <w:sz w:val="24"/>
                <w:color w:val="000000"/>
              </w:rPr>
              <w:t xml:space="preserve"> 5 场分层分类培训</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每场培训至少</w:t>
            </w:r>
            <w:r>
              <w:rPr>
                <w:rFonts w:ascii="仿宋_GB2312" w:hAnsi="仿宋_GB2312" w:cs="仿宋_GB2312" w:eastAsia="仿宋_GB2312"/>
                <w:sz w:val="24"/>
                <w:color w:val="000000"/>
              </w:rPr>
              <w:t>4课时</w:t>
            </w:r>
            <w:r>
              <w:rPr>
                <w:rFonts w:ascii="仿宋_GB2312" w:hAnsi="仿宋_GB2312" w:cs="仿宋_GB2312" w:eastAsia="仿宋_GB2312"/>
                <w:sz w:val="24"/>
                <w:color w:val="000000"/>
              </w:rPr>
              <w:t>：</w:t>
            </w:r>
          </w:p>
          <w:p>
            <w:pPr>
              <w:pStyle w:val="null3"/>
              <w:spacing w:before="60" w:after="105"/>
            </w:pPr>
            <w:r>
              <w:rPr>
                <w:rFonts w:ascii="仿宋_GB2312" w:hAnsi="仿宋_GB2312" w:cs="仿宋_GB2312" w:eastAsia="仿宋_GB2312"/>
                <w:sz w:val="24"/>
                <w:color w:val="000000"/>
              </w:rPr>
              <w:t xml:space="preserve">  ② </w:t>
            </w:r>
            <w:r>
              <w:rPr>
                <w:rFonts w:ascii="仿宋_GB2312" w:hAnsi="仿宋_GB2312" w:cs="仿宋_GB2312" w:eastAsia="仿宋_GB2312"/>
                <w:sz w:val="24"/>
                <w:color w:val="000000"/>
              </w:rPr>
              <w:t>面向管理员、相关技术人员进行</w:t>
            </w:r>
            <w:r>
              <w:rPr>
                <w:rFonts w:ascii="仿宋_GB2312" w:hAnsi="仿宋_GB2312" w:cs="仿宋_GB2312" w:eastAsia="仿宋_GB2312"/>
                <w:sz w:val="24"/>
                <w:color w:val="000000"/>
              </w:rPr>
              <w:t>针对工作流编排、智能体搭建、平台运维、知识库操作、智能体管理相关培训</w:t>
            </w:r>
            <w:r>
              <w:rPr>
                <w:rFonts w:ascii="仿宋_GB2312" w:hAnsi="仿宋_GB2312" w:cs="仿宋_GB2312" w:eastAsia="仿宋_GB2312"/>
                <w:sz w:val="24"/>
                <w:color w:val="000000"/>
              </w:rPr>
              <w:t>。</w:t>
            </w:r>
          </w:p>
          <w:p>
            <w:pPr>
              <w:pStyle w:val="null3"/>
              <w:spacing w:before="60" w:after="105"/>
            </w:pPr>
            <w:r>
              <w:rPr>
                <w:rFonts w:ascii="仿宋_GB2312" w:hAnsi="仿宋_GB2312" w:cs="仿宋_GB2312" w:eastAsia="仿宋_GB2312"/>
                <w:sz w:val="24"/>
                <w:color w:val="000000"/>
              </w:rPr>
              <w:t xml:space="preserve">  ③ </w:t>
            </w:r>
            <w:r>
              <w:rPr>
                <w:rFonts w:ascii="仿宋_GB2312" w:hAnsi="仿宋_GB2312" w:cs="仿宋_GB2312" w:eastAsia="仿宋_GB2312"/>
                <w:sz w:val="24"/>
                <w:color w:val="000000"/>
              </w:rPr>
              <w:t>面向师生进行针对提示词工程、智能体使用、低代码开发和知识库构建相关培训</w:t>
            </w:r>
            <w:r>
              <w:rPr>
                <w:rFonts w:ascii="仿宋_GB2312" w:hAnsi="仿宋_GB2312" w:cs="仿宋_GB2312" w:eastAsia="仿宋_GB2312"/>
                <w:sz w:val="24"/>
                <w:color w:val="000000"/>
              </w:rPr>
              <w:t>。</w:t>
            </w:r>
          </w:p>
          <w:p>
            <w:pPr>
              <w:pStyle w:val="null3"/>
              <w:spacing w:before="60" w:after="105"/>
            </w:pPr>
            <w:r>
              <w:rPr>
                <w:rFonts w:ascii="仿宋_GB2312" w:hAnsi="仿宋_GB2312" w:cs="仿宋_GB2312" w:eastAsia="仿宋_GB2312"/>
                <w:sz w:val="24"/>
                <w:color w:val="000000"/>
              </w:rPr>
              <w:t xml:space="preserve">  3.赛事与创新生态</w:t>
            </w:r>
          </w:p>
          <w:p>
            <w:pPr>
              <w:pStyle w:val="null3"/>
              <w:spacing w:before="60" w:after="105"/>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 xml:space="preserve">① </w:t>
            </w:r>
            <w:r>
              <w:rPr>
                <w:rFonts w:ascii="仿宋_GB2312" w:hAnsi="仿宋_GB2312" w:cs="仿宋_GB2312" w:eastAsia="仿宋_GB2312"/>
                <w:sz w:val="24"/>
                <w:color w:val="000000"/>
              </w:rPr>
              <w:t>每年协同举办</w:t>
            </w:r>
            <w:r>
              <w:rPr>
                <w:rFonts w:ascii="仿宋_GB2312" w:hAnsi="仿宋_GB2312" w:cs="仿宋_GB2312" w:eastAsia="仿宋_GB2312"/>
                <w:sz w:val="24"/>
                <w:color w:val="000000"/>
              </w:rPr>
              <w:t xml:space="preserve"> 1 次校级AI智能体创新大赛，提供赛事平台、技术指导与专家评审。</w:t>
            </w:r>
          </w:p>
          <w:p>
            <w:pPr>
              <w:pStyle w:val="null3"/>
            </w:pPr>
            <w:r>
              <w:rPr>
                <w:rFonts w:ascii="仿宋_GB2312" w:hAnsi="仿宋_GB2312" w:cs="仿宋_GB2312" w:eastAsia="仿宋_GB2312"/>
                <w:sz w:val="24"/>
                <w:color w:val="000000"/>
              </w:rPr>
              <w:t xml:space="preserve">  ② </w:t>
            </w:r>
            <w:r>
              <w:rPr>
                <w:rFonts w:ascii="仿宋_GB2312" w:hAnsi="仿宋_GB2312" w:cs="仿宋_GB2312" w:eastAsia="仿宋_GB2312"/>
                <w:sz w:val="24"/>
              </w:rPr>
              <w:t>建立优秀作品孵化通道，推动成熟应用纳入校内业务系统或转化为校企合作项目，沉淀校园</w:t>
            </w:r>
            <w:r>
              <w:rPr>
                <w:rFonts w:ascii="仿宋_GB2312" w:hAnsi="仿宋_GB2312" w:cs="仿宋_GB2312" w:eastAsia="仿宋_GB2312"/>
                <w:sz w:val="24"/>
              </w:rPr>
              <w:t>“AI数字员工”生态。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color w:val="000000"/>
              </w:rPr>
              <w:t>四</w:t>
            </w:r>
            <w:r>
              <w:rPr>
                <w:rFonts w:ascii="仿宋_GB2312" w:hAnsi="仿宋_GB2312" w:cs="仿宋_GB2312" w:eastAsia="仿宋_GB2312"/>
                <w:sz w:val="28"/>
                <w:color w:val="000000"/>
              </w:rPr>
              <w:t>、</w:t>
            </w:r>
            <w:r>
              <w:rPr>
                <w:rFonts w:ascii="仿宋_GB2312" w:hAnsi="仿宋_GB2312" w:cs="仿宋_GB2312" w:eastAsia="仿宋_GB2312"/>
                <w:sz w:val="28"/>
                <w:color w:val="000000"/>
              </w:rPr>
              <w:t>详细参数</w:t>
            </w:r>
          </w:p>
          <w:tbl>
            <w:tblPr>
              <w:tblBorders>
                <w:top w:val="none" w:color="000000" w:sz="4"/>
                <w:left w:val="none" w:color="000000" w:sz="4"/>
                <w:bottom w:val="none" w:color="000000" w:sz="4"/>
                <w:right w:val="none" w:color="000000" w:sz="4"/>
                <w:insideH w:val="none"/>
                <w:insideV w:val="none"/>
              </w:tblBorders>
            </w:tblPr>
            <w:tblGrid>
              <w:gridCol w:w="292"/>
              <w:gridCol w:w="330"/>
              <w:gridCol w:w="330"/>
              <w:gridCol w:w="1601"/>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建设模块</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序号</w:t>
                  </w:r>
                </w:p>
              </w:tc>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功能项</w:t>
                  </w:r>
                </w:p>
              </w:tc>
              <w:tc>
                <w:tcPr>
                  <w:tcW w:type="dxa" w:w="1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招标参数</w:t>
                  </w: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智能体开发平台</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智能体开发</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支持快速构建问答型、多步骤推理型及任务执行型智能体，满足教学、科研、管理、服务等多场景应用需求。</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工作流编排</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1.支持可视化与代码化工作流设计，支持API集成与业务流程自动化；</w:t>
                  </w:r>
                  <w:r>
                    <w:br/>
                  </w:r>
                  <w:r>
                    <w:rPr>
                      <w:rFonts w:ascii="仿宋_GB2312" w:hAnsi="仿宋_GB2312" w:cs="仿宋_GB2312" w:eastAsia="仿宋_GB2312"/>
                      <w:sz w:val="22"/>
                      <w:color w:val="000000"/>
                    </w:rPr>
                    <w:t>●</w:t>
                  </w:r>
                  <w:r>
                    <w:rPr>
                      <w:rFonts w:ascii="仿宋_GB2312" w:hAnsi="仿宋_GB2312" w:cs="仿宋_GB2312" w:eastAsia="仿宋_GB2312"/>
                      <w:sz w:val="24"/>
                      <w:color w:val="000000"/>
                    </w:rPr>
                    <w:t>2.工作流支持大模型节点、插件节点、工作流节点、代码节点、变量聚合、知识库节点、图像生成、视频生成节点等类型(</w:t>
                  </w:r>
                  <w:r>
                    <w:rPr>
                      <w:rFonts w:ascii="仿宋_GB2312" w:hAnsi="仿宋_GB2312" w:cs="仿宋_GB2312" w:eastAsia="仿宋_GB2312"/>
                      <w:sz w:val="24"/>
                      <w:color w:val="000000"/>
                    </w:rPr>
                    <w:t>该项需提供现场真实系统演示</w:t>
                  </w:r>
                  <w:r>
                    <w:rPr>
                      <w:rFonts w:ascii="仿宋_GB2312" w:hAnsi="仿宋_GB2312" w:cs="仿宋_GB2312" w:eastAsia="仿宋_GB2312"/>
                      <w:sz w:val="22"/>
                      <w:color w:val="000000"/>
                    </w:rPr>
                    <w:t>)</w:t>
                  </w:r>
                  <w:r>
                    <w:rPr>
                      <w:rFonts w:ascii="仿宋_GB2312" w:hAnsi="仿宋_GB2312" w:cs="仿宋_GB2312" w:eastAsia="仿宋_GB2312"/>
                      <w:sz w:val="24"/>
                      <w:color w:val="000000"/>
                    </w:rPr>
                    <w:t>。</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技能支持</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支持将业务能力转换为可复用技能组件，实现统一管理与调用，便于跨智能体共享业务逻辑。</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交互式自然语言</w:t>
                  </w:r>
                  <w:r>
                    <w:rPr>
                      <w:rFonts w:ascii="仿宋_GB2312" w:hAnsi="仿宋_GB2312" w:cs="仿宋_GB2312" w:eastAsia="仿宋_GB2312"/>
                      <w:sz w:val="24"/>
                      <w:color w:val="000000"/>
                    </w:rPr>
                    <w:t>AI开发</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支持通过自然语言完成智能体、应用及工作流开发，分配运行环境并完成依赖配置，大幅降低开发门槛。</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多端应用开发</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支持快速生成</w:t>
                  </w:r>
                  <w:r>
                    <w:rPr>
                      <w:rFonts w:ascii="仿宋_GB2312" w:hAnsi="仿宋_GB2312" w:cs="仿宋_GB2312" w:eastAsia="仿宋_GB2312"/>
                      <w:sz w:val="24"/>
                      <w:color w:val="000000"/>
                    </w:rPr>
                    <w:t>Web应用并完成自定义域名部署；支持移动应用开发与Android安装包生成；支持通过自然语言生成微信小程序并一键发布。</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多模型接入</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提供兼容多家主流大模型云端算力的统一开发调用环境，提供</w:t>
                  </w:r>
                  <w:r>
                    <w:rPr>
                      <w:rFonts w:ascii="仿宋_GB2312" w:hAnsi="仿宋_GB2312" w:cs="仿宋_GB2312" w:eastAsia="仿宋_GB2312"/>
                      <w:sz w:val="24"/>
                      <w:color w:val="000000"/>
                    </w:rPr>
                    <w:t>至少包括</w:t>
                  </w:r>
                  <w:r>
                    <w:rPr>
                      <w:rFonts w:ascii="仿宋_GB2312" w:hAnsi="仿宋_GB2312" w:cs="仿宋_GB2312" w:eastAsia="仿宋_GB2312"/>
                      <w:sz w:val="24"/>
                      <w:color w:val="000000"/>
                    </w:rPr>
                    <w:t>DeepSeek系列、通义千问系列、豆包系列其中之一系列模型，同时模型需具备编程、文生图、文生视频、语音克隆能力，只调用模型接口不本地部署大模型，该项没有本地部署算力的需求</w:t>
                  </w:r>
                  <w:r>
                    <w:rPr>
                      <w:rFonts w:ascii="仿宋_GB2312" w:hAnsi="仿宋_GB2312" w:cs="仿宋_GB2312" w:eastAsia="仿宋_GB2312"/>
                      <w:sz w:val="24"/>
                      <w:color w:val="000000"/>
                    </w:rPr>
                    <w:t>，支持接入本校已建设的</w:t>
                  </w:r>
                  <w:r>
                    <w:rPr>
                      <w:rFonts w:ascii="仿宋_GB2312" w:hAnsi="仿宋_GB2312" w:cs="仿宋_GB2312" w:eastAsia="仿宋_GB2312"/>
                      <w:sz w:val="24"/>
                      <w:color w:val="000000"/>
                    </w:rPr>
                    <w:t>"力行大模型"，该本地模型规格为兼容OpenAI接口架构的非多模态语言大模型，参数70B</w:t>
                  </w:r>
                  <w:r>
                    <w:rPr>
                      <w:rFonts w:ascii="仿宋_GB2312" w:hAnsi="仿宋_GB2312" w:cs="仿宋_GB2312" w:eastAsia="仿宋_GB2312"/>
                      <w:sz w:val="24"/>
                      <w:color w:val="000000"/>
                    </w:rPr>
                    <w:t>，同时应可调用本地未来构建的符合</w:t>
                  </w:r>
                  <w:r>
                    <w:rPr>
                      <w:rFonts w:ascii="仿宋_GB2312" w:hAnsi="仿宋_GB2312" w:cs="仿宋_GB2312" w:eastAsia="仿宋_GB2312"/>
                      <w:sz w:val="24"/>
                      <w:color w:val="000000"/>
                    </w:rPr>
                    <w:t>兼容</w:t>
                  </w:r>
                  <w:r>
                    <w:rPr>
                      <w:rFonts w:ascii="仿宋_GB2312" w:hAnsi="仿宋_GB2312" w:cs="仿宋_GB2312" w:eastAsia="仿宋_GB2312"/>
                      <w:sz w:val="24"/>
                      <w:color w:val="000000"/>
                    </w:rPr>
                    <w:t>OpenAI接口的</w:t>
                  </w:r>
                  <w:r>
                    <w:rPr>
                      <w:rFonts w:ascii="仿宋_GB2312" w:hAnsi="仿宋_GB2312" w:cs="仿宋_GB2312" w:eastAsia="仿宋_GB2312"/>
                      <w:sz w:val="24"/>
                      <w:color w:val="000000"/>
                    </w:rPr>
                    <w:t>各类模型</w:t>
                  </w:r>
                  <w:r>
                    <w:rPr>
                      <w:rFonts w:ascii="仿宋_GB2312" w:hAnsi="仿宋_GB2312" w:cs="仿宋_GB2312" w:eastAsia="仿宋_GB2312"/>
                      <w:sz w:val="24"/>
                      <w:color w:val="000000"/>
                    </w:rPr>
                    <w:t>，实现校内外模型资源的统一纳管与调度。</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模型参数配置</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支持上下文长度、回复长度、温度值等参数配置，满足不同场景下的生成效果调优需求。</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深度推理能力</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支持深度思考模型调用及推理深度配置，满足复杂逻辑推理与多步骤分析场景需求。</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多智能体联动</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2"/>
                      <w:color w:val="000000"/>
                    </w:rPr>
                    <w:t>●</w:t>
                  </w:r>
                  <w:r>
                    <w:rPr>
                      <w:rFonts w:ascii="仿宋_GB2312" w:hAnsi="仿宋_GB2312" w:cs="仿宋_GB2312" w:eastAsia="仿宋_GB2312"/>
                      <w:sz w:val="24"/>
                      <w:color w:val="000000"/>
                    </w:rPr>
                    <w:t>支持多个智能体协同工作，能实现多个智能体任务自动拆解与执行</w:t>
                  </w:r>
                  <w:r>
                    <w:rPr>
                      <w:rFonts w:ascii="仿宋_GB2312" w:hAnsi="仿宋_GB2312" w:cs="仿宋_GB2312" w:eastAsia="仿宋_GB2312"/>
                      <w:sz w:val="24"/>
                      <w:color w:val="000000"/>
                    </w:rPr>
                    <w:t>(该项需提供现场真实系统演示)；</w:t>
                  </w:r>
                </w:p>
                <w:p>
                  <w:pPr>
                    <w:pStyle w:val="null3"/>
                    <w:spacing w:after="165"/>
                    <w:jc w:val="both"/>
                  </w:pPr>
                  <w:r>
                    <w:rPr>
                      <w:rFonts w:ascii="仿宋_GB2312" w:hAnsi="仿宋_GB2312" w:cs="仿宋_GB2312" w:eastAsia="仿宋_GB2312"/>
                      <w:sz w:val="24"/>
                      <w:color w:val="000000"/>
                    </w:rPr>
                    <w:t>支持单</w:t>
                  </w:r>
                  <w:r>
                    <w:rPr>
                      <w:rFonts w:ascii="仿宋_GB2312" w:hAnsi="仿宋_GB2312" w:cs="仿宋_GB2312" w:eastAsia="仿宋_GB2312"/>
                      <w:sz w:val="24"/>
                      <w:color w:val="000000"/>
                    </w:rPr>
                    <w:t>Agent-LLM模式、单Agent-对话流模式、多Agent模式等多种编排模式；支持对Agent生成的内容格式进行自定义。</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10</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提示词工程</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支持提示词生成、优化、模板管理及团队共享，助力高质量</w:t>
                  </w:r>
                  <w:r>
                    <w:rPr>
                      <w:rFonts w:ascii="仿宋_GB2312" w:hAnsi="仿宋_GB2312" w:cs="仿宋_GB2312" w:eastAsia="仿宋_GB2312"/>
                      <w:sz w:val="24"/>
                      <w:color w:val="000000"/>
                    </w:rPr>
                    <w:t>Prompt沉淀与复用。</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插件管理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提供不少于</w:t>
                  </w:r>
                  <w:r>
                    <w:rPr>
                      <w:rFonts w:ascii="仿宋_GB2312" w:hAnsi="仿宋_GB2312" w:cs="仿宋_GB2312" w:eastAsia="仿宋_GB2312"/>
                      <w:sz w:val="24"/>
                      <w:color w:val="000000"/>
                    </w:rPr>
                    <w:t>1000个官方插件，支持第三方插件扩展，覆盖搜索、图像生成等通用或垂直场景插件需求。</w:t>
                  </w:r>
                  <w:r>
                    <w:rPr>
                      <w:rFonts w:ascii="仿宋_GB2312" w:hAnsi="仿宋_GB2312" w:cs="仿宋_GB2312" w:eastAsia="仿宋_GB2312"/>
                      <w:sz w:val="24"/>
                      <w:color w:val="000000"/>
                    </w:rPr>
                    <w:t>(提供供应商盖章的截图)</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知识库接入</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支持多格式知识接入与语义检索增强问答，为智能体提供可靠的知识支撑。</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数据库能力</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支持自然语言读写数据库及结构化数据管理，实现数据与智能体的无缝对接。</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长期记忆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支持用户画像、行为偏好及长期上下文记忆，提升智能体个性化服务能力。</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音视频交互</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2"/>
                      <w:color w:val="000000"/>
                    </w:rPr>
                    <w:t>●</w:t>
                  </w:r>
                  <w:r>
                    <w:rPr>
                      <w:rFonts w:ascii="仿宋_GB2312" w:hAnsi="仿宋_GB2312" w:cs="仿宋_GB2312" w:eastAsia="仿宋_GB2312"/>
                      <w:sz w:val="24"/>
                      <w:color w:val="000000"/>
                    </w:rPr>
                    <w:t>1.支持语音通话、视频通话及实时语音交互；(该项需提供现场真实系统演示)</w:t>
                  </w:r>
                  <w:r>
                    <w:br/>
                  </w:r>
                  <w:r>
                    <w:rPr>
                      <w:rFonts w:ascii="仿宋_GB2312" w:hAnsi="仿宋_GB2312" w:cs="仿宋_GB2312" w:eastAsia="仿宋_GB2312"/>
                      <w:sz w:val="22"/>
                      <w:color w:val="000000"/>
                    </w:rPr>
                    <w:t>●</w:t>
                  </w:r>
                  <w:r>
                    <w:rPr>
                      <w:rFonts w:ascii="仿宋_GB2312" w:hAnsi="仿宋_GB2312" w:cs="仿宋_GB2312" w:eastAsia="仿宋_GB2312"/>
                      <w:sz w:val="24"/>
                      <w:color w:val="000000"/>
                    </w:rPr>
                    <w:t>2.支持用户上传音频文件或直接录制声音、将音频以流式方式送入并实时转为文本；(该项需提供现场真实系统演示)</w:t>
                  </w:r>
                  <w:r>
                    <w:br/>
                  </w:r>
                  <w:r>
                    <w:rPr>
                      <w:rFonts w:ascii="仿宋_GB2312" w:hAnsi="仿宋_GB2312" w:cs="仿宋_GB2312" w:eastAsia="仿宋_GB2312"/>
                      <w:sz w:val="22"/>
                      <w:color w:val="000000"/>
                    </w:rPr>
                    <w:t>●</w:t>
                  </w:r>
                  <w:r>
                    <w:rPr>
                      <w:rFonts w:ascii="仿宋_GB2312" w:hAnsi="仿宋_GB2312" w:cs="仿宋_GB2312" w:eastAsia="仿宋_GB2312"/>
                      <w:sz w:val="24"/>
                      <w:color w:val="000000"/>
                    </w:rPr>
                    <w:t>3.支持音色复刻及个性化语音合成能力。(该项需提供现场真实系统演示)</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17</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数字分身</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支持构建具备长期记忆、任务执行和多工具调用能力的数字分身，为师生提供个性化</w:t>
                  </w:r>
                  <w:r>
                    <w:rPr>
                      <w:rFonts w:ascii="仿宋_GB2312" w:hAnsi="仿宋_GB2312" w:cs="仿宋_GB2312" w:eastAsia="仿宋_GB2312"/>
                      <w:sz w:val="24"/>
                      <w:color w:val="000000"/>
                    </w:rPr>
                    <w:t>AI助理服务。</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18</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任务与评测管理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支持批量任务、异步任务及周期任务管理；支持</w:t>
                  </w:r>
                  <w:r>
                    <w:rPr>
                      <w:rFonts w:ascii="仿宋_GB2312" w:hAnsi="仿宋_GB2312" w:cs="仿宋_GB2312" w:eastAsia="仿宋_GB2312"/>
                      <w:sz w:val="24"/>
                      <w:color w:val="000000"/>
                    </w:rPr>
                    <w:t>Prompt评测、多模型对比及自动化质量评估，保障智能体输出质量。</w:t>
                  </w:r>
                  <w:r>
                    <w:rPr>
                      <w:rFonts w:ascii="仿宋_GB2312" w:hAnsi="仿宋_GB2312" w:cs="仿宋_GB2312" w:eastAsia="仿宋_GB2312"/>
                      <w:sz w:val="24"/>
                      <w:color w:val="000000"/>
                    </w:rPr>
                    <w:t>(提供供应商盖章的截图)</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19</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开发调试与观测</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支持开发调试、版本管理及多渠道发布；支持模型调用、工具执行全过程追踪分析，便于问题定位与性能优化。</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20</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模板生态</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提供不少于</w:t>
                  </w:r>
                  <w:r>
                    <w:rPr>
                      <w:rFonts w:ascii="仿宋_GB2312" w:hAnsi="仿宋_GB2312" w:cs="仿宋_GB2312" w:eastAsia="仿宋_GB2312"/>
                      <w:sz w:val="24"/>
                      <w:color w:val="000000"/>
                    </w:rPr>
                    <w:t>100个教育行业智能体模板，支持快速复制与改造，加速场景化应用落地。</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用户数量</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提供不少于</w:t>
                  </w:r>
                  <w:r>
                    <w:rPr>
                      <w:rFonts w:ascii="仿宋_GB2312" w:hAnsi="仿宋_GB2312" w:cs="仿宋_GB2312" w:eastAsia="仿宋_GB2312"/>
                      <w:sz w:val="24"/>
                      <w:color w:val="000000"/>
                    </w:rPr>
                    <w:t>1000个用户授权，支持多学院协同建设，开发者座席具备个人或部门专属空间及账号。（提供供应商盖章的承诺函）</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w:t>
                  </w:r>
                  <w:r>
                    <w:rPr>
                      <w:rFonts w:ascii="仿宋_GB2312" w:hAnsi="仿宋_GB2312" w:cs="仿宋_GB2312" w:eastAsia="仿宋_GB2312"/>
                      <w:sz w:val="24"/>
                      <w:color w:val="000000"/>
                    </w:rPr>
                    <w:t>算力与资源保障</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5年期云算力与模型服务订阅；年均提供不少于500亿Token调用额度(包含多模态资源，且按整年计算调用额度)，全面覆盖文本生成、深度推理等需求；支持算力弹性调度及专属资源扩展，保障多任务并发场景下智能体响应速度。(提供供应商盖章的承诺函)</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用量监控</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具备实时</w:t>
                  </w:r>
                  <w:r>
                    <w:rPr>
                      <w:rFonts w:ascii="仿宋_GB2312" w:hAnsi="仿宋_GB2312" w:cs="仿宋_GB2312" w:eastAsia="仿宋_GB2312"/>
                      <w:sz w:val="24"/>
                      <w:color w:val="000000"/>
                    </w:rPr>
                    <w:t>Token监控、Token阈值告警能力；支持用户级、部门级、应用级多维度Token统计粒度。</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高可用保障</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具备弹性算力调度与负载均衡机制，保障平台在多任务并发场景下稳定运行；具备快速故障恢复能力。</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智能体开发平台性能</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平台整体响应流畅，工作流调度、节点执行、上下文处理等环节无明显卡顿，要求工具调用速率</w:t>
                  </w:r>
                  <w:r>
                    <w:rPr>
                      <w:rFonts w:ascii="仿宋_GB2312" w:hAnsi="仿宋_GB2312" w:cs="仿宋_GB2312" w:eastAsia="仿宋_GB2312"/>
                      <w:sz w:val="24"/>
                      <w:color w:val="000000"/>
                    </w:rPr>
                    <w:t>≤200ms、工作流</w:t>
                  </w:r>
                  <w:r>
                    <w:rPr>
                      <w:rFonts w:ascii="仿宋_GB2312" w:hAnsi="仿宋_GB2312" w:cs="仿宋_GB2312" w:eastAsia="仿宋_GB2312"/>
                      <w:sz w:val="24"/>
                      <w:color w:val="000000"/>
                    </w:rPr>
                    <w:t>节点调度</w:t>
                  </w:r>
                  <w:r>
                    <w:rPr>
                      <w:rFonts w:ascii="仿宋_GB2312" w:hAnsi="仿宋_GB2312" w:cs="仿宋_GB2312" w:eastAsia="仿宋_GB2312"/>
                      <w:sz w:val="24"/>
                      <w:color w:val="000000"/>
                    </w:rPr>
                    <w:t>速率</w:t>
                  </w:r>
                  <w:r>
                    <w:rPr>
                      <w:rFonts w:ascii="仿宋_GB2312" w:hAnsi="仿宋_GB2312" w:cs="仿宋_GB2312" w:eastAsia="仿宋_GB2312"/>
                      <w:sz w:val="24"/>
                      <w:color w:val="000000"/>
                    </w:rPr>
                    <w:t>≤50ms、</w:t>
                  </w:r>
                  <w:r>
                    <w:rPr>
                      <w:rFonts w:ascii="仿宋_GB2312" w:hAnsi="仿宋_GB2312" w:cs="仿宋_GB2312" w:eastAsia="仿宋_GB2312"/>
                      <w:sz w:val="24"/>
                      <w:color w:val="000000"/>
                    </w:rPr>
                    <w:t>，平台吞吐速率</w:t>
                  </w:r>
                  <w:r>
                    <w:rPr>
                      <w:rFonts w:ascii="仿宋_GB2312" w:hAnsi="仿宋_GB2312" w:cs="仿宋_GB2312" w:eastAsia="仿宋_GB2312"/>
                      <w:sz w:val="24"/>
                      <w:color w:val="000000"/>
                    </w:rPr>
                    <w:t>≥300 QPS/节点。(提供供应商盖章的承诺函)</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大模型性能</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要求模型首字节生成速率</w:t>
                  </w:r>
                  <w:r>
                    <w:rPr>
                      <w:rFonts w:ascii="仿宋_GB2312" w:hAnsi="仿宋_GB2312" w:cs="仿宋_GB2312" w:eastAsia="仿宋_GB2312"/>
                      <w:sz w:val="24"/>
                      <w:color w:val="000000"/>
                    </w:rPr>
                    <w:t>≤1000ms、模型Profile速率≤120ms。（提供供应商盖章的承诺函）</w:t>
                  </w: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AI融合门户</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w:t>
                  </w:r>
                  <w:r>
                    <w:rPr>
                      <w:rFonts w:ascii="仿宋_GB2312" w:hAnsi="仿宋_GB2312" w:cs="仿宋_GB2312" w:eastAsia="仿宋_GB2312"/>
                      <w:sz w:val="24"/>
                      <w:color w:val="000000"/>
                    </w:rPr>
                    <w:t>统一服务入口</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建设面向全体师生的一站式定制化校园</w:t>
                  </w:r>
                  <w:r>
                    <w:rPr>
                      <w:rFonts w:ascii="仿宋_GB2312" w:hAnsi="仿宋_GB2312" w:cs="仿宋_GB2312" w:eastAsia="仿宋_GB2312"/>
                      <w:sz w:val="24"/>
                      <w:color w:val="000000"/>
                    </w:rPr>
                    <w:t>AI服务</w:t>
                  </w:r>
                  <w:r>
                    <w:rPr>
                      <w:rFonts w:ascii="仿宋_GB2312" w:hAnsi="仿宋_GB2312" w:cs="仿宋_GB2312" w:eastAsia="仿宋_GB2312"/>
                      <w:sz w:val="24"/>
                      <w:color w:val="000000"/>
                    </w:rPr>
                    <w:t>门户</w:t>
                  </w:r>
                  <w:r>
                    <w:rPr>
                      <w:rFonts w:ascii="仿宋_GB2312" w:hAnsi="仿宋_GB2312" w:cs="仿宋_GB2312" w:eastAsia="仿宋_GB2312"/>
                      <w:sz w:val="24"/>
                      <w:color w:val="000000"/>
                    </w:rPr>
                    <w:t>，实现智能体统一访问与服务聚合。（提供供应商盖章的承诺函）</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单点登录</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支持与学校</w:t>
                  </w:r>
                  <w:r>
                    <w:rPr>
                      <w:rFonts w:ascii="仿宋_GB2312" w:hAnsi="仿宋_GB2312" w:cs="仿宋_GB2312" w:eastAsia="仿宋_GB2312"/>
                      <w:sz w:val="24"/>
                      <w:color w:val="000000"/>
                    </w:rPr>
                    <w:t>SSO/CAS统一身份认证系统集成，实现无感登录与统一鉴权。</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智能体展示</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支持智能体分类展示、搜索发现及推荐；支持通过语义搜索门户内的智能体，实现服务的快速触达；支持联网搜索，支持接入学校服务查询。</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校园</w:t>
                  </w:r>
                  <w:r>
                    <w:rPr>
                      <w:rFonts w:ascii="仿宋_GB2312" w:hAnsi="仿宋_GB2312" w:cs="仿宋_GB2312" w:eastAsia="仿宋_GB2312"/>
                      <w:sz w:val="24"/>
                      <w:color w:val="000000"/>
                    </w:rPr>
                    <w:t>AI助理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提供统一对话入口，实现智能体自动分发与调度，支持</w:t>
                  </w:r>
                  <w:r>
                    <w:rPr>
                      <w:rFonts w:ascii="仿宋_GB2312" w:hAnsi="仿宋_GB2312" w:cs="仿宋_GB2312" w:eastAsia="仿宋_GB2312"/>
                      <w:sz w:val="24"/>
                      <w:color w:val="000000"/>
                    </w:rPr>
                    <w:t>"问一处、办多事"的即时服务体验。</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多模态交互</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支持文本、语音、视频及文件上传等多种交互方式，满足不同使用场景需求。</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交互与反馈管理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支持历史会话查询、导出及删除；支持用户评分、反馈及运营分析，持续优化服务体验。</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智能体分享</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支持公开访问、认证访问及权限访问等多种分享模式，灵活适配不同使用场景。</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多智能体协同</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支持动态调用多个</w:t>
                  </w:r>
                  <w:r>
                    <w:rPr>
                      <w:rFonts w:ascii="仿宋_GB2312" w:hAnsi="仿宋_GB2312" w:cs="仿宋_GB2312" w:eastAsia="仿宋_GB2312"/>
                      <w:sz w:val="24"/>
                      <w:color w:val="000000"/>
                    </w:rPr>
                    <w:t>Agent协同完成复杂任务，实现自身智能服务的自动编排。</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AI工具集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集成常用文本生成、图像生成及办公工具，为师生提供便捷的</w:t>
                  </w:r>
                  <w:r>
                    <w:rPr>
                      <w:rFonts w:ascii="仿宋_GB2312" w:hAnsi="仿宋_GB2312" w:cs="仿宋_GB2312" w:eastAsia="仿宋_GB2312"/>
                      <w:sz w:val="24"/>
                      <w:color w:val="000000"/>
                    </w:rPr>
                    <w:t>AI能力支持。</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10</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学习中心</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w:t>
                  </w:r>
                  <w:r>
                    <w:rPr>
                      <w:rFonts w:ascii="仿宋_GB2312" w:hAnsi="仿宋_GB2312" w:cs="仿宋_GB2312" w:eastAsia="仿宋_GB2312"/>
                      <w:sz w:val="24"/>
                      <w:color w:val="000000"/>
                    </w:rPr>
                    <w:t>AI学习资源、课程及学习统计分析，助力师生提升数字化素养与智能应用能力。</w:t>
                  </w: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智能体管理平台</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智能体管理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支持智能体同步、审核、发布及上下架管理，保障应用合规、安全、稳定。</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生命周期管理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支持备案、审核、发布、运维全过程管理，可根据学校对智能体建设要求自定义备案、审查相关流程。</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w:t>
                  </w:r>
                  <w:r>
                    <w:rPr>
                      <w:rFonts w:ascii="仿宋_GB2312" w:hAnsi="仿宋_GB2312" w:cs="仿宋_GB2312" w:eastAsia="仿宋_GB2312"/>
                      <w:sz w:val="24"/>
                      <w:color w:val="000000"/>
                    </w:rPr>
                    <w:t>第三方接入</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支持外部</w:t>
                  </w:r>
                  <w:r>
                    <w:rPr>
                      <w:rFonts w:ascii="仿宋_GB2312" w:hAnsi="仿宋_GB2312" w:cs="仿宋_GB2312" w:eastAsia="仿宋_GB2312"/>
                      <w:sz w:val="24"/>
                      <w:color w:val="000000"/>
                    </w:rPr>
                    <w:t>Agent及至少包括OpenAI标准接口接入，提供对外开放的标准化接入接口与管理工具，实现统一纳管。（提供供应商盖章的承诺函）</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多智能体编排管理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支持智能体编组管理及动态编排配置，可动态调度</w:t>
                  </w:r>
                  <w:r>
                    <w:rPr>
                      <w:rFonts w:ascii="仿宋_GB2312" w:hAnsi="仿宋_GB2312" w:cs="仿宋_GB2312" w:eastAsia="仿宋_GB2312"/>
                      <w:sz w:val="24"/>
                      <w:color w:val="000000"/>
                    </w:rPr>
                    <w:t>Agent与兼容OpenAI等格式的智能体。</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用户权限管理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支持开发权限、发布权限及使用权限控制，确保不同角色访问不同级别的智能体与数据资源。</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组织同步</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支持同步学校组织架构、部门及用户信息，实现权限体系的统一维护。</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数据统计</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支持访问量、用户数、会话数及调用量分析，包含智能体调用、特定用户使用、独立会话数、交互对话次数、</w:t>
                  </w:r>
                  <w:r>
                    <w:rPr>
                      <w:rFonts w:ascii="仿宋_GB2312" w:hAnsi="仿宋_GB2312" w:cs="仿宋_GB2312" w:eastAsia="仿宋_GB2312"/>
                      <w:sz w:val="24"/>
                      <w:color w:val="000000"/>
                    </w:rPr>
                    <w:t>Tokens消耗等重要参数统计；数据可通过导出或标准接口供第三方调用。</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资源用量统计</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支持模型调用成本及</w:t>
                  </w:r>
                  <w:r>
                    <w:rPr>
                      <w:rFonts w:ascii="仿宋_GB2312" w:hAnsi="仿宋_GB2312" w:cs="仿宋_GB2312" w:eastAsia="仿宋_GB2312"/>
                      <w:sz w:val="24"/>
                      <w:color w:val="000000"/>
                    </w:rPr>
                    <w:t>Token消耗统计，支持接入第三方Agent的API调用鉴权与大模型Token额度管控。</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运维与审计</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支持操作日志、访问日志及异常日志审计；支持运行状态监测、异常告警及性能分析；支持智能体运行过程可视化追踪与问题定位。</w:t>
                  </w: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私有化知识库平台</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本地知识库建设</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支持校内部署知识库，遵循</w:t>
                  </w:r>
                  <w:r>
                    <w:rPr>
                      <w:rFonts w:ascii="仿宋_GB2312" w:hAnsi="仿宋_GB2312" w:cs="仿宋_GB2312" w:eastAsia="仿宋_GB2312"/>
                      <w:sz w:val="24"/>
                      <w:color w:val="000000"/>
                    </w:rPr>
                    <w:t>"数据不离场"原则，实现知识统一管理与安全可控。</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w:t>
                  </w:r>
                  <w:r>
                    <w:rPr>
                      <w:rFonts w:ascii="仿宋_GB2312" w:hAnsi="仿宋_GB2312" w:cs="仿宋_GB2312" w:eastAsia="仿宋_GB2312"/>
                      <w:sz w:val="24"/>
                      <w:color w:val="000000"/>
                    </w:rPr>
                    <w:t>多格式数据接入</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1.支持</w:t>
                  </w:r>
                  <w:r>
                    <w:rPr>
                      <w:rFonts w:ascii="仿宋_GB2312" w:hAnsi="仿宋_GB2312" w:cs="仿宋_GB2312" w:eastAsia="仿宋_GB2312"/>
                      <w:sz w:val="24"/>
                      <w:color w:val="000000"/>
                    </w:rPr>
                    <w:t>文本</w:t>
                  </w:r>
                  <w:r>
                    <w:rPr>
                      <w:rFonts w:ascii="仿宋_GB2312" w:hAnsi="仿宋_GB2312" w:cs="仿宋_GB2312" w:eastAsia="仿宋_GB2312"/>
                      <w:sz w:val="24"/>
                      <w:color w:val="000000"/>
                    </w:rPr>
                    <w:t>、</w:t>
                  </w:r>
                  <w:r>
                    <w:rPr>
                      <w:rFonts w:ascii="仿宋_GB2312" w:hAnsi="仿宋_GB2312" w:cs="仿宋_GB2312" w:eastAsia="仿宋_GB2312"/>
                      <w:sz w:val="24"/>
                      <w:color w:val="000000"/>
                    </w:rPr>
                    <w:t>演示文稿</w:t>
                  </w:r>
                  <w:r>
                    <w:rPr>
                      <w:rFonts w:ascii="仿宋_GB2312" w:hAnsi="仿宋_GB2312" w:cs="仿宋_GB2312" w:eastAsia="仿宋_GB2312"/>
                      <w:sz w:val="24"/>
                      <w:color w:val="000000"/>
                    </w:rPr>
                    <w:t>、</w:t>
                  </w:r>
                  <w:r>
                    <w:rPr>
                      <w:rFonts w:ascii="仿宋_GB2312" w:hAnsi="仿宋_GB2312" w:cs="仿宋_GB2312" w:eastAsia="仿宋_GB2312"/>
                      <w:sz w:val="24"/>
                      <w:color w:val="000000"/>
                    </w:rPr>
                    <w:t>表格</w:t>
                  </w:r>
                  <w:r>
                    <w:rPr>
                      <w:rFonts w:ascii="仿宋_GB2312" w:hAnsi="仿宋_GB2312" w:cs="仿宋_GB2312" w:eastAsia="仿宋_GB2312"/>
                      <w:sz w:val="24"/>
                      <w:color w:val="000000"/>
                    </w:rPr>
                    <w:t>、</w:t>
                  </w:r>
                  <w:r>
                    <w:rPr>
                      <w:rFonts w:ascii="仿宋_GB2312" w:hAnsi="仿宋_GB2312" w:cs="仿宋_GB2312" w:eastAsia="仿宋_GB2312"/>
                      <w:sz w:val="24"/>
                      <w:color w:val="000000"/>
                    </w:rPr>
                    <w:t>便携式文档</w:t>
                  </w:r>
                  <w:r>
                    <w:rPr>
                      <w:rFonts w:ascii="仿宋_GB2312" w:hAnsi="仿宋_GB2312" w:cs="仿宋_GB2312" w:eastAsia="仿宋_GB2312"/>
                      <w:sz w:val="24"/>
                      <w:color w:val="000000"/>
                    </w:rPr>
                    <w:t>、图片等多类非结构化文档及</w:t>
                  </w:r>
                  <w:r>
                    <w:rPr>
                      <w:rFonts w:ascii="仿宋_GB2312" w:hAnsi="仿宋_GB2312" w:cs="仿宋_GB2312" w:eastAsia="仿宋_GB2312"/>
                      <w:sz w:val="24"/>
                      <w:color w:val="000000"/>
                    </w:rPr>
                    <w:t>CSV、XLS、XLSX、JSON等结构化数据的本地化存储与向量化检索。</w:t>
                  </w:r>
                  <w:r>
                    <w:br/>
                  </w:r>
                  <w:r>
                    <w:rPr>
                      <w:rFonts w:ascii="仿宋_GB2312" w:hAnsi="仿宋_GB2312" w:cs="仿宋_GB2312" w:eastAsia="仿宋_GB2312"/>
                      <w:sz w:val="24"/>
                      <w:color w:val="000000"/>
                    </w:rPr>
                    <w:t>2.向量化数据库需支持国产数据库。（提供供应商盖章的承诺函）</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向量检索</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支持语义检索、混合检索及</w:t>
                  </w:r>
                  <w:r>
                    <w:rPr>
                      <w:rFonts w:ascii="仿宋_GB2312" w:hAnsi="仿宋_GB2312" w:cs="仿宋_GB2312" w:eastAsia="仿宋_GB2312"/>
                      <w:sz w:val="24"/>
                      <w:color w:val="000000"/>
                    </w:rPr>
                    <w:t>RAG增强问答，具备图文协同匹配与多轮会话上下文管理能力，提高智能问答的准确性与一致性。</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图文知识关联</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支持通过自然语言匹配对应图像知识。支持图像与文本协同检索，即上传匹配文字的图像素材。</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会话文件管理</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支持文件上传、引用及上下文关联，便于知识的灵活调用与整合。</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w:t>
                  </w:r>
                  <w:r>
                    <w:rPr>
                      <w:rFonts w:ascii="仿宋_GB2312" w:hAnsi="仿宋_GB2312" w:cs="仿宋_GB2312" w:eastAsia="仿宋_GB2312"/>
                      <w:sz w:val="24"/>
                      <w:color w:val="000000"/>
                    </w:rPr>
                    <w:t>知识库权限</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知识库权限以个人用户独立权限为基础，同时支持部门级、项目级权限的细粒度控制，特殊项目或活动可灵活单独分配权限。知识库在智能体调用时须集成并继承知识库自身权限体系，确保知识访问边界一致。在用户上传资料时须有明确安全提示，凡属</w:t>
                  </w:r>
                  <w:r>
                    <w:rPr>
                      <w:rFonts w:ascii="仿宋_GB2312" w:hAnsi="仿宋_GB2312" w:cs="仿宋_GB2312" w:eastAsia="仿宋_GB2312"/>
                      <w:sz w:val="24"/>
                      <w:color w:val="000000"/>
                    </w:rPr>
                    <w:t>“涉密”“涉及个人敏感信息”“涉及单位重要数据及敏感信息”的资料，严禁设置公开知识库权限，确保数据安全合规。（提供供应商提供盖章的承诺函）</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数据安全与部署</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支持数据加密、脱敏、审计及访问控制；支持校内部署，满足数据不出校要求，符合国家教育数据安全和个人信息保护规范。</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知识库性能</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知识库的召回延迟</w:t>
                  </w:r>
                  <w:r>
                    <w:rPr>
                      <w:rFonts w:ascii="仿宋_GB2312" w:hAnsi="仿宋_GB2312" w:cs="仿宋_GB2312" w:eastAsia="仿宋_GB2312"/>
                      <w:sz w:val="24"/>
                      <w:color w:val="000000"/>
                    </w:rPr>
                    <w:t>≤150ms，重排序召回延迟≤800ms、召回准确率≥70%、知识库并发检索QPS≥300 QPS。（提供供应商盖章的承诺函）</w:t>
                  </w: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场景化智能体应用</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智能体建设总需求</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1.智能体分三期建设，分批交付不少于60个场景化智能体，第一期建设公文辅助助手、教学课件生成助手、招生咨询助手、行政制度咨询助手、网络运维问答助手、办公流程问答、问事问办助手、课程伴学助手等。第二、三期按通用工具类、问答助手类、办公办事类、业务及数据对接类、数字员工类五大类建设，要求满足学校真实场景和业务流程，做到"落地即用、用即见效"。</w:t>
                  </w:r>
                  <w:r>
                    <w:br/>
                  </w:r>
                  <w:r>
                    <w:rPr>
                      <w:rFonts w:ascii="仿宋_GB2312" w:hAnsi="仿宋_GB2312" w:cs="仿宋_GB2312" w:eastAsia="仿宋_GB2312"/>
                      <w:sz w:val="24"/>
                      <w:color w:val="000000"/>
                    </w:rPr>
                    <w:t>2.交付期限：第一期(不迟于2026年12月31日前交付)建设交付不少于10个智能体，</w:t>
                  </w:r>
                  <w:r>
                    <w:rPr>
                      <w:rFonts w:ascii="仿宋_GB2312" w:hAnsi="仿宋_GB2312" w:cs="仿宋_GB2312" w:eastAsia="仿宋_GB2312"/>
                      <w:sz w:val="24"/>
                      <w:color w:val="000000"/>
                    </w:rPr>
                    <w:t>第二期建设累计交付不少于</w:t>
                  </w:r>
                  <w:r>
                    <w:rPr>
                      <w:rFonts w:ascii="仿宋_GB2312" w:hAnsi="仿宋_GB2312" w:cs="仿宋_GB2312" w:eastAsia="仿宋_GB2312"/>
                      <w:sz w:val="24"/>
                      <w:color w:val="000000"/>
                    </w:rPr>
                    <w:t>40个智能体(不迟于2027年12月31日前交付)，第三期建设累计交付不少于60个智能体(2028年12月31日前交付)。</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第一期</w:t>
                  </w:r>
                  <w:r>
                    <w:rPr>
                      <w:rFonts w:ascii="仿宋_GB2312" w:hAnsi="仿宋_GB2312" w:cs="仿宋_GB2312" w:eastAsia="仿宋_GB2312"/>
                      <w:sz w:val="24"/>
                      <w:color w:val="000000"/>
                    </w:rPr>
                    <w:t>-</w:t>
                  </w:r>
                  <w:r>
                    <w:rPr>
                      <w:rFonts w:ascii="仿宋_GB2312" w:hAnsi="仿宋_GB2312" w:cs="仿宋_GB2312" w:eastAsia="仿宋_GB2312"/>
                      <w:sz w:val="24"/>
                      <w:color w:val="000000"/>
                    </w:rPr>
                    <w:t>通用工具类</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65"/>
                    <w:jc w:val="both"/>
                  </w:pPr>
                  <w:r>
                    <w:rPr>
                      <w:rFonts w:ascii="仿宋_GB2312" w:hAnsi="仿宋_GB2312" w:cs="仿宋_GB2312" w:eastAsia="仿宋_GB2312"/>
                      <w:sz w:val="24"/>
                      <w:color w:val="000000"/>
                    </w:rPr>
                    <w:t>公文辅助助手：内置国家党政机关公文格式标准及校内常用公文模板，支持通过输入核心要点或语音指令自动生成公文初稿，提供公文语气体检、错敏词校验、格式规范排版及行文逻辑润色优化功能。</w:t>
                  </w:r>
                  <w:r>
                    <w:br/>
                  </w:r>
                  <w:r>
                    <w:rPr>
                      <w:rFonts w:ascii="仿宋_GB2312" w:hAnsi="仿宋_GB2312" w:cs="仿宋_GB2312" w:eastAsia="仿宋_GB2312"/>
                      <w:sz w:val="24"/>
                      <w:color w:val="000000"/>
                    </w:rPr>
                    <w:t>2.教学课件生成助手：根据教师输入的教学知识点、大纲或参考资料，自动生成结构化的文本讲义、PPT大纲及知识点图解，支持一键转换生成动画演示脚本、虚拟实验场景建议及课堂互动问答题。</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第一期</w:t>
                  </w:r>
                  <w:r>
                    <w:rPr>
                      <w:rFonts w:ascii="仿宋_GB2312" w:hAnsi="仿宋_GB2312" w:cs="仿宋_GB2312" w:eastAsia="仿宋_GB2312"/>
                      <w:sz w:val="24"/>
                      <w:color w:val="000000"/>
                    </w:rPr>
                    <w:t>-</w:t>
                  </w:r>
                  <w:r>
                    <w:rPr>
                      <w:rFonts w:ascii="仿宋_GB2312" w:hAnsi="仿宋_GB2312" w:cs="仿宋_GB2312" w:eastAsia="仿宋_GB2312"/>
                      <w:sz w:val="24"/>
                      <w:color w:val="000000"/>
                    </w:rPr>
                    <w:t>高校问答类</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after="165"/>
                    <w:jc w:val="both"/>
                  </w:pPr>
                  <w:r>
                    <w:rPr>
                      <w:rFonts w:ascii="仿宋_GB2312" w:hAnsi="仿宋_GB2312" w:cs="仿宋_GB2312" w:eastAsia="仿宋_GB2312"/>
                      <w:sz w:val="24"/>
                      <w:color w:val="000000"/>
                    </w:rPr>
                    <w:t>招生咨询助手：构建招生专属结构化知识库，系统化存储招生章程、历年分数线、专业特色等，精准解答报考疑问，提供个性化志愿填报建议。</w:t>
                  </w:r>
                  <w:r>
                    <w:br/>
                  </w:r>
                  <w:r>
                    <w:rPr>
                      <w:rFonts w:ascii="仿宋_GB2312" w:hAnsi="仿宋_GB2312" w:cs="仿宋_GB2312" w:eastAsia="仿宋_GB2312"/>
                      <w:sz w:val="24"/>
                      <w:color w:val="000000"/>
                    </w:rPr>
                    <w:t>2.行政制度咨询助手：整合全校各领域行政规章制度，构建基于知识库技术的结构化政策知识库，根据用户身份智能匹配并精准推送相关制度条款与政策解读。</w:t>
                  </w:r>
                  <w:r>
                    <w:br/>
                  </w:r>
                  <w:r>
                    <w:rPr>
                      <w:rFonts w:ascii="仿宋_GB2312" w:hAnsi="仿宋_GB2312" w:cs="仿宋_GB2312" w:eastAsia="仿宋_GB2312"/>
                      <w:sz w:val="24"/>
                      <w:color w:val="000000"/>
                    </w:rPr>
                    <w:t>3.网络运维问答助手：融合校园网配置指南与常见故障排查手册，构建基于知识库技术的智能体自动进行故障语义识别与阶梯式引导诊断，提供自助排障步骤及标准化工单生成。</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第一期</w:t>
                  </w:r>
                  <w:r>
                    <w:rPr>
                      <w:rFonts w:ascii="仿宋_GB2312" w:hAnsi="仿宋_GB2312" w:cs="仿宋_GB2312" w:eastAsia="仿宋_GB2312"/>
                      <w:sz w:val="24"/>
                      <w:color w:val="000000"/>
                    </w:rPr>
                    <w:t>-办公办事类</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办公流程问答</w:t>
                  </w:r>
                  <w:r>
                    <w:rPr>
                      <w:rFonts w:ascii="仿宋_GB2312" w:hAnsi="仿宋_GB2312" w:cs="仿宋_GB2312" w:eastAsia="仿宋_GB2312"/>
                      <w:sz w:val="24"/>
                      <w:color w:val="000000"/>
                    </w:rPr>
                    <w:t>:</w:t>
                  </w:r>
                  <w:r>
                    <w:rPr>
                      <w:rFonts w:ascii="仿宋_GB2312" w:hAnsi="仿宋_GB2312" w:cs="仿宋_GB2312" w:eastAsia="仿宋_GB2312"/>
                      <w:sz w:val="24"/>
                      <w:color w:val="000000"/>
                    </w:rPr>
                    <w:t>搭建校务办事流程专属知识库，涵盖各类审批、报销、资产申领等高频业务的办理条件、所需材料、流转节点与时限要求。通过对话式交互提供保姆式流程指引，并支持智能联动对应业务系统入口，实现</w:t>
                  </w:r>
                  <w:r>
                    <w:rPr>
                      <w:rFonts w:ascii="仿宋_GB2312" w:hAnsi="仿宋_GB2312" w:cs="仿宋_GB2312" w:eastAsia="仿宋_GB2312"/>
                      <w:sz w:val="24"/>
                      <w:color w:val="000000"/>
                    </w:rPr>
                    <w:t>“问办结合”、一键跳转，大幅压缩师生办事沟通与摸索成本</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2.问事问办助手：</w:t>
                  </w:r>
                  <w:r>
                    <w:rPr>
                      <w:rFonts w:ascii="仿宋_GB2312" w:hAnsi="仿宋_GB2312" w:cs="仿宋_GB2312" w:eastAsia="仿宋_GB2312"/>
                      <w:sz w:val="24"/>
                      <w:color w:val="000000"/>
                    </w:rPr>
                    <w:t>聚合教务、后勤、财务、学工等多部门高频办事事项，构建全景式校务服务知识图谱。支持自然语言模糊检索（如</w:t>
                  </w:r>
                  <w:r>
                    <w:rPr>
                      <w:rFonts w:ascii="仿宋_GB2312" w:hAnsi="仿宋_GB2312" w:cs="仿宋_GB2312" w:eastAsia="仿宋_GB2312"/>
                      <w:sz w:val="24"/>
                      <w:color w:val="000000"/>
                    </w:rPr>
                    <w:t>“怎么打印成绩单”、“</w:t>
                  </w:r>
                  <w:r>
                    <w:rPr>
                      <w:rFonts w:ascii="仿宋_GB2312" w:hAnsi="仿宋_GB2312" w:cs="仿宋_GB2312" w:eastAsia="仿宋_GB2312"/>
                      <w:sz w:val="24"/>
                      <w:color w:val="000000"/>
                    </w:rPr>
                    <w:t>如何办理项目审批</w:t>
                  </w:r>
                  <w:r>
                    <w:rPr>
                      <w:rFonts w:ascii="仿宋_GB2312" w:hAnsi="仿宋_GB2312" w:cs="仿宋_GB2312" w:eastAsia="仿宋_GB2312"/>
                      <w:sz w:val="24"/>
                      <w:color w:val="000000"/>
                    </w:rPr>
                    <w:t>”</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），智能解析用户意图，即时输出完整办事指南，并智能引导跳转至对应一网通办业务办理入口，实现</w:t>
                  </w:r>
                  <w:r>
                    <w:rPr>
                      <w:rFonts w:ascii="仿宋_GB2312" w:hAnsi="仿宋_GB2312" w:cs="仿宋_GB2312" w:eastAsia="仿宋_GB2312"/>
                      <w:sz w:val="24"/>
                      <w:color w:val="000000"/>
                    </w:rPr>
                    <w:t>“一问即知、一键直达”</w:t>
                  </w:r>
                  <w:r>
                    <w:rPr>
                      <w:rFonts w:ascii="仿宋_GB2312" w:hAnsi="仿宋_GB2312" w:cs="仿宋_GB2312" w:eastAsia="仿宋_GB2312"/>
                      <w:sz w:val="24"/>
                      <w:color w:val="000000"/>
                    </w:rPr>
                    <w:t>。</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第一期</w:t>
                  </w:r>
                  <w:r>
                    <w:rPr>
                      <w:rFonts w:ascii="仿宋_GB2312" w:hAnsi="仿宋_GB2312" w:cs="仿宋_GB2312" w:eastAsia="仿宋_GB2312"/>
                      <w:sz w:val="24"/>
                      <w:color w:val="000000"/>
                    </w:rPr>
                    <w:t>-数字员工类</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1.课程伴学助手：</w:t>
                  </w:r>
                  <w:r>
                    <w:rPr>
                      <w:rFonts w:ascii="仿宋_GB2312" w:hAnsi="仿宋_GB2312" w:cs="仿宋_GB2312" w:eastAsia="仿宋_GB2312"/>
                      <w:sz w:val="24"/>
                      <w:color w:val="000000"/>
                    </w:rPr>
                    <w:t>依托教材与课程大纲构建学科知识图谱，提供同步教材实时答疑、核心知识点拆解与拓展阅读推荐。支持错题归因分析、个性化学习路径规划及课后复习测试生成，充当学生的全天候</w:t>
                  </w:r>
                  <w:r>
                    <w:rPr>
                      <w:rFonts w:ascii="仿宋_GB2312" w:hAnsi="仿宋_GB2312" w:cs="仿宋_GB2312" w:eastAsia="仿宋_GB2312"/>
                      <w:sz w:val="24"/>
                      <w:color w:val="000000"/>
                    </w:rPr>
                    <w:t>“AI学伴”，精准适配不同学生的学习基础与能力水平</w:t>
                  </w:r>
                  <w:r>
                    <w:rPr>
                      <w:rFonts w:ascii="仿宋_GB2312" w:hAnsi="仿宋_GB2312" w:cs="仿宋_GB2312" w:eastAsia="仿宋_GB2312"/>
                      <w:sz w:val="24"/>
                      <w:color w:val="000000"/>
                    </w:rPr>
                    <w:t>。</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第一期</w:t>
                  </w:r>
                  <w:r>
                    <w:rPr>
                      <w:rFonts w:ascii="仿宋_GB2312" w:hAnsi="仿宋_GB2312" w:cs="仿宋_GB2312" w:eastAsia="仿宋_GB2312"/>
                      <w:sz w:val="24"/>
                      <w:color w:val="000000"/>
                    </w:rPr>
                    <w:t>-其他</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其他根据学校实际调研情况进行智能体建设。</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第二、三期需求</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根据学校实际调研情况：按通用工具类、问答助手类、办公办事类、业务及数据对接类、数字员工类五大类分期进行智能体建设，</w:t>
                  </w:r>
                  <w:r>
                    <w:rPr>
                      <w:rFonts w:ascii="仿宋_GB2312" w:hAnsi="仿宋_GB2312" w:cs="仿宋_GB2312" w:eastAsia="仿宋_GB2312"/>
                      <w:sz w:val="24"/>
                      <w:color w:val="000000"/>
                    </w:rPr>
                    <w:t>所有智能体在上线前均需进行提示词调优、多模型对比测试与业务逻辑验证，确保契合高校真实业务流程</w:t>
                  </w:r>
                  <w:r>
                    <w:rPr>
                      <w:rFonts w:ascii="仿宋_GB2312" w:hAnsi="仿宋_GB2312" w:cs="仿宋_GB2312" w:eastAsia="仿宋_GB2312"/>
                      <w:sz w:val="24"/>
                      <w:color w:val="000000"/>
                    </w:rPr>
                    <w:t>。</w:t>
                  </w: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培训与赛事运营子系统</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分层分类培训</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每年提供不少于</w:t>
                  </w:r>
                  <w:r>
                    <w:rPr>
                      <w:rFonts w:ascii="仿宋_GB2312" w:hAnsi="仿宋_GB2312" w:cs="仿宋_GB2312" w:eastAsia="仿宋_GB2312"/>
                      <w:sz w:val="24"/>
                      <w:color w:val="000000"/>
                    </w:rPr>
                    <w:t>5场专题培训，每次培训至少4课时，面向管理员、相关技术人员进行</w:t>
                  </w:r>
                  <w:r>
                    <w:rPr>
                      <w:rFonts w:ascii="仿宋_GB2312" w:hAnsi="仿宋_GB2312" w:cs="仿宋_GB2312" w:eastAsia="仿宋_GB2312"/>
                      <w:sz w:val="24"/>
                      <w:color w:val="000000"/>
                    </w:rPr>
                    <w:t>针对工作流编排、智能体搭建、平台运维、知识库操作、智能体管理相关培训；面向师生进行针对提示词工程、智能体使用、低代码开发和知识库构建相关培训。</w:t>
                  </w:r>
                  <w:r>
                    <w:rPr>
                      <w:rFonts w:ascii="仿宋_GB2312" w:hAnsi="仿宋_GB2312" w:cs="仿宋_GB2312" w:eastAsia="仿宋_GB2312"/>
                      <w:sz w:val="24"/>
                      <w:color w:val="000000"/>
                    </w:rPr>
                    <w:t>（提供供应商盖章的承诺函）</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AI创新大赛</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每年支持不少于</w:t>
                  </w:r>
                  <w:r>
                    <w:rPr>
                      <w:rFonts w:ascii="仿宋_GB2312" w:hAnsi="仿宋_GB2312" w:cs="仿宋_GB2312" w:eastAsia="仿宋_GB2312"/>
                      <w:sz w:val="24"/>
                      <w:color w:val="000000"/>
                    </w:rPr>
                    <w:t>1次校级AI智能体创新大赛，以赛促学、以训促践，全面提升师生数字化素养与智能应用能力。（提供供应商盖章的承诺函）</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大赛平台</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赛事官网、报名、评审及成果展示能力；包含可视化智能体编排环境，支持参赛者在线完成智能体搭建、调试与预览；提供帮助文档中心、大赛规则解读、平台操作手册及智能体开发教程；具备参赛数据统计、作品数据分析、评审进度追踪等运营数据可视化能力。</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赛事运营服务</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提供完整的赛事方案规划，涵盖赛程安排、赛道设置、参赛规则、评审标准制定与评审体系；提供赛题设计、评审体系及宣传推广服务；提供持续的技术支撑服务，协助学校搭建赛事组织体系、赛事宣传推广方案设计与宣传物料制作支持。</w:t>
                  </w:r>
                </w:p>
              </w:tc>
            </w:tr>
            <w:tr>
              <w:tc>
                <w:tcPr>
                  <w:tcW w:type="dxa" w:w="292"/>
                  <w:vMerge/>
                  <w:tcBorders>
                    <w:top w:val="none" w:color="000000" w:sz="4"/>
                    <w:left w:val="single" w:color="000000" w:sz="4"/>
                    <w:bottom w:val="single" w:color="000000" w:sz="4"/>
                    <w:right w:val="single" w:color="000000" w:sz="4"/>
                  </w:tcBorders>
                </w:tcP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w:t>
                  </w:r>
                </w:p>
              </w:tc>
              <w:tc>
                <w:tcPr>
                  <w:tcW w:type="dxa" w:w="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成果孵化</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4"/>
                      <w:color w:val="000000"/>
                    </w:rPr>
                    <w:t>建立优秀智能体项目孵化与推广机制，推动成熟应用纳入校内业务系统或转化为校企合作项目，沉淀校园</w:t>
                  </w:r>
                  <w:r>
                    <w:rPr>
                      <w:rFonts w:ascii="仿宋_GB2312" w:hAnsi="仿宋_GB2312" w:cs="仿宋_GB2312" w:eastAsia="仿宋_GB2312"/>
                      <w:sz w:val="24"/>
                      <w:color w:val="000000"/>
                    </w:rPr>
                    <w:t>"AI数字员工"生态。</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color w:val="000000"/>
              </w:rPr>
              <w:t>五、</w:t>
            </w:r>
            <w:r>
              <w:rPr>
                <w:rFonts w:ascii="仿宋_GB2312" w:hAnsi="仿宋_GB2312" w:cs="仿宋_GB2312" w:eastAsia="仿宋_GB2312"/>
                <w:sz w:val="28"/>
                <w:color w:val="000000"/>
              </w:rPr>
              <w:t>实施进度</w:t>
            </w:r>
          </w:p>
          <w:p>
            <w:pPr>
              <w:pStyle w:val="null3"/>
            </w:pPr>
            <w:r>
              <w:rPr>
                <w:rFonts w:ascii="仿宋_GB2312" w:hAnsi="仿宋_GB2312" w:cs="仿宋_GB2312" w:eastAsia="仿宋_GB2312"/>
                <w:sz w:val="24"/>
                <w:color w:val="000000"/>
              </w:rPr>
              <w:t>供应商应至少安排</w:t>
            </w:r>
            <w:r>
              <w:rPr>
                <w:rFonts w:ascii="仿宋_GB2312" w:hAnsi="仿宋_GB2312" w:cs="仿宋_GB2312" w:eastAsia="仿宋_GB2312"/>
                <w:sz w:val="24"/>
                <w:color w:val="000000"/>
              </w:rPr>
              <w:t>1名具有业务能力的项目经理负责该项目平台部署任务，在第一期智能体建设交付前（</w:t>
            </w:r>
            <w:r>
              <w:rPr>
                <w:rFonts w:ascii="仿宋_GB2312" w:hAnsi="仿宋_GB2312" w:cs="仿宋_GB2312" w:eastAsia="仿宋_GB2312"/>
                <w:sz w:val="24"/>
                <w:color w:val="000000"/>
              </w:rPr>
              <w:t>2026年12月31日前</w:t>
            </w:r>
            <w:r>
              <w:rPr>
                <w:rFonts w:ascii="仿宋_GB2312" w:hAnsi="仿宋_GB2312" w:cs="仿宋_GB2312" w:eastAsia="仿宋_GB2312"/>
                <w:sz w:val="24"/>
                <w:color w:val="000000"/>
              </w:rPr>
              <w:t>），该项目经理需在工作日驻场服务，负责该项目协调、对接、监督项目进度等任务，且未经校方许可，供应商不得擅自更换项目经理。供应商需为本项目建立稳定、满足技术要求的团队，制定实施方案。经采购人审定之后按照方案实施，并在项目建设中严格遵守，本项目平台部署、测试、上线任务在合同签订后</w:t>
            </w:r>
            <w:r>
              <w:rPr>
                <w:rFonts w:ascii="仿宋_GB2312" w:hAnsi="仿宋_GB2312" w:cs="仿宋_GB2312" w:eastAsia="仿宋_GB2312"/>
                <w:sz w:val="24"/>
                <w:color w:val="000000"/>
              </w:rPr>
              <w:t>60</w:t>
            </w:r>
            <w:r>
              <w:rPr>
                <w:rFonts w:ascii="仿宋_GB2312" w:hAnsi="仿宋_GB2312" w:cs="仿宋_GB2312" w:eastAsia="仿宋_GB2312"/>
                <w:sz w:val="24"/>
                <w:color w:val="000000"/>
              </w:rPr>
              <w:t>个日历天内完成。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8"/>
                <w:color w:val="000000"/>
              </w:rPr>
              <w:t>六、</w:t>
            </w:r>
            <w:r>
              <w:rPr>
                <w:rFonts w:ascii="仿宋_GB2312" w:hAnsi="仿宋_GB2312" w:cs="仿宋_GB2312" w:eastAsia="仿宋_GB2312"/>
                <w:sz w:val="28"/>
                <w:color w:val="000000"/>
              </w:rPr>
              <w:t>配套资料</w:t>
            </w:r>
          </w:p>
          <w:p>
            <w:pPr>
              <w:pStyle w:val="null3"/>
            </w:pPr>
            <w:r>
              <w:rPr>
                <w:rFonts w:ascii="仿宋_GB2312" w:hAnsi="仿宋_GB2312" w:cs="仿宋_GB2312" w:eastAsia="仿宋_GB2312"/>
                <w:sz w:val="24"/>
                <w:color w:val="000000"/>
              </w:rPr>
              <w:t>免费提供完整的系统配套产品资料，包括但不限于系统安装使用手册、系统功能模块说明书、用户使用手册、帮助文档等。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8"/>
                <w:color w:val="000000"/>
              </w:rPr>
              <w:t>七、</w:t>
            </w:r>
            <w:r>
              <w:rPr>
                <w:rFonts w:ascii="仿宋_GB2312" w:hAnsi="仿宋_GB2312" w:cs="仿宋_GB2312" w:eastAsia="仿宋_GB2312"/>
                <w:sz w:val="28"/>
                <w:color w:val="000000"/>
              </w:rPr>
              <w:t>质保与售后服务</w:t>
            </w:r>
          </w:p>
          <w:p>
            <w:pPr>
              <w:pStyle w:val="null3"/>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5年。服务期从项目验收合格之日起计算，涉及平台自身和平台组件的bug和安全漏洞提供终身质保。服务期内对系统升级维护不再额外收费，每年提供4次巡检服务。</w:t>
            </w:r>
            <w:r>
              <w:br/>
            </w:r>
            <w:r>
              <w:rPr>
                <w:rFonts w:ascii="仿宋_GB2312" w:hAnsi="仿宋_GB2312" w:cs="仿宋_GB2312" w:eastAsia="仿宋_GB2312"/>
              </w:rPr>
              <w:t xml:space="preserve">     </w:t>
            </w:r>
            <w:r>
              <w:rPr>
                <w:rFonts w:ascii="仿宋_GB2312" w:hAnsi="仿宋_GB2312" w:cs="仿宋_GB2312" w:eastAsia="仿宋_GB2312"/>
                <w:sz w:val="24"/>
                <w:color w:val="000000"/>
              </w:rPr>
              <w:t>供应商所提供产品需符合</w:t>
            </w:r>
            <w:r>
              <w:rPr>
                <w:rFonts w:ascii="仿宋_GB2312" w:hAnsi="仿宋_GB2312" w:cs="仿宋_GB2312" w:eastAsia="仿宋_GB2312"/>
                <w:sz w:val="24"/>
                <w:color w:val="000000"/>
              </w:rPr>
              <w:t xml:space="preserve"> GB/T 22239-2019《信息安全技术 网络安全等级保护基本要求》（等保2.0）中对应等级的安全通用要求及扩展要求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保证供应商所提供产品至少具备以生产厂家为主体的</w:t>
            </w:r>
            <w:r>
              <w:rPr>
                <w:rFonts w:ascii="仿宋_GB2312" w:hAnsi="仿宋_GB2312" w:cs="仿宋_GB2312" w:eastAsia="仿宋_GB2312"/>
                <w:sz w:val="24"/>
                <w:color w:val="000000"/>
              </w:rPr>
              <w:t>“</w:t>
            </w:r>
            <w:r>
              <w:rPr>
                <w:rFonts w:ascii="仿宋_GB2312" w:hAnsi="仿宋_GB2312" w:cs="仿宋_GB2312" w:eastAsia="仿宋_GB2312"/>
                <w:sz w:val="24"/>
                <w:color w:val="000000"/>
              </w:rPr>
              <w:t>网络安全等级保护</w:t>
            </w:r>
            <w:r>
              <w:rPr>
                <w:rFonts w:ascii="仿宋_GB2312" w:hAnsi="仿宋_GB2312" w:cs="仿宋_GB2312" w:eastAsia="仿宋_GB2312"/>
                <w:sz w:val="24"/>
                <w:color w:val="000000"/>
              </w:rPr>
              <w:t>”二级备案证</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售后服务工作必须由供应商承担，不得由第三方</w:t>
            </w:r>
            <w:r>
              <w:rPr>
                <w:rFonts w:ascii="仿宋_GB2312" w:hAnsi="仿宋_GB2312" w:cs="仿宋_GB2312" w:eastAsia="仿宋_GB2312"/>
                <w:sz w:val="24"/>
                <w:color w:val="000000"/>
              </w:rPr>
              <w:t>/授权服务单位维护实施。指定专人提供7*24小时电话及远程网络支持服务。简单问题和故障2小时内解决，复杂问题8小时内解决。如遇软件系统严重故障并不能通过远程服务进行解决的，须于12小时内安排工程师到现场提供技术支持直至问题和故障排除，48小时内确保正常运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经使用部门确认，顺利完成项目试运行，同时经项目责任单位预验收，按我校《信息系统项目管理办法》验收相关要求，确认按合同完成相应建设内容后，根据采购文件、响应文件及合同约定执行后进行付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第一阶段在乙方完成智能体开发平台、AI融合门户、智能体管理平台、私有化知识库平台四个平台部署交付后，并足额购置5年全部调用算力额度后，经甲方验收合格且乙方向甲方开具合同款总额的完税发票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进度款，第二阶段在乙方完一期智能体开发并交付后，经甲方验收合格后，达到付款条件起15个工作日内，支付合同总金额的30.0%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进度款，第三阶段在乙方完二期智能体开发并交付后，经甲方验收合格后，达到付款条件起15个工作日内，支付合同总金额的20.0%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进度款，第四阶段在乙方完三期智能体开发并交付后，经甲方验收合格后，达到付款条件起15个工作日内，支付合同总金额的20.0%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投标报价包含：（1）平台建设与云算力费用：智能体开发平台、AI融合门户、智能体管理平台、私有化知识库平台的全部软件授权、定制开发、部署实施、系统集成及联调测试费用均包含在本次投标报价中。（2）场景化智能体及业务系统对接费用：① 场景化智能体构建过程中涉及的全部智能体开发、调试、部署及优化费用包含在本次投标报价中。② 场景化智能体与采购人现有业务系统、数据系统的对接，按以下原则划分费用承担边界：属于智能体开发范畴的对接工作（包括但不限于智能体接口开发、API调用适配、数据请求逻辑实现、智能体端协议适配等），相关费用包含在本次投标报价中；属于采购人现有业务系统、数据系统侧的二次开发或接口改造工作，按照"谁使用、谁负责"的原则，相关费用由采购人相应业务系统的建设单位承担，不包含在本次投标报价中。（3） AI专题培训费用：培训所涉及的全部费用包含在本次投标报价中包括人员费用、交通费用、物料费用，除培训场地由采购人提供外，供应商不得以任何名义向采购人或参训人员另行收取费用。（4） AI创新大赛费用：大赛所涉及人员费用、交通费用、赛事保障费用、赛事宣传费用、赛事奖品费用。（5） 成果孵化费用：AI创新大赛中优秀智能体项目成果孵化工作涉及的全部费用包含在本次投标报价中。 2.投标保证金注意事项：（1）投标保证金缴纳截止时间：同投标文件递交截止时间一致（在开标前致电代理机构财务部门确认响应保证金到账情况，咨询电话：029-88225322找财务高老师）。（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3.中标供应商应在中标结果发布后2日内提供与电子化交易平台上传一致的纸质投标文件2份。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供应商为合法注册的法人、其他组织或自然人，具有独立承担民事责任的能力</w:t>
            </w:r>
          </w:p>
        </w:tc>
        <w:tc>
          <w:tcPr>
            <w:tcW w:type="dxa" w:w="3322"/>
          </w:tcPr>
          <w:p>
            <w:pPr>
              <w:pStyle w:val="null3"/>
            </w:pPr>
            <w:r>
              <w:rPr>
                <w:rFonts w:ascii="仿宋_GB2312" w:hAnsi="仿宋_GB2312" w:cs="仿宋_GB2312" w:eastAsia="仿宋_GB2312"/>
              </w:rPr>
              <w:t>提供具有统一社会信用代码证的营业执照（或事业单位法人证），分支机构投标的，提供有效的分支机构营业执照，以及有效的总公司营业执照及总公司针对本项目的授权书；供应商为自然人的提供身份证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具有履行本合同所必需专业技术能力的说明及承诺</w:t>
            </w:r>
          </w:p>
        </w:tc>
        <w:tc>
          <w:tcPr>
            <w:tcW w:type="dxa" w:w="3322"/>
          </w:tcPr>
          <w:p>
            <w:pPr>
              <w:pStyle w:val="null3"/>
            </w:pPr>
            <w:r>
              <w:rPr>
                <w:rFonts w:ascii="仿宋_GB2312" w:hAnsi="仿宋_GB2312" w:cs="仿宋_GB2312" w:eastAsia="仿宋_GB2312"/>
              </w:rPr>
              <w:t>提供具有履行本合同所必需专业技术能力的说明及承诺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提供开标截止时间前12个月内任意一个月的依法缴纳税收的相关凭据（时间以税款所属时期为准），凭据应有税务机关或代收机关的公章或业务专用章。依法免税或无须缴纳税收的供应商应提供相应证明文件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 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服务期限满足竞争性磋商文件最低要求(合格)，服务期限不满足竞争性磋商文件最低要求(不合格)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支付约定满足竞争性磋商文件要求(合格)，支付约定不满足竞争性磋商文件要求(不合格)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供应商资格要求..docx 商务应答表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技术规格：投标内容完整，符合采购需求，无缺项漏项，技术指标全部满足或者优于招标要求得20分。“▲”号参数每负偏离一项扣3分，未带标识参数每负偏离一项扣0.5分，扣完为止。 注：“▲”参数按采购文件要求提供相应的证明材料的。</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供应商须使用真实的系统进行现场演示，不接受采用ppt、截图、录屏视频等演示,每项功能演示不全或与要求不符或未演示的不得分，演示时间控制在20分钟以内，演示所需设备自行准备，演示地点：西安市雁塔区科技路30号合力紫郡B座21层指定会议室，开标截止时间前到达演示地点进行签到。 每项演示内容完全满足要求得3分，部分满足或者不满足不得分。 演示内容如下： 1、供应商需现场展示工作流设计模块中的：大模型节点、工作流节点、代码节点、知识库节点、图像生成节点、视频生成节点，工作流设计中6个节点均展示得3分，缺少一个或者多个节点或者不演示，得0分； 2.供应商需提前自备至少2个可协作执行的智能体，现场通过自备的提示词提问，智能体可自主拆解问题并执行。智能体可自主拆解问题、正常协同执行并返回准确完整结果的，得3分；执行失败或无法返回有效结果的，不得分； 3.供应商现场使用智能体开发平台中语音通话或视频通话功能与大模型进行实时交互，交互时提出任意合理问题，平台可实时答复，得3分；交互失败不得分； 4.供应商自备一份音频文件或现场录制声音，使用智能体开发平台上传音频文件。能够成功转换成文字得3分，不能转换成文字得0分。 5.供应商自备一份通过智能体开发平台已复刻完成音色的音频文件，现场播放。复刻成功得3分，复刻失败或不能复刻的，不得分。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供应商提供针对本项目的总体方案，方案包括：①.对项目的理解及需求调研；②.项目总体实施方案；③.本地知识库、智能体等的技术方案； ④风险识别与应对预案；⑤服务保障与交付保障措施。 内容完整全面，可行性强得满分30分；每有一项缺项扣6分，每有一处内容存在缺陷，扣3分，扣完为止。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供应商提供针对本项目的人员配备方案，方案包括： ①.项目经理能力及经验②.项目人员配备与安排。 内容完整全面，可行性强得满分3分；每有一项缺项扣2分，每有一处内容存在缺陷，扣1分，扣完为止。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供应商提供针对本项目的培训方案，方案包括：①.培训方案；②.培训人员安排及效果保障机制。 内容完整全面，可行性强得满分3分；每有一项缺项扣1分，每有一处内容存在缺陷，扣0.5分，扣完为止。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算力与资源保障</w:t>
            </w:r>
          </w:p>
        </w:tc>
        <w:tc>
          <w:tcPr>
            <w:tcW w:type="dxa" w:w="2492"/>
          </w:tcPr>
          <w:p>
            <w:pPr>
              <w:pStyle w:val="null3"/>
            </w:pPr>
            <w:r>
              <w:rPr>
                <w:rFonts w:ascii="仿宋_GB2312" w:hAnsi="仿宋_GB2312" w:cs="仿宋_GB2312" w:eastAsia="仿宋_GB2312"/>
              </w:rPr>
              <w:t>云算力与模型服务年均订阅量每额外提供100亿Token调用额度的得1分，最多得2分。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算力与资源保障.docx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供应商提供2024年1月1日以来类似的业绩（包含：AI智能体开发平台或智能体开发）（须提供完整合同），每提供1份有效业绩得0.5分，最多得2分。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 评审基准价：即满足竞争性磋商文件要求且最终响应报价最低的报价为评审基准价。 其他供应商的价格分统一按照下列公式计算。 响应报价计分=(评审基准价／最终响应报价)×25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详见附件：算力与资源保障.docx</w:t>
      </w:r>
    </w:p>
    <w:p>
      <w:pPr>
        <w:pStyle w:val="null3"/>
        <w:ind w:firstLine="960"/>
      </w:pPr>
      <w:r>
        <w:rPr>
          <w:rFonts w:ascii="仿宋_GB2312" w:hAnsi="仿宋_GB2312" w:cs="仿宋_GB2312" w:eastAsia="仿宋_GB2312"/>
        </w:rPr>
        <w:t>详见附件：总体方案.docx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