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38FA4">
      <w:pPr>
        <w:pStyle w:val="5"/>
        <w:pageBreakBefore/>
        <w:spacing w:line="360" w:lineRule="auto"/>
        <w:jc w:val="center"/>
        <w:rPr>
          <w:rFonts w:hint="eastAsia" w:ascii="方正小标宋简体" w:hAnsi="方正小标宋简体" w:eastAsia="方正小标宋简体" w:cs="方正小标宋简体"/>
          <w:b w:val="0"/>
          <w:bCs/>
          <w:color w:val="FF0000"/>
          <w:kern w:val="0"/>
          <w:sz w:val="36"/>
          <w:szCs w:val="36"/>
          <w:highlight w:val="none"/>
          <w:lang w:eastAsia="zh-CN"/>
        </w:rPr>
      </w:pPr>
      <w:r>
        <w:rPr>
          <w:rFonts w:hint="eastAsia" w:ascii="方正小标宋简体" w:hAnsi="方正小标宋简体" w:eastAsia="方正小标宋简体" w:cs="方正小标宋简体"/>
          <w:b w:val="0"/>
          <w:bCs/>
          <w:sz w:val="44"/>
          <w:szCs w:val="44"/>
          <w:highlight w:val="none"/>
        </w:rPr>
        <w:t>拟签订的合同文本</w:t>
      </w:r>
    </w:p>
    <w:p w14:paraId="6FE80E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注：本合同为示范文本，具体条款内容由甲方和乙方协商确定，但不得改变招标文件、投标文件、中标通知书里的实质性内容。）</w:t>
      </w:r>
    </w:p>
    <w:p w14:paraId="1F54DCCB">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p>
    <w:p w14:paraId="30EA3327">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rPr>
        <w:t>签订地点：</w:t>
      </w:r>
      <w:r>
        <w:rPr>
          <w:rFonts w:hint="eastAsia" w:ascii="仿宋" w:hAnsi="仿宋" w:eastAsia="仿宋" w:cs="仿宋"/>
          <w:color w:val="auto"/>
          <w:highlight w:val="none"/>
          <w:u w:val="single"/>
          <w:lang w:val="en-US" w:eastAsia="zh-CN"/>
        </w:rPr>
        <w:t xml:space="preserve">                </w:t>
      </w:r>
    </w:p>
    <w:p w14:paraId="3FE67893">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签订时间：</w:t>
      </w:r>
      <w:r>
        <w:rPr>
          <w:rFonts w:hint="eastAsia" w:ascii="仿宋" w:hAnsi="仿宋" w:eastAsia="仿宋" w:cs="仿宋"/>
          <w:color w:val="auto"/>
          <w:highlight w:val="none"/>
          <w:u w:val="single"/>
          <w:lang w:val="en-US" w:eastAsia="zh-CN"/>
        </w:rPr>
        <w:t xml:space="preserve">                 </w:t>
      </w:r>
    </w:p>
    <w:p w14:paraId="13E271C5">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5CB3DBB3">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（中标人）</w:t>
      </w:r>
    </w:p>
    <w:p w14:paraId="15EE89CA">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根据《中华人民共和国政府采购法》及实施条例、《中华人民共和国民法典》和甲方</w:t>
      </w:r>
      <w:r>
        <w:rPr>
          <w:rFonts w:hint="eastAsia" w:ascii="仿宋" w:hAnsi="仿宋" w:eastAsia="仿宋" w:cs="仿宋"/>
          <w:color w:val="auto"/>
          <w:highlight w:val="none"/>
          <w:u w:val="single"/>
          <w:lang w:val="en-US" w:eastAsia="zh-CN"/>
        </w:rPr>
        <w:t xml:space="preserve">     项目名称     </w:t>
      </w:r>
      <w:r>
        <w:rPr>
          <w:rFonts w:hint="eastAsia" w:ascii="仿宋" w:hAnsi="仿宋" w:eastAsia="仿宋" w:cs="仿宋"/>
          <w:color w:val="auto"/>
          <w:kern w:val="0"/>
          <w:sz w:val="24"/>
          <w:szCs w:val="24"/>
          <w:lang w:val="en-US" w:eastAsia="zh-CN" w:bidi="ar-SA"/>
        </w:rPr>
        <w:t>（</w:t>
      </w:r>
      <w:r>
        <w:rPr>
          <w:rFonts w:hint="eastAsia" w:ascii="仿宋" w:hAnsi="仿宋" w:eastAsia="仿宋" w:cs="仿宋"/>
          <w:color w:val="auto"/>
          <w:highlight w:val="none"/>
        </w:rPr>
        <w:t>项目编号：</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）的招标文件、投标文件等有关规定，为确保甲方采购项目的顺利实施，甲、乙双方在平等自愿原则下签订本合同，并共同遵守如下条款：</w:t>
      </w:r>
    </w:p>
    <w:p w14:paraId="31357CAF">
      <w:pPr>
        <w:pStyle w:val="13"/>
        <w:spacing w:line="360" w:lineRule="auto"/>
        <w:outlineLvl w:val="1"/>
        <w:rPr>
          <w:rFonts w:hint="eastAsia" w:ascii="仿宋" w:hAnsi="仿宋" w:eastAsia="仿宋" w:cs="仿宋"/>
          <w:b/>
          <w:color w:val="auto"/>
          <w:highlight w:val="none"/>
        </w:rPr>
      </w:pPr>
      <w:bookmarkStart w:id="0" w:name="_Toc3373"/>
      <w:bookmarkStart w:id="1" w:name="_Toc18934"/>
      <w:bookmarkStart w:id="2" w:name="_Toc8686"/>
      <w:r>
        <w:rPr>
          <w:rFonts w:hint="eastAsia" w:ascii="仿宋" w:hAnsi="仿宋" w:eastAsia="仿宋" w:cs="仿宋"/>
          <w:b/>
          <w:color w:val="auto"/>
          <w:highlight w:val="none"/>
        </w:rPr>
        <w:t>第一条 合同标的及数量</w:t>
      </w:r>
      <w:bookmarkEnd w:id="0"/>
      <w:bookmarkEnd w:id="1"/>
      <w:bookmarkEnd w:id="2"/>
    </w:p>
    <w:p w14:paraId="1624B444">
      <w:pPr>
        <w:pStyle w:val="13"/>
        <w:spacing w:line="360" w:lineRule="auto"/>
        <w:ind w:firstLine="480" w:firstLineChars="200"/>
        <w:outlineLvl w:val="9"/>
        <w:rPr>
          <w:rFonts w:hint="eastAsia" w:ascii="仿宋" w:hAnsi="仿宋" w:eastAsia="仿宋" w:cs="仿宋"/>
          <w:b/>
          <w:color w:val="auto"/>
          <w:highlight w:val="none"/>
        </w:rPr>
      </w:pPr>
      <w:r>
        <w:rPr>
          <w:rFonts w:hint="eastAsia" w:ascii="仿宋" w:hAnsi="仿宋" w:eastAsia="仿宋" w:cs="仿宋"/>
          <w:color w:val="auto"/>
          <w:highlight w:val="none"/>
        </w:rPr>
        <w:t>乙方向甲方提供下列货物（产品）</w:t>
      </w:r>
      <w:r>
        <w:rPr>
          <w:rFonts w:hint="eastAsia" w:ascii="仿宋" w:hAnsi="仿宋" w:eastAsia="仿宋" w:cs="仿宋"/>
          <w:color w:val="auto"/>
          <w:highlight w:val="none"/>
          <w:lang w:val="en-US" w:eastAsia="zh-CN"/>
        </w:rPr>
        <w:t>及相关服务</w:t>
      </w:r>
      <w:r>
        <w:rPr>
          <w:rFonts w:hint="eastAsia" w:ascii="仿宋" w:hAnsi="仿宋" w:eastAsia="仿宋" w:cs="仿宋"/>
          <w:color w:val="auto"/>
          <w:highlight w:val="none"/>
        </w:rPr>
        <w:t>：</w:t>
      </w:r>
      <w:bookmarkStart w:id="86" w:name="_GoBack"/>
      <w:bookmarkEnd w:id="86"/>
    </w:p>
    <w:p w14:paraId="5690B7F8">
      <w:pPr>
        <w:pStyle w:val="7"/>
        <w:spacing w:line="360" w:lineRule="auto"/>
        <w:ind w:firstLine="0"/>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货物（产品）及相关服务一览表</w:t>
      </w:r>
    </w:p>
    <w:tbl>
      <w:tblPr>
        <w:tblStyle w:val="11"/>
        <w:tblpPr w:leftFromText="180" w:rightFromText="180" w:vertAnchor="text" w:horzAnchor="margin" w:tblpXSpec="center" w:tblpY="309"/>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61"/>
        <w:gridCol w:w="1623"/>
        <w:gridCol w:w="832"/>
        <w:gridCol w:w="822"/>
        <w:gridCol w:w="514"/>
        <w:gridCol w:w="1377"/>
        <w:gridCol w:w="1386"/>
      </w:tblGrid>
      <w:tr w14:paraId="12F0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801" w:type="dxa"/>
            <w:vAlign w:val="center"/>
          </w:tcPr>
          <w:p w14:paraId="5FB39E0D">
            <w:pPr>
              <w:outlineLvl w:val="9"/>
              <w:rPr>
                <w:rFonts w:hint="eastAsia" w:ascii="仿宋" w:hAnsi="仿宋" w:eastAsia="仿宋" w:cs="仿宋"/>
                <w:color w:val="auto"/>
                <w:sz w:val="24"/>
                <w:szCs w:val="24"/>
                <w:highlight w:val="none"/>
              </w:rPr>
            </w:pPr>
            <w:bookmarkStart w:id="3" w:name="_Toc26294"/>
            <w:bookmarkStart w:id="4" w:name="_Toc21343"/>
            <w:bookmarkStart w:id="5" w:name="_Toc31400"/>
            <w:bookmarkStart w:id="6" w:name="_Toc7471"/>
            <w:bookmarkStart w:id="7" w:name="_Toc1631"/>
            <w:r>
              <w:rPr>
                <w:rFonts w:hint="eastAsia" w:ascii="仿宋" w:hAnsi="仿宋" w:eastAsia="仿宋" w:cs="仿宋"/>
                <w:color w:val="auto"/>
                <w:sz w:val="24"/>
                <w:szCs w:val="24"/>
                <w:highlight w:val="none"/>
              </w:rPr>
              <w:t>序号</w:t>
            </w:r>
            <w:bookmarkEnd w:id="3"/>
            <w:bookmarkEnd w:id="4"/>
            <w:bookmarkEnd w:id="5"/>
            <w:bookmarkEnd w:id="6"/>
            <w:bookmarkEnd w:id="7"/>
          </w:p>
        </w:tc>
        <w:tc>
          <w:tcPr>
            <w:tcW w:w="1461" w:type="dxa"/>
            <w:vAlign w:val="center"/>
          </w:tcPr>
          <w:p w14:paraId="5884F11E">
            <w:pPr>
              <w:jc w:val="center"/>
              <w:outlineLvl w:val="9"/>
              <w:rPr>
                <w:rFonts w:hint="eastAsia" w:ascii="仿宋" w:hAnsi="仿宋" w:eastAsia="仿宋" w:cs="仿宋"/>
                <w:color w:val="auto"/>
                <w:sz w:val="24"/>
                <w:szCs w:val="24"/>
                <w:highlight w:val="none"/>
              </w:rPr>
            </w:pPr>
            <w:bookmarkStart w:id="8" w:name="_Toc23183"/>
            <w:bookmarkStart w:id="9" w:name="_Toc3968"/>
            <w:bookmarkStart w:id="10" w:name="_Toc22389"/>
            <w:bookmarkStart w:id="11" w:name="_Toc6445"/>
            <w:bookmarkStart w:id="12" w:name="_Toc678"/>
            <w:r>
              <w:rPr>
                <w:rFonts w:hint="eastAsia" w:ascii="仿宋" w:hAnsi="仿宋" w:eastAsia="仿宋" w:cs="仿宋"/>
                <w:color w:val="auto"/>
                <w:sz w:val="24"/>
                <w:szCs w:val="24"/>
                <w:highlight w:val="none"/>
              </w:rPr>
              <w:t>名称</w:t>
            </w:r>
            <w:bookmarkEnd w:id="8"/>
            <w:bookmarkEnd w:id="9"/>
            <w:bookmarkEnd w:id="10"/>
            <w:bookmarkEnd w:id="11"/>
            <w:bookmarkEnd w:id="12"/>
          </w:p>
        </w:tc>
        <w:tc>
          <w:tcPr>
            <w:tcW w:w="1623" w:type="dxa"/>
            <w:vAlign w:val="center"/>
          </w:tcPr>
          <w:p w14:paraId="5F637E58">
            <w:pPr>
              <w:outlineLvl w:val="9"/>
              <w:rPr>
                <w:rFonts w:hint="eastAsia" w:ascii="仿宋" w:hAnsi="仿宋" w:eastAsia="仿宋" w:cs="仿宋"/>
                <w:color w:val="auto"/>
                <w:sz w:val="24"/>
                <w:szCs w:val="24"/>
                <w:highlight w:val="none"/>
              </w:rPr>
            </w:pPr>
            <w:bookmarkStart w:id="13" w:name="_Toc5820"/>
            <w:bookmarkStart w:id="14" w:name="_Toc31540"/>
            <w:bookmarkStart w:id="15" w:name="_Toc16370"/>
            <w:bookmarkStart w:id="16" w:name="_Toc6213"/>
            <w:bookmarkStart w:id="17" w:name="_Toc13493"/>
            <w:r>
              <w:rPr>
                <w:rFonts w:hint="eastAsia" w:ascii="仿宋" w:hAnsi="仿宋" w:eastAsia="仿宋" w:cs="仿宋"/>
                <w:color w:val="auto"/>
                <w:sz w:val="24"/>
                <w:szCs w:val="24"/>
                <w:highlight w:val="none"/>
              </w:rPr>
              <w:t>品牌/型号</w:t>
            </w:r>
            <w:bookmarkEnd w:id="13"/>
            <w:bookmarkEnd w:id="14"/>
            <w:bookmarkEnd w:id="15"/>
            <w:bookmarkEnd w:id="16"/>
            <w:bookmarkEnd w:id="17"/>
          </w:p>
        </w:tc>
        <w:tc>
          <w:tcPr>
            <w:tcW w:w="832" w:type="dxa"/>
            <w:vAlign w:val="center"/>
          </w:tcPr>
          <w:p w14:paraId="1D36DE46">
            <w:pPr>
              <w:outlineLvl w:val="9"/>
              <w:rPr>
                <w:rFonts w:hint="eastAsia" w:ascii="仿宋" w:hAnsi="仿宋" w:eastAsia="仿宋" w:cs="仿宋"/>
                <w:color w:val="auto"/>
                <w:sz w:val="24"/>
                <w:szCs w:val="24"/>
                <w:highlight w:val="none"/>
              </w:rPr>
            </w:pPr>
            <w:bookmarkStart w:id="18" w:name="_Toc5177"/>
            <w:bookmarkStart w:id="19" w:name="_Toc3931"/>
            <w:bookmarkStart w:id="20" w:name="_Toc21205"/>
            <w:bookmarkStart w:id="21" w:name="_Toc15931"/>
            <w:bookmarkStart w:id="22" w:name="_Toc3362"/>
            <w:r>
              <w:rPr>
                <w:rFonts w:hint="eastAsia" w:ascii="仿宋" w:hAnsi="仿宋" w:eastAsia="仿宋" w:cs="仿宋"/>
                <w:color w:val="auto"/>
                <w:sz w:val="24"/>
                <w:szCs w:val="24"/>
                <w:highlight w:val="none"/>
              </w:rPr>
              <w:t>规格</w:t>
            </w:r>
            <w:bookmarkEnd w:id="18"/>
            <w:bookmarkEnd w:id="19"/>
            <w:bookmarkEnd w:id="20"/>
            <w:bookmarkEnd w:id="21"/>
            <w:bookmarkEnd w:id="22"/>
          </w:p>
        </w:tc>
        <w:tc>
          <w:tcPr>
            <w:tcW w:w="822" w:type="dxa"/>
            <w:vAlign w:val="center"/>
          </w:tcPr>
          <w:p w14:paraId="47A61425">
            <w:pPr>
              <w:outlineLvl w:val="9"/>
              <w:rPr>
                <w:rFonts w:hint="eastAsia" w:ascii="仿宋" w:hAnsi="仿宋" w:eastAsia="仿宋" w:cs="仿宋"/>
                <w:color w:val="auto"/>
                <w:sz w:val="24"/>
                <w:szCs w:val="24"/>
                <w:highlight w:val="none"/>
              </w:rPr>
            </w:pPr>
            <w:bookmarkStart w:id="23" w:name="_Toc18669"/>
            <w:bookmarkStart w:id="24" w:name="_Toc16004"/>
            <w:bookmarkStart w:id="25" w:name="_Toc13801"/>
            <w:bookmarkStart w:id="26" w:name="_Toc8364"/>
            <w:bookmarkStart w:id="27" w:name="_Toc30791"/>
            <w:r>
              <w:rPr>
                <w:rFonts w:hint="eastAsia" w:ascii="仿宋" w:hAnsi="仿宋" w:eastAsia="仿宋" w:cs="仿宋"/>
                <w:color w:val="auto"/>
                <w:sz w:val="24"/>
                <w:szCs w:val="24"/>
                <w:highlight w:val="none"/>
              </w:rPr>
              <w:t>计量单位</w:t>
            </w:r>
            <w:bookmarkEnd w:id="23"/>
            <w:bookmarkEnd w:id="24"/>
            <w:bookmarkEnd w:id="25"/>
            <w:bookmarkEnd w:id="26"/>
            <w:bookmarkEnd w:id="27"/>
          </w:p>
        </w:tc>
        <w:tc>
          <w:tcPr>
            <w:tcW w:w="514" w:type="dxa"/>
            <w:vAlign w:val="center"/>
          </w:tcPr>
          <w:p w14:paraId="32A22B77">
            <w:pPr>
              <w:outlineLvl w:val="9"/>
              <w:rPr>
                <w:rFonts w:hint="eastAsia" w:ascii="仿宋" w:hAnsi="仿宋" w:eastAsia="仿宋" w:cs="仿宋"/>
                <w:color w:val="auto"/>
                <w:sz w:val="24"/>
                <w:szCs w:val="24"/>
                <w:highlight w:val="none"/>
              </w:rPr>
            </w:pPr>
            <w:bookmarkStart w:id="28" w:name="_Toc9231"/>
            <w:bookmarkStart w:id="29" w:name="_Toc24569"/>
            <w:bookmarkStart w:id="30" w:name="_Toc29871"/>
            <w:bookmarkStart w:id="31" w:name="_Toc19134"/>
            <w:bookmarkStart w:id="32" w:name="_Toc609"/>
            <w:r>
              <w:rPr>
                <w:rFonts w:hint="eastAsia" w:ascii="仿宋" w:hAnsi="仿宋" w:eastAsia="仿宋" w:cs="仿宋"/>
                <w:color w:val="auto"/>
                <w:sz w:val="24"/>
                <w:szCs w:val="24"/>
                <w:highlight w:val="none"/>
              </w:rPr>
              <w:t>数量</w:t>
            </w:r>
            <w:bookmarkEnd w:id="28"/>
            <w:bookmarkEnd w:id="29"/>
            <w:bookmarkEnd w:id="30"/>
            <w:bookmarkEnd w:id="31"/>
            <w:bookmarkEnd w:id="32"/>
          </w:p>
        </w:tc>
        <w:tc>
          <w:tcPr>
            <w:tcW w:w="1377" w:type="dxa"/>
            <w:vAlign w:val="center"/>
          </w:tcPr>
          <w:p w14:paraId="2D5CC96A">
            <w:pPr>
              <w:outlineLvl w:val="9"/>
              <w:rPr>
                <w:rFonts w:hint="eastAsia" w:ascii="仿宋" w:hAnsi="仿宋" w:eastAsia="仿宋" w:cs="仿宋"/>
                <w:color w:val="auto"/>
                <w:sz w:val="24"/>
                <w:szCs w:val="24"/>
                <w:highlight w:val="none"/>
              </w:rPr>
            </w:pPr>
            <w:bookmarkStart w:id="33" w:name="_Toc22269"/>
            <w:bookmarkStart w:id="34" w:name="_Toc1373"/>
            <w:bookmarkStart w:id="35" w:name="_Toc5020"/>
            <w:bookmarkStart w:id="36" w:name="_Toc23932"/>
            <w:bookmarkStart w:id="37" w:name="_Toc29589"/>
            <w:r>
              <w:rPr>
                <w:rFonts w:hint="eastAsia" w:ascii="仿宋" w:hAnsi="仿宋" w:eastAsia="仿宋" w:cs="仿宋"/>
                <w:color w:val="auto"/>
                <w:sz w:val="24"/>
                <w:szCs w:val="24"/>
                <w:highlight w:val="none"/>
                <w:lang w:val="en-US" w:eastAsia="zh-CN"/>
              </w:rPr>
              <w:t>单</w:t>
            </w:r>
            <w:r>
              <w:rPr>
                <w:rFonts w:hint="eastAsia" w:ascii="仿宋" w:hAnsi="仿宋" w:eastAsia="仿宋" w:cs="仿宋"/>
                <w:color w:val="auto"/>
                <w:sz w:val="24"/>
                <w:szCs w:val="24"/>
                <w:highlight w:val="none"/>
              </w:rPr>
              <w:t>价（元）</w:t>
            </w:r>
            <w:bookmarkEnd w:id="33"/>
            <w:bookmarkEnd w:id="34"/>
            <w:bookmarkEnd w:id="35"/>
            <w:bookmarkEnd w:id="36"/>
            <w:bookmarkEnd w:id="37"/>
          </w:p>
        </w:tc>
        <w:tc>
          <w:tcPr>
            <w:tcW w:w="1386" w:type="dxa"/>
            <w:vAlign w:val="center"/>
          </w:tcPr>
          <w:p w14:paraId="5A3DD7D9">
            <w:pPr>
              <w:ind w:left="236" w:hanging="235" w:hangingChars="98"/>
              <w:outlineLvl w:val="9"/>
              <w:rPr>
                <w:rFonts w:hint="eastAsia" w:ascii="仿宋" w:hAnsi="仿宋" w:eastAsia="仿宋" w:cs="仿宋"/>
                <w:color w:val="auto"/>
                <w:sz w:val="24"/>
                <w:szCs w:val="24"/>
                <w:highlight w:val="none"/>
              </w:rPr>
            </w:pPr>
            <w:bookmarkStart w:id="38" w:name="_Toc17545"/>
            <w:bookmarkStart w:id="39" w:name="_Toc26062"/>
            <w:bookmarkStart w:id="40" w:name="_Toc14510"/>
            <w:bookmarkStart w:id="41" w:name="_Toc32579"/>
            <w:bookmarkStart w:id="42" w:name="_Toc23619"/>
            <w:r>
              <w:rPr>
                <w:rFonts w:hint="eastAsia" w:ascii="仿宋" w:hAnsi="仿宋" w:eastAsia="仿宋" w:cs="仿宋"/>
                <w:color w:val="auto"/>
                <w:sz w:val="24"/>
                <w:szCs w:val="24"/>
                <w:highlight w:val="none"/>
              </w:rPr>
              <w:t>金额 (元)</w:t>
            </w:r>
            <w:bookmarkEnd w:id="38"/>
            <w:bookmarkEnd w:id="39"/>
            <w:bookmarkEnd w:id="40"/>
            <w:bookmarkEnd w:id="41"/>
            <w:bookmarkEnd w:id="42"/>
          </w:p>
        </w:tc>
      </w:tr>
      <w:tr w14:paraId="09B4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01" w:type="dxa"/>
          </w:tcPr>
          <w:p w14:paraId="504F4254">
            <w:pPr>
              <w:outlineLvl w:val="9"/>
              <w:rPr>
                <w:rFonts w:hint="eastAsia" w:ascii="仿宋" w:hAnsi="仿宋" w:eastAsia="仿宋" w:cs="仿宋"/>
                <w:color w:val="auto"/>
                <w:sz w:val="24"/>
                <w:szCs w:val="24"/>
                <w:highlight w:val="none"/>
              </w:rPr>
            </w:pPr>
          </w:p>
        </w:tc>
        <w:tc>
          <w:tcPr>
            <w:tcW w:w="1461" w:type="dxa"/>
          </w:tcPr>
          <w:p w14:paraId="265CA89F">
            <w:pPr>
              <w:outlineLvl w:val="9"/>
              <w:rPr>
                <w:rFonts w:hint="eastAsia" w:ascii="仿宋" w:hAnsi="仿宋" w:eastAsia="仿宋" w:cs="仿宋"/>
                <w:color w:val="auto"/>
                <w:sz w:val="24"/>
                <w:szCs w:val="24"/>
                <w:highlight w:val="none"/>
              </w:rPr>
            </w:pPr>
          </w:p>
        </w:tc>
        <w:tc>
          <w:tcPr>
            <w:tcW w:w="1623" w:type="dxa"/>
          </w:tcPr>
          <w:p w14:paraId="23A5FEA2">
            <w:pPr>
              <w:outlineLvl w:val="9"/>
              <w:rPr>
                <w:rFonts w:hint="eastAsia" w:ascii="仿宋" w:hAnsi="仿宋" w:eastAsia="仿宋" w:cs="仿宋"/>
                <w:color w:val="auto"/>
                <w:sz w:val="24"/>
                <w:szCs w:val="24"/>
                <w:highlight w:val="none"/>
              </w:rPr>
            </w:pPr>
          </w:p>
        </w:tc>
        <w:tc>
          <w:tcPr>
            <w:tcW w:w="832" w:type="dxa"/>
          </w:tcPr>
          <w:p w14:paraId="792DAEEA">
            <w:pPr>
              <w:outlineLvl w:val="9"/>
              <w:rPr>
                <w:rFonts w:hint="eastAsia" w:ascii="仿宋" w:hAnsi="仿宋" w:eastAsia="仿宋" w:cs="仿宋"/>
                <w:color w:val="auto"/>
                <w:sz w:val="24"/>
                <w:szCs w:val="24"/>
                <w:highlight w:val="none"/>
              </w:rPr>
            </w:pPr>
          </w:p>
        </w:tc>
        <w:tc>
          <w:tcPr>
            <w:tcW w:w="822" w:type="dxa"/>
          </w:tcPr>
          <w:p w14:paraId="3639025D">
            <w:pPr>
              <w:outlineLvl w:val="9"/>
              <w:rPr>
                <w:rFonts w:hint="eastAsia" w:ascii="仿宋" w:hAnsi="仿宋" w:eastAsia="仿宋" w:cs="仿宋"/>
                <w:color w:val="auto"/>
                <w:sz w:val="24"/>
                <w:szCs w:val="24"/>
                <w:highlight w:val="none"/>
              </w:rPr>
            </w:pPr>
          </w:p>
        </w:tc>
        <w:tc>
          <w:tcPr>
            <w:tcW w:w="514" w:type="dxa"/>
          </w:tcPr>
          <w:p w14:paraId="5238D410">
            <w:pPr>
              <w:outlineLvl w:val="9"/>
              <w:rPr>
                <w:rFonts w:hint="eastAsia" w:ascii="仿宋" w:hAnsi="仿宋" w:eastAsia="仿宋" w:cs="仿宋"/>
                <w:color w:val="auto"/>
                <w:sz w:val="24"/>
                <w:szCs w:val="24"/>
                <w:highlight w:val="none"/>
              </w:rPr>
            </w:pPr>
          </w:p>
        </w:tc>
        <w:tc>
          <w:tcPr>
            <w:tcW w:w="1377" w:type="dxa"/>
          </w:tcPr>
          <w:p w14:paraId="2CFC8302">
            <w:pPr>
              <w:outlineLvl w:val="9"/>
              <w:rPr>
                <w:rFonts w:hint="eastAsia" w:ascii="仿宋" w:hAnsi="仿宋" w:eastAsia="仿宋" w:cs="仿宋"/>
                <w:color w:val="auto"/>
                <w:sz w:val="24"/>
                <w:szCs w:val="24"/>
                <w:highlight w:val="none"/>
              </w:rPr>
            </w:pPr>
          </w:p>
        </w:tc>
        <w:tc>
          <w:tcPr>
            <w:tcW w:w="1386" w:type="dxa"/>
          </w:tcPr>
          <w:p w14:paraId="3A8A74D2">
            <w:pPr>
              <w:outlineLvl w:val="9"/>
              <w:rPr>
                <w:rFonts w:hint="eastAsia" w:ascii="仿宋" w:hAnsi="仿宋" w:eastAsia="仿宋" w:cs="仿宋"/>
                <w:color w:val="auto"/>
                <w:sz w:val="24"/>
                <w:szCs w:val="24"/>
                <w:highlight w:val="none"/>
              </w:rPr>
            </w:pPr>
          </w:p>
        </w:tc>
      </w:tr>
      <w:tr w14:paraId="483D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01" w:type="dxa"/>
          </w:tcPr>
          <w:p w14:paraId="2759AC73">
            <w:pPr>
              <w:outlineLvl w:val="9"/>
              <w:rPr>
                <w:rFonts w:hint="eastAsia" w:ascii="仿宋" w:hAnsi="仿宋" w:eastAsia="仿宋" w:cs="仿宋"/>
                <w:color w:val="auto"/>
                <w:sz w:val="24"/>
                <w:szCs w:val="24"/>
                <w:highlight w:val="none"/>
              </w:rPr>
            </w:pPr>
          </w:p>
        </w:tc>
        <w:tc>
          <w:tcPr>
            <w:tcW w:w="1461" w:type="dxa"/>
          </w:tcPr>
          <w:p w14:paraId="430CD12D">
            <w:pPr>
              <w:outlineLvl w:val="9"/>
              <w:rPr>
                <w:rFonts w:hint="eastAsia" w:ascii="仿宋" w:hAnsi="仿宋" w:eastAsia="仿宋" w:cs="仿宋"/>
                <w:color w:val="auto"/>
                <w:sz w:val="24"/>
                <w:szCs w:val="24"/>
                <w:highlight w:val="none"/>
              </w:rPr>
            </w:pPr>
          </w:p>
        </w:tc>
        <w:tc>
          <w:tcPr>
            <w:tcW w:w="1623" w:type="dxa"/>
          </w:tcPr>
          <w:p w14:paraId="66D24103">
            <w:pPr>
              <w:outlineLvl w:val="9"/>
              <w:rPr>
                <w:rFonts w:hint="eastAsia" w:ascii="仿宋" w:hAnsi="仿宋" w:eastAsia="仿宋" w:cs="仿宋"/>
                <w:color w:val="auto"/>
                <w:sz w:val="24"/>
                <w:szCs w:val="24"/>
                <w:highlight w:val="none"/>
              </w:rPr>
            </w:pPr>
          </w:p>
        </w:tc>
        <w:tc>
          <w:tcPr>
            <w:tcW w:w="832" w:type="dxa"/>
          </w:tcPr>
          <w:p w14:paraId="28F455CD">
            <w:pPr>
              <w:outlineLvl w:val="9"/>
              <w:rPr>
                <w:rFonts w:hint="eastAsia" w:ascii="仿宋" w:hAnsi="仿宋" w:eastAsia="仿宋" w:cs="仿宋"/>
                <w:color w:val="auto"/>
                <w:sz w:val="24"/>
                <w:szCs w:val="24"/>
                <w:highlight w:val="none"/>
              </w:rPr>
            </w:pPr>
          </w:p>
        </w:tc>
        <w:tc>
          <w:tcPr>
            <w:tcW w:w="822" w:type="dxa"/>
          </w:tcPr>
          <w:p w14:paraId="2DABDEB9">
            <w:pPr>
              <w:outlineLvl w:val="9"/>
              <w:rPr>
                <w:rFonts w:hint="eastAsia" w:ascii="仿宋" w:hAnsi="仿宋" w:eastAsia="仿宋" w:cs="仿宋"/>
                <w:color w:val="auto"/>
                <w:sz w:val="24"/>
                <w:szCs w:val="24"/>
                <w:highlight w:val="none"/>
              </w:rPr>
            </w:pPr>
          </w:p>
        </w:tc>
        <w:tc>
          <w:tcPr>
            <w:tcW w:w="514" w:type="dxa"/>
          </w:tcPr>
          <w:p w14:paraId="048424D1">
            <w:pPr>
              <w:outlineLvl w:val="9"/>
              <w:rPr>
                <w:rFonts w:hint="eastAsia" w:ascii="仿宋" w:hAnsi="仿宋" w:eastAsia="仿宋" w:cs="仿宋"/>
                <w:color w:val="auto"/>
                <w:sz w:val="24"/>
                <w:szCs w:val="24"/>
                <w:highlight w:val="none"/>
              </w:rPr>
            </w:pPr>
          </w:p>
        </w:tc>
        <w:tc>
          <w:tcPr>
            <w:tcW w:w="1377" w:type="dxa"/>
          </w:tcPr>
          <w:p w14:paraId="7452EFC1">
            <w:pPr>
              <w:outlineLvl w:val="9"/>
              <w:rPr>
                <w:rFonts w:hint="eastAsia" w:ascii="仿宋" w:hAnsi="仿宋" w:eastAsia="仿宋" w:cs="仿宋"/>
                <w:color w:val="auto"/>
                <w:sz w:val="24"/>
                <w:szCs w:val="24"/>
                <w:highlight w:val="none"/>
              </w:rPr>
            </w:pPr>
          </w:p>
        </w:tc>
        <w:tc>
          <w:tcPr>
            <w:tcW w:w="1386" w:type="dxa"/>
          </w:tcPr>
          <w:p w14:paraId="03BB6847">
            <w:pPr>
              <w:outlineLvl w:val="9"/>
              <w:rPr>
                <w:rFonts w:hint="eastAsia" w:ascii="仿宋" w:hAnsi="仿宋" w:eastAsia="仿宋" w:cs="仿宋"/>
                <w:color w:val="auto"/>
                <w:sz w:val="24"/>
                <w:szCs w:val="24"/>
                <w:highlight w:val="none"/>
              </w:rPr>
            </w:pPr>
          </w:p>
        </w:tc>
      </w:tr>
      <w:tr w14:paraId="27A0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8" w:hRule="atLeast"/>
          <w:jc w:val="center"/>
        </w:trPr>
        <w:tc>
          <w:tcPr>
            <w:tcW w:w="801" w:type="dxa"/>
          </w:tcPr>
          <w:p w14:paraId="092D005A">
            <w:pPr>
              <w:outlineLvl w:val="9"/>
              <w:rPr>
                <w:rFonts w:hint="eastAsia" w:ascii="仿宋" w:hAnsi="仿宋" w:eastAsia="仿宋" w:cs="仿宋"/>
                <w:color w:val="auto"/>
                <w:sz w:val="24"/>
                <w:szCs w:val="24"/>
                <w:highlight w:val="none"/>
              </w:rPr>
            </w:pPr>
          </w:p>
        </w:tc>
        <w:tc>
          <w:tcPr>
            <w:tcW w:w="1461" w:type="dxa"/>
          </w:tcPr>
          <w:p w14:paraId="791E7B2D">
            <w:pPr>
              <w:outlineLvl w:val="9"/>
              <w:rPr>
                <w:rFonts w:hint="eastAsia" w:ascii="仿宋" w:hAnsi="仿宋" w:eastAsia="仿宋" w:cs="仿宋"/>
                <w:color w:val="auto"/>
                <w:sz w:val="24"/>
                <w:szCs w:val="24"/>
                <w:highlight w:val="none"/>
              </w:rPr>
            </w:pPr>
          </w:p>
        </w:tc>
        <w:tc>
          <w:tcPr>
            <w:tcW w:w="1623" w:type="dxa"/>
          </w:tcPr>
          <w:p w14:paraId="0326BC83">
            <w:pPr>
              <w:outlineLvl w:val="9"/>
              <w:rPr>
                <w:rFonts w:hint="eastAsia" w:ascii="仿宋" w:hAnsi="仿宋" w:eastAsia="仿宋" w:cs="仿宋"/>
                <w:color w:val="auto"/>
                <w:sz w:val="24"/>
                <w:szCs w:val="24"/>
                <w:highlight w:val="none"/>
              </w:rPr>
            </w:pPr>
          </w:p>
        </w:tc>
        <w:tc>
          <w:tcPr>
            <w:tcW w:w="832" w:type="dxa"/>
          </w:tcPr>
          <w:p w14:paraId="1B10CF5C">
            <w:pPr>
              <w:outlineLvl w:val="9"/>
              <w:rPr>
                <w:rFonts w:hint="eastAsia" w:ascii="仿宋" w:hAnsi="仿宋" w:eastAsia="仿宋" w:cs="仿宋"/>
                <w:color w:val="auto"/>
                <w:sz w:val="24"/>
                <w:szCs w:val="24"/>
                <w:highlight w:val="none"/>
              </w:rPr>
            </w:pPr>
          </w:p>
        </w:tc>
        <w:tc>
          <w:tcPr>
            <w:tcW w:w="822" w:type="dxa"/>
          </w:tcPr>
          <w:p w14:paraId="0747089F">
            <w:pPr>
              <w:outlineLvl w:val="9"/>
              <w:rPr>
                <w:rFonts w:hint="eastAsia" w:ascii="仿宋" w:hAnsi="仿宋" w:eastAsia="仿宋" w:cs="仿宋"/>
                <w:color w:val="auto"/>
                <w:sz w:val="24"/>
                <w:szCs w:val="24"/>
                <w:highlight w:val="none"/>
              </w:rPr>
            </w:pPr>
          </w:p>
        </w:tc>
        <w:tc>
          <w:tcPr>
            <w:tcW w:w="514" w:type="dxa"/>
          </w:tcPr>
          <w:p w14:paraId="02EF76B2">
            <w:pPr>
              <w:outlineLvl w:val="9"/>
              <w:rPr>
                <w:rFonts w:hint="eastAsia" w:ascii="仿宋" w:hAnsi="仿宋" w:eastAsia="仿宋" w:cs="仿宋"/>
                <w:color w:val="auto"/>
                <w:sz w:val="24"/>
                <w:szCs w:val="24"/>
                <w:highlight w:val="none"/>
              </w:rPr>
            </w:pPr>
          </w:p>
        </w:tc>
        <w:tc>
          <w:tcPr>
            <w:tcW w:w="1377" w:type="dxa"/>
          </w:tcPr>
          <w:p w14:paraId="3E49C1EC">
            <w:pPr>
              <w:outlineLvl w:val="9"/>
              <w:rPr>
                <w:rFonts w:hint="eastAsia" w:ascii="仿宋" w:hAnsi="仿宋" w:eastAsia="仿宋" w:cs="仿宋"/>
                <w:color w:val="auto"/>
                <w:sz w:val="24"/>
                <w:szCs w:val="24"/>
                <w:highlight w:val="none"/>
              </w:rPr>
            </w:pPr>
          </w:p>
        </w:tc>
        <w:tc>
          <w:tcPr>
            <w:tcW w:w="1386" w:type="dxa"/>
          </w:tcPr>
          <w:p w14:paraId="0D6836A2">
            <w:pPr>
              <w:outlineLvl w:val="9"/>
              <w:rPr>
                <w:rFonts w:hint="eastAsia" w:ascii="仿宋" w:hAnsi="仿宋" w:eastAsia="仿宋" w:cs="仿宋"/>
                <w:color w:val="auto"/>
                <w:sz w:val="24"/>
                <w:szCs w:val="24"/>
                <w:highlight w:val="none"/>
              </w:rPr>
            </w:pPr>
          </w:p>
        </w:tc>
      </w:tr>
      <w:tr w14:paraId="64B1C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885" w:type="dxa"/>
            <w:gridSpan w:val="3"/>
          </w:tcPr>
          <w:p w14:paraId="1E395535">
            <w:pPr>
              <w:outlineLvl w:val="9"/>
              <w:rPr>
                <w:rFonts w:hint="eastAsia" w:ascii="仿宋" w:hAnsi="仿宋" w:eastAsia="仿宋" w:cs="仿宋"/>
                <w:color w:val="auto"/>
                <w:sz w:val="24"/>
                <w:szCs w:val="24"/>
                <w:highlight w:val="none"/>
              </w:rPr>
            </w:pPr>
            <w:bookmarkStart w:id="43" w:name="_Toc16401"/>
            <w:bookmarkStart w:id="44" w:name="_Toc25107"/>
            <w:bookmarkStart w:id="45" w:name="_Toc10934"/>
            <w:bookmarkStart w:id="46" w:name="_Toc18746"/>
            <w:bookmarkStart w:id="47" w:name="_Toc15703"/>
            <w:r>
              <w:rPr>
                <w:rFonts w:hint="eastAsia" w:ascii="仿宋" w:hAnsi="仿宋" w:eastAsia="仿宋" w:cs="仿宋"/>
                <w:color w:val="auto"/>
                <w:sz w:val="24"/>
                <w:szCs w:val="24"/>
                <w:highlight w:val="none"/>
              </w:rPr>
              <w:t>合计</w:t>
            </w:r>
            <w:bookmarkEnd w:id="43"/>
            <w:bookmarkEnd w:id="44"/>
            <w:bookmarkEnd w:id="45"/>
            <w:bookmarkEnd w:id="46"/>
            <w:bookmarkEnd w:id="47"/>
          </w:p>
        </w:tc>
        <w:tc>
          <w:tcPr>
            <w:tcW w:w="4931" w:type="dxa"/>
            <w:gridSpan w:val="5"/>
          </w:tcPr>
          <w:p w14:paraId="5E6D3EBC">
            <w:pPr>
              <w:outlineLvl w:val="9"/>
              <w:rPr>
                <w:rFonts w:hint="eastAsia" w:ascii="仿宋" w:hAnsi="仿宋" w:eastAsia="仿宋" w:cs="仿宋"/>
                <w:color w:val="auto"/>
                <w:sz w:val="24"/>
                <w:szCs w:val="24"/>
                <w:highlight w:val="none"/>
              </w:rPr>
            </w:pPr>
            <w:bookmarkStart w:id="48" w:name="_Toc31431"/>
            <w:bookmarkStart w:id="49" w:name="_Toc9771"/>
            <w:bookmarkStart w:id="50" w:name="_Toc10002"/>
            <w:bookmarkStart w:id="51" w:name="_Toc18304"/>
            <w:bookmarkStart w:id="52" w:name="_Toc3316"/>
            <w:r>
              <w:rPr>
                <w:rFonts w:hint="eastAsia" w:ascii="仿宋" w:hAnsi="仿宋" w:eastAsia="仿宋" w:cs="仿宋"/>
                <w:color w:val="auto"/>
                <w:sz w:val="24"/>
                <w:szCs w:val="24"/>
                <w:highlight w:val="none"/>
              </w:rPr>
              <w:t>¥</w:t>
            </w:r>
            <w:bookmarkEnd w:id="48"/>
            <w:bookmarkEnd w:id="49"/>
            <w:bookmarkEnd w:id="50"/>
            <w:bookmarkEnd w:id="51"/>
            <w:bookmarkEnd w:id="52"/>
          </w:p>
        </w:tc>
      </w:tr>
    </w:tbl>
    <w:p w14:paraId="1DCF8D2B">
      <w:pPr>
        <w:pStyle w:val="6"/>
        <w:spacing w:line="360" w:lineRule="auto"/>
        <w:jc w:val="both"/>
        <w:rPr>
          <w:rFonts w:hint="eastAsia" w:ascii="仿宋" w:hAnsi="仿宋" w:eastAsia="仿宋" w:cs="仿宋"/>
          <w:color w:val="auto"/>
          <w:sz w:val="24"/>
          <w:szCs w:val="24"/>
          <w:highlight w:val="none"/>
        </w:rPr>
      </w:pPr>
      <w:bookmarkStart w:id="53" w:name="_Toc28512"/>
      <w:bookmarkStart w:id="54" w:name="_Toc6586"/>
      <w:bookmarkStart w:id="55" w:name="_Toc14881"/>
      <w:r>
        <w:rPr>
          <w:rFonts w:hint="eastAsia" w:ascii="仿宋" w:hAnsi="仿宋" w:eastAsia="仿宋" w:cs="仿宋"/>
          <w:color w:val="auto"/>
          <w:sz w:val="24"/>
          <w:szCs w:val="24"/>
          <w:highlight w:val="none"/>
        </w:rPr>
        <w:t>第二条 合同价款</w:t>
      </w:r>
      <w:bookmarkEnd w:id="53"/>
      <w:bookmarkEnd w:id="54"/>
      <w:bookmarkEnd w:id="55"/>
    </w:p>
    <w:p w14:paraId="2E778E70">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1.合同总价：人民币（大写）</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元，（￥</w:t>
      </w:r>
      <w:r>
        <w:rPr>
          <w:rFonts w:hint="eastAsia" w:ascii="仿宋" w:hAnsi="仿宋" w:eastAsia="仿宋" w:cs="仿宋"/>
          <w:b w:val="0"/>
          <w:color w:val="auto"/>
          <w:sz w:val="24"/>
          <w:szCs w:val="24"/>
          <w:highlight w:val="none"/>
          <w:u w:val="single"/>
        </w:rPr>
        <w:t xml:space="preserve">           </w:t>
      </w:r>
      <w:r>
        <w:rPr>
          <w:rFonts w:hint="eastAsia" w:ascii="仿宋" w:hAnsi="仿宋" w:eastAsia="仿宋" w:cs="仿宋"/>
          <w:b w:val="0"/>
          <w:color w:val="auto"/>
          <w:sz w:val="24"/>
          <w:szCs w:val="24"/>
          <w:highlight w:val="none"/>
        </w:rPr>
        <w:t xml:space="preserve"> ）。</w:t>
      </w:r>
    </w:p>
    <w:p w14:paraId="103B965C">
      <w:pPr>
        <w:spacing w:line="360" w:lineRule="auto"/>
        <w:ind w:firstLine="480" w:firstLineChars="200"/>
        <w:jc w:val="left"/>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2.本合同总价是产品、</w:t>
      </w:r>
      <w:r>
        <w:rPr>
          <w:rFonts w:hint="eastAsia" w:ascii="仿宋" w:hAnsi="仿宋" w:eastAsia="仿宋" w:cs="仿宋"/>
          <w:b w:val="0"/>
          <w:color w:val="auto"/>
          <w:sz w:val="24"/>
          <w:szCs w:val="24"/>
          <w:highlight w:val="none"/>
          <w:lang w:val="en-US" w:eastAsia="zh-CN"/>
        </w:rPr>
        <w:t>辅材</w:t>
      </w:r>
      <w:r>
        <w:rPr>
          <w:rFonts w:hint="eastAsia" w:ascii="仿宋" w:hAnsi="仿宋" w:eastAsia="仿宋" w:cs="仿宋"/>
          <w:b w:val="0"/>
          <w:color w:val="auto"/>
          <w:sz w:val="24"/>
          <w:szCs w:val="24"/>
          <w:highlight w:val="none"/>
        </w:rPr>
        <w:t>、制造、包装、运输、安装、调试、检测、验收合格交付使用之前及保修期内保修服务与备用物件等其他有关各项的含税费用。</w:t>
      </w:r>
    </w:p>
    <w:p w14:paraId="2B576AC3">
      <w:pPr>
        <w:spacing w:line="360" w:lineRule="auto"/>
        <w:ind w:firstLine="480" w:firstLineChars="200"/>
        <w:jc w:val="both"/>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rPr>
        <w:t>3.本合同总价还包含乙方应当提供的伴随服务和售后服务费用。</w:t>
      </w:r>
    </w:p>
    <w:p w14:paraId="43872F7B">
      <w:pPr>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b w:val="0"/>
          <w:color w:val="auto"/>
          <w:sz w:val="24"/>
          <w:szCs w:val="24"/>
          <w:highlight w:val="none"/>
        </w:rPr>
        <w:t>4.本合同执行期间合同总价不变，甲方无须另向乙方支付本合同规定之外的其他任何费用。</w:t>
      </w:r>
      <w:bookmarkStart w:id="56" w:name="_Toc31924"/>
    </w:p>
    <w:p w14:paraId="1A0F8C08">
      <w:pPr>
        <w:pStyle w:val="6"/>
        <w:spacing w:line="360" w:lineRule="auto"/>
        <w:jc w:val="both"/>
        <w:rPr>
          <w:rFonts w:hint="default" w:ascii="仿宋" w:hAnsi="仿宋" w:eastAsia="仿宋" w:cs="仿宋"/>
          <w:color w:val="auto"/>
          <w:sz w:val="24"/>
          <w:szCs w:val="24"/>
          <w:highlight w:val="none"/>
          <w:lang w:val="en-US" w:eastAsia="zh-CN"/>
        </w:rPr>
      </w:pPr>
      <w:bookmarkStart w:id="57" w:name="_Toc2721"/>
      <w:bookmarkStart w:id="58" w:name="_Toc14426"/>
      <w:r>
        <w:rPr>
          <w:rFonts w:hint="eastAsia" w:ascii="仿宋" w:hAnsi="仿宋" w:eastAsia="仿宋" w:cs="仿宋"/>
          <w:color w:val="auto"/>
          <w:sz w:val="24"/>
          <w:szCs w:val="24"/>
          <w:highlight w:val="none"/>
        </w:rPr>
        <w:t xml:space="preserve">第三条 </w:t>
      </w:r>
      <w:r>
        <w:rPr>
          <w:rFonts w:hint="eastAsia" w:ascii="仿宋" w:hAnsi="仿宋" w:eastAsia="仿宋" w:cs="仿宋"/>
          <w:color w:val="auto"/>
          <w:sz w:val="24"/>
          <w:szCs w:val="24"/>
          <w:highlight w:val="none"/>
          <w:lang w:val="en-US" w:eastAsia="zh-CN"/>
        </w:rPr>
        <w:t>合同价款</w:t>
      </w:r>
      <w:r>
        <w:rPr>
          <w:rFonts w:hint="eastAsia" w:ascii="仿宋" w:hAnsi="仿宋" w:eastAsia="仿宋" w:cs="仿宋"/>
          <w:color w:val="auto"/>
          <w:sz w:val="24"/>
          <w:szCs w:val="24"/>
          <w:highlight w:val="none"/>
        </w:rPr>
        <w:t>支付</w:t>
      </w:r>
      <w:bookmarkEnd w:id="56"/>
      <w:bookmarkEnd w:id="57"/>
      <w:bookmarkEnd w:id="58"/>
    </w:p>
    <w:p w14:paraId="5CD110CF">
      <w:pPr>
        <w:pStyle w:val="6"/>
        <w:spacing w:line="360" w:lineRule="auto"/>
        <w:ind w:firstLine="480" w:firstLineChars="200"/>
        <w:jc w:val="both"/>
        <w:rPr>
          <w:rFonts w:hint="default" w:ascii="仿宋" w:hAnsi="仿宋" w:eastAsia="仿宋" w:cs="仿宋"/>
          <w:b w:val="0"/>
          <w:bCs w:val="0"/>
          <w:kern w:val="2"/>
          <w:sz w:val="24"/>
          <w:szCs w:val="24"/>
          <w:lang w:val="en-US" w:eastAsia="zh-CN" w:bidi="ar-SA"/>
        </w:rPr>
      </w:pPr>
      <w:bookmarkStart w:id="59" w:name="_Toc7176"/>
      <w:bookmarkStart w:id="60" w:name="_Toc7450"/>
      <w:bookmarkStart w:id="61" w:name="_Toc24977"/>
      <w:r>
        <w:rPr>
          <w:rFonts w:hint="eastAsia" w:ascii="仿宋" w:hAnsi="仿宋" w:eastAsia="仿宋" w:cs="仿宋"/>
          <w:b w:val="0"/>
          <w:bCs w:val="0"/>
          <w:kern w:val="2"/>
          <w:sz w:val="24"/>
          <w:szCs w:val="24"/>
          <w:lang w:val="en-US" w:eastAsia="zh-CN" w:bidi="ar-SA"/>
        </w:rPr>
        <w:t>合同签订后，达到付款条件起7日内，支付合同总金额的30.00%；安装调试完成，达到付款条件起7日内，支付合同总金额的50.00%；验收合格交付使用后，达到付款条件起7日内，支付合同总金额的20.00%。</w:t>
      </w:r>
    </w:p>
    <w:p w14:paraId="57CDAC07">
      <w:pPr>
        <w:pStyle w:val="6"/>
        <w:spacing w:line="360" w:lineRule="auto"/>
        <w:jc w:val="both"/>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第四条 交货期限</w:t>
      </w:r>
      <w:bookmarkEnd w:id="59"/>
      <w:bookmarkEnd w:id="60"/>
      <w:bookmarkEnd w:id="61"/>
    </w:p>
    <w:p w14:paraId="0822F60D">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1"/>
        <w:rPr>
          <w:rFonts w:hint="default" w:ascii="仿宋" w:hAnsi="仿宋" w:eastAsia="仿宋" w:cs="仿宋"/>
          <w:b w:val="0"/>
          <w:bCs/>
          <w:color w:val="auto"/>
          <w:highlight w:val="yellow"/>
          <w:u w:val="none"/>
          <w:lang w:val="en-US" w:eastAsia="zh-CN"/>
        </w:rPr>
      </w:pPr>
      <w:r>
        <w:rPr>
          <w:rFonts w:hint="default" w:ascii="仿宋" w:hAnsi="仿宋" w:eastAsia="仿宋" w:cs="仿宋"/>
          <w:b w:val="0"/>
          <w:bCs/>
          <w:color w:val="auto"/>
          <w:highlight w:val="none"/>
          <w:u w:val="none"/>
          <w:lang w:val="en-US" w:eastAsia="zh-CN"/>
        </w:rPr>
        <w:t>合同签订后20日内完成安装调试</w:t>
      </w:r>
    </w:p>
    <w:p w14:paraId="575BD363">
      <w:pPr>
        <w:pStyle w:val="6"/>
        <w:spacing w:line="360" w:lineRule="auto"/>
        <w:jc w:val="both"/>
        <w:rPr>
          <w:rFonts w:hint="default" w:ascii="仿宋" w:hAnsi="仿宋" w:eastAsia="仿宋" w:cs="仿宋"/>
          <w:color w:val="auto"/>
          <w:sz w:val="24"/>
          <w:szCs w:val="24"/>
          <w:highlight w:val="none"/>
          <w:lang w:val="en-US" w:eastAsia="zh-CN"/>
        </w:rPr>
      </w:pPr>
      <w:bookmarkStart w:id="62" w:name="_Toc8595"/>
      <w:r>
        <w:rPr>
          <w:rFonts w:hint="eastAsia" w:ascii="仿宋" w:hAnsi="仿宋" w:eastAsia="仿宋" w:cs="仿宋"/>
          <w:color w:val="auto"/>
          <w:sz w:val="24"/>
          <w:szCs w:val="24"/>
          <w:highlight w:val="none"/>
          <w:lang w:val="en-US" w:eastAsia="zh-CN"/>
        </w:rPr>
        <w:t xml:space="preserve"> </w:t>
      </w:r>
      <w:bookmarkStart w:id="63" w:name="_Toc2774"/>
      <w:bookmarkStart w:id="64" w:name="_Toc18347"/>
      <w:r>
        <w:rPr>
          <w:rFonts w:hint="eastAsia" w:ascii="仿宋" w:hAnsi="仿宋" w:eastAsia="仿宋" w:cs="仿宋"/>
          <w:color w:val="auto"/>
          <w:sz w:val="24"/>
          <w:szCs w:val="24"/>
          <w:highlight w:val="none"/>
          <w:lang w:val="en-US" w:eastAsia="zh-CN"/>
        </w:rPr>
        <w:t>第五条 质</w:t>
      </w:r>
      <w:bookmarkEnd w:id="62"/>
      <w:r>
        <w:rPr>
          <w:rFonts w:hint="eastAsia" w:ascii="仿宋" w:hAnsi="仿宋" w:eastAsia="仿宋" w:cs="仿宋"/>
          <w:color w:val="auto"/>
          <w:sz w:val="24"/>
          <w:szCs w:val="24"/>
          <w:highlight w:val="none"/>
          <w:lang w:val="en-US" w:eastAsia="zh-CN"/>
        </w:rPr>
        <w:t>保</w:t>
      </w:r>
      <w:bookmarkEnd w:id="63"/>
      <w:bookmarkEnd w:id="64"/>
      <w:r>
        <w:rPr>
          <w:rFonts w:hint="eastAsia" w:ascii="仿宋" w:hAnsi="仿宋" w:eastAsia="仿宋" w:cs="仿宋"/>
          <w:color w:val="auto"/>
          <w:sz w:val="24"/>
          <w:szCs w:val="24"/>
          <w:highlight w:val="none"/>
          <w:lang w:val="en-US" w:eastAsia="zh-CN"/>
        </w:rPr>
        <w:t>保证</w:t>
      </w:r>
    </w:p>
    <w:p w14:paraId="4329478A">
      <w:pPr>
        <w:pStyle w:val="9"/>
        <w:spacing w:line="360" w:lineRule="auto"/>
        <w:ind w:firstLine="480" w:firstLineChars="200"/>
        <w:rPr>
          <w:rFonts w:ascii="仿宋" w:hAnsi="仿宋" w:eastAsia="仿宋" w:cs="仿宋"/>
          <w:sz w:val="24"/>
        </w:rPr>
      </w:pPr>
      <w:bookmarkStart w:id="65" w:name="_Toc5147"/>
      <w:bookmarkStart w:id="66" w:name="_Toc23635"/>
      <w:bookmarkStart w:id="67" w:name="_Toc26000"/>
      <w:r>
        <w:rPr>
          <w:rFonts w:hint="eastAsia" w:ascii="仿宋" w:hAnsi="仿宋" w:eastAsia="仿宋" w:cs="仿宋"/>
          <w:sz w:val="24"/>
          <w:lang w:val="en-US" w:eastAsia="zh-CN"/>
        </w:rPr>
        <w:t>1.</w:t>
      </w:r>
      <w:r>
        <w:rPr>
          <w:rFonts w:hint="eastAsia" w:ascii="仿宋" w:hAnsi="仿宋" w:eastAsia="仿宋" w:cs="仿宋"/>
          <w:sz w:val="24"/>
        </w:rPr>
        <w:t>乙方提供的设备及配套产品，必须</w:t>
      </w:r>
      <w:r>
        <w:rPr>
          <w:rFonts w:hint="eastAsia" w:ascii="仿宋" w:hAnsi="仿宋" w:eastAsia="仿宋" w:cs="仿宋"/>
          <w:sz w:val="24"/>
          <w:lang w:val="en-US" w:eastAsia="zh-CN"/>
        </w:rPr>
        <w:t>按照我国现使用的标准</w:t>
      </w:r>
      <w:r>
        <w:rPr>
          <w:rFonts w:hint="eastAsia" w:ascii="仿宋" w:hAnsi="仿宋" w:eastAsia="仿宋" w:cs="仿宋"/>
          <w:sz w:val="24"/>
        </w:rPr>
        <w:t>制造</w:t>
      </w:r>
      <w:r>
        <w:rPr>
          <w:rFonts w:hint="eastAsia" w:ascii="仿宋" w:hAnsi="仿宋" w:eastAsia="仿宋" w:cs="仿宋"/>
          <w:sz w:val="24"/>
          <w:lang w:eastAsia="zh-CN"/>
        </w:rPr>
        <w:t>，</w:t>
      </w:r>
      <w:r>
        <w:rPr>
          <w:rFonts w:hint="eastAsia" w:ascii="仿宋" w:hAnsi="仿宋" w:eastAsia="仿宋" w:cs="仿宋"/>
          <w:sz w:val="24"/>
          <w:lang w:val="en-US" w:eastAsia="zh-CN"/>
        </w:rPr>
        <w:t>必须是合格</w:t>
      </w:r>
      <w:r>
        <w:rPr>
          <w:rFonts w:hint="eastAsia" w:ascii="仿宋" w:hAnsi="仿宋" w:eastAsia="仿宋" w:cs="仿宋"/>
          <w:sz w:val="24"/>
        </w:rPr>
        <w:t>、全新、未曾使用的产品，产品内部无损坏，外表无磨损，内部包装无破损。整套产品必须通过由国家技术监督部门授权的计量检定单位的检定，并附有检定使用合格证书。</w:t>
      </w:r>
    </w:p>
    <w:p w14:paraId="586AF8EF">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乙方提供的设备及配套产品必须等同于或优于合同技术指标要求，并能按国家标准供应、检测、调试，确保产品技术指标满足使用要求。</w:t>
      </w:r>
    </w:p>
    <w:p w14:paraId="29D2B899">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乙方须保证所提供的设备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002F4641">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37902D66">
      <w:pPr>
        <w:pStyle w:val="9"/>
        <w:spacing w:line="360" w:lineRule="auto"/>
        <w:ind w:firstLine="480" w:firstLineChars="200"/>
        <w:rPr>
          <w:rFonts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乙方在收到通知后虽答复，但没有弥补缺陷，甲方可采取必要的补救措施，但由此引发的风险和费用将由乙方承担。甲方根据合同规定对乙方行使的其他权力不受影响。</w:t>
      </w:r>
    </w:p>
    <w:p w14:paraId="47E0CFA3">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lang w:eastAsia="zh-CN"/>
        </w:rPr>
        <w:t>（</w:t>
      </w:r>
      <w:r>
        <w:rPr>
          <w:rFonts w:hint="eastAsia" w:ascii="仿宋" w:hAnsi="仿宋" w:eastAsia="仿宋" w:cs="仿宋"/>
          <w:sz w:val="24"/>
          <w:lang w:val="en-US" w:eastAsia="zh-CN"/>
        </w:rPr>
        <w:t>1</w:t>
      </w:r>
      <w:r>
        <w:rPr>
          <w:rFonts w:hint="eastAsia" w:ascii="仿宋" w:hAnsi="仿宋" w:eastAsia="仿宋" w:cs="仿宋"/>
          <w:sz w:val="24"/>
          <w:lang w:eastAsia="zh-CN"/>
        </w:rPr>
        <w:t>）</w:t>
      </w:r>
      <w:r>
        <w:rPr>
          <w:rFonts w:hint="eastAsia" w:ascii="仿宋" w:hAnsi="仿宋" w:eastAsia="仿宋" w:cs="仿宋"/>
          <w:sz w:val="24"/>
        </w:rPr>
        <w:t>质保期为终验合格后</w:t>
      </w:r>
      <w:r>
        <w:rPr>
          <w:rFonts w:hint="eastAsia" w:ascii="仿宋" w:hAnsi="仿宋" w:eastAsia="仿宋" w:cs="仿宋"/>
          <w:sz w:val="24"/>
          <w:lang w:val="en-US" w:eastAsia="zh-CN"/>
        </w:rPr>
        <w:t>3年</w:t>
      </w:r>
      <w:r>
        <w:rPr>
          <w:rFonts w:hint="eastAsia" w:ascii="仿宋" w:hAnsi="仿宋" w:eastAsia="仿宋" w:cs="仿宋"/>
          <w:sz w:val="24"/>
        </w:rPr>
        <w:t>。</w:t>
      </w:r>
      <w:r>
        <w:rPr>
          <w:rFonts w:hint="eastAsia" w:ascii="仿宋" w:hAnsi="仿宋" w:eastAsia="仿宋" w:cs="仿宋"/>
          <w:sz w:val="24"/>
          <w:lang w:eastAsia="zh-CN"/>
        </w:rPr>
        <w:t>乙方</w:t>
      </w:r>
      <w:r>
        <w:rPr>
          <w:rFonts w:hint="eastAsia" w:ascii="仿宋" w:hAnsi="仿宋" w:eastAsia="仿宋" w:cs="仿宋"/>
          <w:sz w:val="24"/>
        </w:rPr>
        <w:t>承诺的质保时间超过招标文件要求的，按其承诺时间质保。</w:t>
      </w:r>
    </w:p>
    <w:p w14:paraId="470ABC78">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）乙方</w:t>
      </w:r>
      <w:r>
        <w:rPr>
          <w:rFonts w:hint="eastAsia" w:ascii="仿宋" w:hAnsi="仿宋" w:eastAsia="仿宋" w:cs="仿宋"/>
          <w:sz w:val="24"/>
        </w:rPr>
        <w:t>承诺的质保期起始时间为终验合格之日。</w:t>
      </w:r>
    </w:p>
    <w:p w14:paraId="6DA2FD9B">
      <w:pPr>
        <w:pStyle w:val="9"/>
        <w:spacing w:line="360" w:lineRule="auto"/>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3</w:t>
      </w:r>
      <w:r>
        <w:rPr>
          <w:rFonts w:hint="eastAsia" w:ascii="仿宋" w:hAnsi="仿宋" w:eastAsia="仿宋" w:cs="仿宋"/>
          <w:sz w:val="24"/>
          <w:lang w:eastAsia="zh-CN"/>
        </w:rPr>
        <w:t>）</w:t>
      </w:r>
      <w:r>
        <w:rPr>
          <w:rFonts w:hint="eastAsia" w:ascii="仿宋" w:hAnsi="仿宋" w:eastAsia="仿宋" w:cs="仿宋"/>
          <w:sz w:val="24"/>
        </w:rPr>
        <w:t>所有产品质量必须符合现行的国家标准或国家行政部门颁布的法律法规、规章制度等。没有国家标准的，可以参考行业标准。所有设备及辅材必须是未使用过的新产品，质量优良、渠道正当，配置合理。</w:t>
      </w:r>
    </w:p>
    <w:p w14:paraId="7CE48F5A">
      <w:pPr>
        <w:pStyle w:val="9"/>
        <w:spacing w:line="360" w:lineRule="auto"/>
        <w:ind w:firstLine="480" w:firstLineChars="200"/>
        <w:rPr>
          <w:rFonts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w:t>
      </w:r>
      <w:r>
        <w:rPr>
          <w:rFonts w:hint="eastAsia" w:ascii="仿宋" w:hAnsi="仿宋" w:eastAsia="仿宋" w:cs="仿宋"/>
          <w:sz w:val="24"/>
        </w:rPr>
        <w:t>质保期出现的质量问题由</w:t>
      </w:r>
      <w:r>
        <w:rPr>
          <w:rFonts w:hint="eastAsia" w:ascii="仿宋" w:hAnsi="仿宋" w:eastAsia="仿宋" w:cs="仿宋"/>
          <w:sz w:val="24"/>
          <w:lang w:eastAsia="zh-CN"/>
        </w:rPr>
        <w:t>乙方</w:t>
      </w:r>
      <w:r>
        <w:rPr>
          <w:rFonts w:hint="eastAsia" w:ascii="仿宋" w:hAnsi="仿宋" w:eastAsia="仿宋" w:cs="仿宋"/>
          <w:sz w:val="24"/>
        </w:rPr>
        <w:t>负责解决并承担所有费用。质保期后如需更换零部件，</w:t>
      </w:r>
      <w:r>
        <w:rPr>
          <w:rFonts w:hint="eastAsia" w:ascii="仿宋" w:hAnsi="仿宋" w:eastAsia="仿宋" w:cs="仿宋"/>
          <w:sz w:val="24"/>
          <w:lang w:eastAsia="zh-CN"/>
        </w:rPr>
        <w:t>乙方</w:t>
      </w:r>
      <w:r>
        <w:rPr>
          <w:rFonts w:hint="eastAsia" w:ascii="仿宋" w:hAnsi="仿宋" w:eastAsia="仿宋" w:cs="仿宋"/>
          <w:sz w:val="24"/>
        </w:rPr>
        <w:t>应以优惠价提供。</w:t>
      </w:r>
    </w:p>
    <w:p w14:paraId="626115A8">
      <w:pPr>
        <w:pStyle w:val="13"/>
        <w:spacing w:line="360" w:lineRule="auto"/>
        <w:outlineLvl w:val="1"/>
        <w:rPr>
          <w:rFonts w:hint="eastAsia" w:ascii="仿宋" w:hAnsi="仿宋" w:eastAsia="仿宋" w:cs="仿宋"/>
          <w:b/>
          <w:color w:val="auto"/>
          <w:highlight w:val="none"/>
        </w:rPr>
      </w:pPr>
      <w:r>
        <w:rPr>
          <w:rFonts w:hint="eastAsia" w:ascii="仿宋" w:hAnsi="仿宋" w:eastAsia="仿宋" w:cs="仿宋"/>
          <w:b/>
          <w:color w:val="auto"/>
          <w:highlight w:val="none"/>
        </w:rPr>
        <w:t>第六条 权利保证</w:t>
      </w:r>
      <w:bookmarkEnd w:id="65"/>
      <w:bookmarkEnd w:id="66"/>
      <w:bookmarkEnd w:id="67"/>
    </w:p>
    <w:p w14:paraId="64E8E07A">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1.乙方保证对其出售的货物享有合法的权利。</w:t>
      </w:r>
    </w:p>
    <w:p w14:paraId="5D4D9C0C">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2.乙方保证对其出售的货物上不存在任何未曾向甲方透露的担保物权，如抵押权、质押权、留置权。</w:t>
      </w:r>
    </w:p>
    <w:p w14:paraId="35350F18">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3.乙方保证对其出售的货物或其任何一部分没有侵犯第三方的专利权、版权、商标权或其他权利。</w:t>
      </w:r>
    </w:p>
    <w:p w14:paraId="14FF55D0">
      <w:pPr>
        <w:pStyle w:val="13"/>
        <w:spacing w:line="360" w:lineRule="auto"/>
        <w:ind w:firstLine="480" w:firstLineChars="200"/>
        <w:rPr>
          <w:rFonts w:hint="eastAsia" w:ascii="仿宋" w:hAnsi="仿宋" w:eastAsia="仿宋" w:cs="仿宋"/>
          <w:b/>
          <w:color w:val="auto"/>
          <w:highlight w:val="none"/>
        </w:rPr>
      </w:pPr>
      <w:r>
        <w:rPr>
          <w:rFonts w:hint="eastAsia" w:ascii="仿宋" w:hAnsi="仿宋" w:eastAsia="仿宋" w:cs="仿宋"/>
          <w:color w:val="auto"/>
          <w:highlight w:val="none"/>
        </w:rPr>
        <w:t>4.如甲方在使用该货物构成上述侵权的，则由乙方承担全部责任。</w:t>
      </w:r>
    </w:p>
    <w:p w14:paraId="056C1AB4">
      <w:pPr>
        <w:pStyle w:val="13"/>
        <w:spacing w:line="360" w:lineRule="auto"/>
        <w:outlineLvl w:val="1"/>
        <w:rPr>
          <w:rFonts w:hint="default" w:ascii="仿宋" w:hAnsi="仿宋" w:eastAsia="仿宋" w:cs="仿宋"/>
          <w:b/>
          <w:color w:val="auto"/>
          <w:highlight w:val="none"/>
          <w:lang w:val="en-US" w:eastAsia="zh-CN"/>
        </w:rPr>
      </w:pPr>
      <w:bookmarkStart w:id="68" w:name="_Toc31505"/>
      <w:bookmarkStart w:id="69" w:name="_Toc18410"/>
      <w:bookmarkStart w:id="70" w:name="_Toc31476"/>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七</w:t>
      </w:r>
      <w:r>
        <w:rPr>
          <w:rFonts w:hint="eastAsia" w:ascii="仿宋" w:hAnsi="仿宋" w:eastAsia="仿宋" w:cs="仿宋"/>
          <w:b/>
          <w:color w:val="auto"/>
          <w:highlight w:val="none"/>
        </w:rPr>
        <w:t>条 售后服务</w:t>
      </w:r>
      <w:bookmarkEnd w:id="68"/>
      <w:bookmarkEnd w:id="69"/>
      <w:bookmarkEnd w:id="70"/>
      <w:r>
        <w:rPr>
          <w:rFonts w:hint="eastAsia" w:ascii="仿宋" w:hAnsi="仿宋" w:eastAsia="仿宋" w:cs="仿宋"/>
          <w:b/>
          <w:color w:val="auto"/>
          <w:highlight w:val="none"/>
          <w:lang w:val="en-US" w:eastAsia="zh-CN"/>
        </w:rPr>
        <w:t>及培训</w:t>
      </w:r>
    </w:p>
    <w:p w14:paraId="600357B7">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1.</w:t>
      </w:r>
      <w:r>
        <w:rPr>
          <w:rFonts w:hint="eastAsia" w:ascii="仿宋" w:hAnsi="仿宋" w:eastAsia="仿宋" w:cs="仿宋"/>
          <w:color w:val="auto"/>
          <w:kern w:val="0"/>
          <w:highlight w:val="none"/>
        </w:rPr>
        <w:t>乙方应按照国家有关法律法规以及招标文件要求和投标文件的</w:t>
      </w:r>
      <w:r>
        <w:rPr>
          <w:rFonts w:hint="eastAsia" w:ascii="仿宋" w:hAnsi="仿宋" w:eastAsia="仿宋" w:cs="仿宋"/>
          <w:color w:val="auto"/>
          <w:kern w:val="0"/>
          <w:highlight w:val="none"/>
          <w:lang w:val="en-US" w:eastAsia="zh-CN"/>
        </w:rPr>
        <w:t>售后方案</w:t>
      </w:r>
      <w:r>
        <w:rPr>
          <w:rFonts w:hint="eastAsia" w:ascii="仿宋" w:hAnsi="仿宋" w:eastAsia="仿宋" w:cs="仿宋"/>
          <w:color w:val="auto"/>
          <w:kern w:val="0"/>
          <w:highlight w:val="none"/>
        </w:rPr>
        <w:t>提供服务。</w:t>
      </w:r>
    </w:p>
    <w:p w14:paraId="551A8407">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2.</w:t>
      </w:r>
      <w:r>
        <w:rPr>
          <w:rFonts w:hint="eastAsia" w:ascii="仿宋" w:hAnsi="仿宋" w:eastAsia="仿宋" w:cs="仿宋"/>
          <w:color w:val="auto"/>
          <w:kern w:val="0"/>
          <w:highlight w:val="none"/>
        </w:rPr>
        <w:t>乙方负责提供设备相应的技术资料，包括产品合格证、产品保修单、安装使用及维护说明书以及运输装箱清单等,并对所有技术材料的真实性、准确性、先进性、完整性负责。</w:t>
      </w:r>
    </w:p>
    <w:p w14:paraId="23EF4423">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3.</w:t>
      </w:r>
      <w:r>
        <w:rPr>
          <w:rFonts w:hint="eastAsia" w:ascii="仿宋" w:hAnsi="仿宋" w:eastAsia="仿宋" w:cs="仿宋"/>
          <w:color w:val="auto"/>
          <w:kern w:val="0"/>
          <w:highlight w:val="none"/>
        </w:rPr>
        <w:t>人员培训：乙方终身免费为甲方培训设备使用人员，培训内容包括：设备操作、维护、简单维修等。</w:t>
      </w:r>
    </w:p>
    <w:p w14:paraId="49728F6E">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lang w:val="en-US" w:eastAsia="zh-CN"/>
        </w:rPr>
        <w:t>4.</w:t>
      </w:r>
      <w:r>
        <w:rPr>
          <w:rFonts w:hint="eastAsia" w:ascii="仿宋" w:hAnsi="仿宋" w:eastAsia="仿宋" w:cs="仿宋"/>
          <w:color w:val="auto"/>
          <w:kern w:val="0"/>
          <w:highlight w:val="none"/>
        </w:rPr>
        <w:t>售后服务：质保期内乙方对甲方提出的服务响应不得超出</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小时。</w:t>
      </w:r>
    </w:p>
    <w:p w14:paraId="759B98B4">
      <w:pPr>
        <w:pStyle w:val="13"/>
        <w:spacing w:line="360" w:lineRule="auto"/>
        <w:outlineLvl w:val="1"/>
        <w:rPr>
          <w:rFonts w:hint="eastAsia" w:ascii="仿宋" w:hAnsi="仿宋" w:eastAsia="仿宋" w:cs="仿宋"/>
          <w:b/>
          <w:color w:val="auto"/>
          <w:highlight w:val="none"/>
        </w:rPr>
      </w:pPr>
      <w:bookmarkStart w:id="71" w:name="_Toc3919"/>
      <w:bookmarkStart w:id="72" w:name="_Toc28698"/>
      <w:bookmarkStart w:id="73" w:name="_Toc3711"/>
      <w:r>
        <w:rPr>
          <w:rFonts w:hint="eastAsia" w:ascii="仿宋" w:hAnsi="仿宋" w:eastAsia="仿宋" w:cs="仿宋"/>
          <w:b/>
          <w:color w:val="auto"/>
          <w:highlight w:val="none"/>
        </w:rPr>
        <w:t>第</w:t>
      </w:r>
      <w:r>
        <w:rPr>
          <w:rFonts w:hint="eastAsia" w:ascii="仿宋" w:hAnsi="仿宋" w:eastAsia="仿宋" w:cs="仿宋"/>
          <w:b/>
          <w:color w:val="auto"/>
          <w:highlight w:val="none"/>
          <w:lang w:val="en-US" w:eastAsia="zh-CN"/>
        </w:rPr>
        <w:t>八</w:t>
      </w:r>
      <w:r>
        <w:rPr>
          <w:rFonts w:hint="eastAsia" w:ascii="仿宋" w:hAnsi="仿宋" w:eastAsia="仿宋" w:cs="仿宋"/>
          <w:b/>
          <w:color w:val="auto"/>
          <w:highlight w:val="none"/>
        </w:rPr>
        <w:t>条 违约责任</w:t>
      </w:r>
      <w:bookmarkEnd w:id="71"/>
      <w:bookmarkEnd w:id="72"/>
      <w:bookmarkEnd w:id="73"/>
    </w:p>
    <w:p w14:paraId="010AF1DA">
      <w:pPr>
        <w:pStyle w:val="13"/>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1.甲方违约责任</w:t>
      </w:r>
    </w:p>
    <w:p w14:paraId="2F3CC37B">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（1）甲方无正当理由拒收货物的，甲方应偿付合同总价</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w:t>
      </w:r>
    </w:p>
    <w:p w14:paraId="37E317EF">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（2）甲方逾期支付货款的，除应及时付足货款外，应向乙方每天支付欠款总额</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的滞纳金；但累计滞纳金总额不超过欠款总额的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w:t>
      </w:r>
    </w:p>
    <w:p w14:paraId="38F406A0">
      <w:pPr>
        <w:pStyle w:val="13"/>
        <w:spacing w:line="360" w:lineRule="auto"/>
        <w:ind w:firstLine="480" w:firstLineChars="200"/>
        <w:outlineLvl w:val="9"/>
        <w:rPr>
          <w:rFonts w:hint="eastAsia" w:ascii="仿宋" w:hAnsi="仿宋" w:eastAsia="仿宋" w:cs="仿宋"/>
          <w:color w:val="auto"/>
          <w:highlight w:val="none"/>
        </w:rPr>
      </w:pPr>
      <w:r>
        <w:rPr>
          <w:rFonts w:hint="eastAsia" w:ascii="仿宋" w:hAnsi="仿宋" w:eastAsia="仿宋" w:cs="仿宋"/>
          <w:color w:val="auto"/>
          <w:highlight w:val="none"/>
        </w:rPr>
        <w:t>2.乙方违约责任</w:t>
      </w:r>
    </w:p>
    <w:p w14:paraId="63893669">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（1）如乙方不能交付货物，同时乙方应向甲方支付合同总价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w:t>
      </w:r>
    </w:p>
    <w:p w14:paraId="2234A3BB">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（2）乙方逾期交付货物的，每逾期1天，乙方向甲方偿付逾期交付部分货款总额的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none"/>
          <w:lang w:val="en-US" w:eastAsia="zh-CN"/>
        </w:rPr>
        <w:t>%</w:t>
      </w:r>
      <w:r>
        <w:rPr>
          <w:rFonts w:hint="eastAsia" w:ascii="仿宋" w:hAnsi="仿宋" w:eastAsia="仿宋" w:cs="仿宋"/>
          <w:color w:val="auto"/>
          <w:kern w:val="0"/>
          <w:sz w:val="24"/>
          <w:szCs w:val="24"/>
          <w:highlight w:val="none"/>
        </w:rPr>
        <w:t>的滞纳金。如乙方逾期交付达</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天，甲方有权解除合同，解除合同的通知自到达乙方时生效，乙方应向甲方支付合同总价的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%违约金，违约金不足以弥补甲方损失的，由乙方另行支付；</w:t>
      </w:r>
    </w:p>
    <w:p w14:paraId="764CBD64">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（3）乙方所交付的货物品种、型号、规格不符合合同规定的，甲方有权拒收。甲方拒收的，乙方应向甲方支付货款总额</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%的违约金，并按甲方要求予以免费更换；</w:t>
      </w:r>
    </w:p>
    <w:p w14:paraId="64D47F17">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（4）乙方货物经甲方送交具有法定资格条件的质量技术监督机构检测后，如检测结果认定货物质量不符合本合同规定标准的，则视为乙方没有按时交付而违约，乙方须在</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天内无条件更换合格的货物，如逾期不能更换合格的货物，甲方有权解除本合同，合同自书面解除通知到达乙方之日起解除，乙方应另向甲方支付货款总额的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%的违约金，违约金不足以弥补甲方损失的，由乙方另行支付；</w:t>
      </w:r>
    </w:p>
    <w:p w14:paraId="52F37348">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36643601">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（6）乙方未按本合同的规定和</w:t>
      </w:r>
      <w:r>
        <w:rPr>
          <w:rFonts w:hint="eastAsia" w:ascii="仿宋" w:hAnsi="仿宋" w:eastAsia="仿宋" w:cs="仿宋"/>
          <w:color w:val="auto"/>
          <w:kern w:val="0"/>
          <w:highlight w:val="none"/>
          <w:lang w:val="en-US" w:eastAsia="zh-CN"/>
        </w:rPr>
        <w:t>售后服务方案</w:t>
      </w:r>
      <w:r>
        <w:rPr>
          <w:rFonts w:hint="eastAsia" w:ascii="仿宋" w:hAnsi="仿宋" w:eastAsia="仿宋" w:cs="仿宋"/>
          <w:color w:val="auto"/>
          <w:kern w:val="0"/>
          <w:highlight w:val="none"/>
        </w:rPr>
        <w:t>提供伴随服务/售后服务的，应按合同总价款的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%向甲方承担违约责任；</w:t>
      </w:r>
    </w:p>
    <w:p w14:paraId="74839D00">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（7）乙方在承担上述1-7款一项或多项违约责任后，仍应继续履行合同规定的义务（甲方解除合同的除外）。甲方未能及时追究乙方的任何一项违约责任并不表明甲方放弃追究乙方该项或其他违约责任；</w:t>
      </w:r>
    </w:p>
    <w:p w14:paraId="18D71574">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（8）乙方偿付的违约金不足以弥补甲方损失的，还应按甲方损失尚未弥补的部分，支付赔偿金给甲方。</w:t>
      </w:r>
    </w:p>
    <w:p w14:paraId="3E76D7F4">
      <w:pPr>
        <w:widowControl/>
        <w:spacing w:line="360" w:lineRule="auto"/>
        <w:jc w:val="left"/>
        <w:outlineLvl w:val="1"/>
        <w:rPr>
          <w:rFonts w:hint="eastAsia" w:ascii="仿宋" w:hAnsi="仿宋" w:eastAsia="仿宋" w:cs="仿宋"/>
          <w:color w:val="auto"/>
          <w:kern w:val="0"/>
          <w:sz w:val="24"/>
          <w:szCs w:val="24"/>
          <w:highlight w:val="none"/>
        </w:rPr>
      </w:pPr>
      <w:bookmarkStart w:id="74" w:name="_Toc17126"/>
      <w:bookmarkStart w:id="75" w:name="_Toc27557"/>
      <w:bookmarkStart w:id="76" w:name="_Toc13805"/>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bookmarkEnd w:id="74"/>
      <w:bookmarkEnd w:id="75"/>
      <w:bookmarkEnd w:id="76"/>
    </w:p>
    <w:p w14:paraId="54D01A54">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p>
    <w:p w14:paraId="7CAA0FBE">
      <w:pPr>
        <w:widowControl/>
        <w:spacing w:line="360" w:lineRule="auto"/>
        <w:jc w:val="left"/>
        <w:outlineLvl w:val="1"/>
        <w:rPr>
          <w:rFonts w:hint="eastAsia" w:ascii="仿宋" w:hAnsi="仿宋" w:eastAsia="仿宋" w:cs="仿宋"/>
          <w:b/>
          <w:color w:val="auto"/>
          <w:kern w:val="0"/>
          <w:sz w:val="24"/>
          <w:szCs w:val="24"/>
          <w:highlight w:val="none"/>
        </w:rPr>
      </w:pPr>
      <w:bookmarkStart w:id="77" w:name="_Toc29986"/>
      <w:bookmarkStart w:id="78" w:name="_Toc13338"/>
      <w:bookmarkStart w:id="79" w:name="_Toc16869"/>
      <w:r>
        <w:rPr>
          <w:rFonts w:hint="eastAsia" w:ascii="仿宋" w:hAnsi="仿宋" w:eastAsia="仿宋" w:cs="仿宋"/>
          <w:b/>
          <w:color w:val="auto"/>
          <w:kern w:val="0"/>
          <w:sz w:val="24"/>
          <w:szCs w:val="24"/>
          <w:highlight w:val="none"/>
        </w:rPr>
        <w:t>第十条 争议的解决</w:t>
      </w:r>
      <w:bookmarkEnd w:id="77"/>
      <w:bookmarkEnd w:id="78"/>
      <w:bookmarkEnd w:id="79"/>
    </w:p>
    <w:p w14:paraId="4FB7135D">
      <w:pPr>
        <w:pStyle w:val="13"/>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1.因货物的质量问题发生争议，由质量技术监督部门或其指定的质量鉴定机构进行质量鉴定。货物符合标准的，鉴定费由甲方承担；货物不符合质量标准的，鉴定费由乙方承担。</w:t>
      </w:r>
    </w:p>
    <w:p w14:paraId="7A9C8250">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2.因履行本合同引起的或与本合同有关的争议，甲、乙双方应首先通过友好协商解决，如果协商不成，则采取以下第</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种方式解决争议：</w:t>
      </w:r>
    </w:p>
    <w:p w14:paraId="58AA937C">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（1）向甲方所在地有管辖权的人民法院提起诉讼；</w:t>
      </w:r>
    </w:p>
    <w:p w14:paraId="44947571">
      <w:pPr>
        <w:pStyle w:val="13"/>
        <w:spacing w:line="360" w:lineRule="auto"/>
        <w:ind w:firstLine="480" w:firstLineChars="200"/>
        <w:rPr>
          <w:rFonts w:hint="eastAsia" w:ascii="仿宋" w:hAnsi="仿宋" w:eastAsia="仿宋" w:cs="仿宋"/>
          <w:color w:val="auto"/>
          <w:kern w:val="0"/>
          <w:highlight w:val="none"/>
          <w:lang w:eastAsia="zh-CN"/>
        </w:rPr>
      </w:pPr>
      <w:r>
        <w:rPr>
          <w:rFonts w:hint="eastAsia" w:ascii="仿宋" w:hAnsi="仿宋" w:eastAsia="仿宋" w:cs="仿宋"/>
          <w:color w:val="auto"/>
          <w:kern w:val="0"/>
          <w:highlight w:val="none"/>
        </w:rPr>
        <w:t>（2）向</w:t>
      </w:r>
      <w:r>
        <w:rPr>
          <w:rFonts w:hint="eastAsia" w:ascii="仿宋" w:hAnsi="仿宋" w:eastAsia="仿宋" w:cs="仿宋"/>
          <w:color w:val="auto"/>
          <w:kern w:val="0"/>
          <w:highlight w:val="none"/>
          <w:u w:val="single"/>
          <w:lang w:val="en-US" w:eastAsia="zh-CN"/>
        </w:rPr>
        <w:t xml:space="preserve">     </w:t>
      </w:r>
      <w:r>
        <w:rPr>
          <w:rFonts w:hint="eastAsia" w:ascii="仿宋" w:hAnsi="仿宋" w:eastAsia="仿宋" w:cs="仿宋"/>
          <w:color w:val="auto"/>
          <w:kern w:val="0"/>
          <w:highlight w:val="none"/>
        </w:rPr>
        <w:t>仲裁委员会按其仲裁规则申请仲裁</w:t>
      </w:r>
      <w:r>
        <w:rPr>
          <w:rFonts w:hint="eastAsia" w:ascii="仿宋" w:hAnsi="仿宋" w:eastAsia="仿宋" w:cs="仿宋"/>
          <w:color w:val="auto"/>
          <w:kern w:val="0"/>
          <w:highlight w:val="none"/>
          <w:lang w:eastAsia="zh-CN"/>
        </w:rPr>
        <w:t>；</w:t>
      </w:r>
    </w:p>
    <w:p w14:paraId="79DB79CE">
      <w:pPr>
        <w:pStyle w:val="13"/>
        <w:spacing w:line="360" w:lineRule="auto"/>
        <w:ind w:firstLine="480" w:firstLineChars="200"/>
        <w:rPr>
          <w:rFonts w:hint="eastAsia" w:ascii="仿宋" w:hAnsi="仿宋" w:eastAsia="仿宋" w:cs="仿宋"/>
          <w:color w:val="auto"/>
          <w:kern w:val="0"/>
          <w:highlight w:val="none"/>
        </w:rPr>
      </w:pPr>
      <w:r>
        <w:rPr>
          <w:rFonts w:hint="eastAsia" w:ascii="仿宋" w:hAnsi="仿宋" w:eastAsia="仿宋" w:cs="仿宋"/>
          <w:color w:val="auto"/>
          <w:kern w:val="0"/>
          <w:highlight w:val="none"/>
        </w:rPr>
        <w:t>3.在诉讼期间，本合同应继续履行。</w:t>
      </w:r>
    </w:p>
    <w:p w14:paraId="5D3AB024">
      <w:pPr>
        <w:snapToGrid w:val="0"/>
        <w:spacing w:line="360" w:lineRule="auto"/>
        <w:textAlignment w:val="baseline"/>
        <w:outlineLvl w:val="1"/>
        <w:rPr>
          <w:rFonts w:hint="eastAsia" w:ascii="仿宋" w:hAnsi="仿宋" w:eastAsia="仿宋" w:cs="仿宋"/>
          <w:b/>
          <w:color w:val="auto"/>
          <w:sz w:val="24"/>
          <w:szCs w:val="24"/>
          <w:highlight w:val="none"/>
        </w:rPr>
      </w:pPr>
      <w:bookmarkStart w:id="80" w:name="_Toc26051"/>
      <w:bookmarkStart w:id="81" w:name="_Toc6911"/>
      <w:bookmarkStart w:id="82" w:name="_Toc24039"/>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一条</w:t>
      </w:r>
      <w:r>
        <w:rPr>
          <w:rFonts w:hint="eastAsia" w:ascii="仿宋" w:hAnsi="仿宋" w:eastAsia="仿宋" w:cs="仿宋"/>
          <w:color w:val="auto"/>
          <w:sz w:val="24"/>
          <w:szCs w:val="24"/>
          <w:highlight w:val="none"/>
        </w:rPr>
        <w:t xml:space="preserve"> </w:t>
      </w:r>
      <w:r>
        <w:rPr>
          <w:rFonts w:hint="eastAsia" w:ascii="仿宋" w:hAnsi="仿宋" w:eastAsia="仿宋" w:cs="仿宋"/>
          <w:b/>
          <w:color w:val="auto"/>
          <w:sz w:val="24"/>
          <w:szCs w:val="24"/>
          <w:highlight w:val="none"/>
        </w:rPr>
        <w:t>合同文件</w:t>
      </w:r>
      <w:bookmarkEnd w:id="80"/>
      <w:bookmarkEnd w:id="81"/>
      <w:bookmarkEnd w:id="82"/>
    </w:p>
    <w:p w14:paraId="540F28B5">
      <w:pPr>
        <w:snapToGrid w:val="0"/>
        <w:spacing w:line="360" w:lineRule="auto"/>
        <w:ind w:firstLine="48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346A530A">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C16D987">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2.中标通知书</w:t>
      </w:r>
      <w:r>
        <w:rPr>
          <w:rFonts w:hint="eastAsia" w:ascii="仿宋" w:hAnsi="仿宋" w:eastAsia="仿宋" w:cs="仿宋"/>
          <w:color w:val="auto"/>
          <w:sz w:val="24"/>
          <w:szCs w:val="24"/>
          <w:highlight w:val="none"/>
        </w:rPr>
        <w:tab/>
      </w:r>
    </w:p>
    <w:p w14:paraId="3ED4F802">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3.协议</w:t>
      </w:r>
    </w:p>
    <w:p w14:paraId="1248D093">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4.招标文件(含澄清或者修改文件)</w:t>
      </w:r>
    </w:p>
    <w:p w14:paraId="09703E2F">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5.投标文件</w:t>
      </w:r>
    </w:p>
    <w:p w14:paraId="120D4596">
      <w:pPr>
        <w:snapToGrid w:val="0"/>
        <w:spacing w:line="360" w:lineRule="auto"/>
        <w:outlineLvl w:val="1"/>
        <w:rPr>
          <w:rFonts w:hint="eastAsia" w:ascii="仿宋" w:hAnsi="仿宋" w:eastAsia="仿宋" w:cs="仿宋"/>
          <w:b/>
          <w:color w:val="auto"/>
          <w:kern w:val="0"/>
          <w:sz w:val="24"/>
          <w:szCs w:val="24"/>
          <w:highlight w:val="none"/>
        </w:rPr>
      </w:pPr>
      <w:bookmarkStart w:id="83" w:name="_Toc1382"/>
      <w:bookmarkStart w:id="84" w:name="_Toc13842"/>
      <w:bookmarkStart w:id="85" w:name="_Toc32342"/>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合同生效及其他</w:t>
      </w:r>
      <w:bookmarkEnd w:id="83"/>
      <w:bookmarkEnd w:id="84"/>
      <w:bookmarkEnd w:id="85"/>
    </w:p>
    <w:p w14:paraId="5529D856">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z w:val="24"/>
          <w:szCs w:val="24"/>
          <w:highlight w:val="none"/>
        </w:rPr>
        <w:t>如有未尽事宜，由双方依法订立补充合同，补充合同与本合同效力一致。</w:t>
      </w:r>
    </w:p>
    <w:p w14:paraId="13BF2EEF">
      <w:pPr>
        <w:snapToGrid w:val="0"/>
        <w:spacing w:line="360" w:lineRule="auto"/>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2.本合同自双方签字、盖章之日起生效。</w:t>
      </w:r>
    </w:p>
    <w:p w14:paraId="6D45C32F">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3.本合同一式</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份，具有同等法律效力，甲乙双方各执</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份。</w:t>
      </w:r>
    </w:p>
    <w:p w14:paraId="703EA01B">
      <w:pPr>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4.合同附件：技术协议、招标文件、投标文件、中标通知书</w:t>
      </w:r>
    </w:p>
    <w:p w14:paraId="38569208">
      <w:pPr>
        <w:spacing w:line="360" w:lineRule="auto"/>
        <w:ind w:firstLine="480" w:firstLineChars="200"/>
        <w:rPr>
          <w:rFonts w:hint="eastAsia" w:ascii="仿宋" w:hAnsi="仿宋" w:eastAsia="仿宋" w:cs="仿宋"/>
          <w:color w:val="auto"/>
          <w:sz w:val="24"/>
          <w:szCs w:val="24"/>
          <w:highlight w:val="none"/>
        </w:rPr>
      </w:pPr>
    </w:p>
    <w:p w14:paraId="2A8E0E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乙方：   （盖章）</w:t>
      </w:r>
    </w:p>
    <w:p w14:paraId="1579B3D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6D6B798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1622472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0FD08DA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                         账    号：</w:t>
      </w:r>
    </w:p>
    <w:p w14:paraId="2EA8F4F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0D4706D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18E2382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    年  月  日           签约日期：    年  月  日</w:t>
      </w:r>
    </w:p>
    <w:p w14:paraId="000127FF"/>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EEFF1E3-3901-42EF-80BB-9A1468638A7C}"/>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E0C96DF9-A6E3-4DA4-94BE-649B88702B47}"/>
  </w:font>
  <w:font w:name="仿宋">
    <w:panose1 w:val="02010609060101010101"/>
    <w:charset w:val="86"/>
    <w:family w:val="modern"/>
    <w:pitch w:val="default"/>
    <w:sig w:usb0="800002BF" w:usb1="38CF7CFA" w:usb2="00000016" w:usb3="00000000" w:csb0="00040001" w:csb1="00000000"/>
    <w:embedRegular r:id="rId3" w:fontKey="{47BCF805-9140-4D68-B17A-1A092C210BE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MzdlOGY2NDIzMWE3MGU0MzI2NDcwNWNiZjU3M2EifQ=="/>
  </w:docVars>
  <w:rsids>
    <w:rsidRoot w:val="38E42B80"/>
    <w:rsid w:val="020E02AA"/>
    <w:rsid w:val="031271CC"/>
    <w:rsid w:val="03DF3BE5"/>
    <w:rsid w:val="07E51AAD"/>
    <w:rsid w:val="0B1A04DC"/>
    <w:rsid w:val="0C0544CC"/>
    <w:rsid w:val="0FE47B20"/>
    <w:rsid w:val="109201E2"/>
    <w:rsid w:val="123F625E"/>
    <w:rsid w:val="17E72CD8"/>
    <w:rsid w:val="180B4E43"/>
    <w:rsid w:val="1D3C6D55"/>
    <w:rsid w:val="1EE05DE7"/>
    <w:rsid w:val="263C4B36"/>
    <w:rsid w:val="264913D7"/>
    <w:rsid w:val="26BA7A0A"/>
    <w:rsid w:val="2A7C59B7"/>
    <w:rsid w:val="2F95544C"/>
    <w:rsid w:val="321150C9"/>
    <w:rsid w:val="328422AA"/>
    <w:rsid w:val="33613CE8"/>
    <w:rsid w:val="33E4755F"/>
    <w:rsid w:val="354F3848"/>
    <w:rsid w:val="378E79E5"/>
    <w:rsid w:val="38E42B80"/>
    <w:rsid w:val="397078B6"/>
    <w:rsid w:val="3D0A09CF"/>
    <w:rsid w:val="3EB2121E"/>
    <w:rsid w:val="4EDE7C89"/>
    <w:rsid w:val="4FB97F09"/>
    <w:rsid w:val="56881917"/>
    <w:rsid w:val="56B31FEC"/>
    <w:rsid w:val="59F42A57"/>
    <w:rsid w:val="5CE31541"/>
    <w:rsid w:val="607A71B4"/>
    <w:rsid w:val="61984CBF"/>
    <w:rsid w:val="643B2AF7"/>
    <w:rsid w:val="672D34DB"/>
    <w:rsid w:val="6BF95CAB"/>
    <w:rsid w:val="6D8433DC"/>
    <w:rsid w:val="70427DDE"/>
    <w:rsid w:val="70695446"/>
    <w:rsid w:val="73920EBF"/>
    <w:rsid w:val="73D828EE"/>
    <w:rsid w:val="759A04FF"/>
    <w:rsid w:val="7A6723E9"/>
    <w:rsid w:val="7A6C1FF8"/>
    <w:rsid w:val="7ED3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5">
    <w:name w:val="heading 1"/>
    <w:basedOn w:val="1"/>
    <w:next w:val="1"/>
    <w:qFormat/>
    <w:uiPriority w:val="0"/>
    <w:pPr>
      <w:jc w:val="center"/>
      <w:outlineLvl w:val="0"/>
    </w:pPr>
    <w:rPr>
      <w:rFonts w:ascii="宋体" w:hAnsi="宋体"/>
      <w:b/>
      <w:sz w:val="36"/>
    </w:rPr>
  </w:style>
  <w:style w:type="paragraph" w:styleId="6">
    <w:name w:val="heading 2"/>
    <w:basedOn w:val="1"/>
    <w:next w:val="1"/>
    <w:qFormat/>
    <w:uiPriority w:val="0"/>
    <w:pPr>
      <w:spacing w:line="360" w:lineRule="auto"/>
      <w:jc w:val="center"/>
      <w:outlineLvl w:val="1"/>
    </w:pPr>
    <w:rPr>
      <w:rFonts w:ascii="Arial" w:hAnsi="Arial" w:eastAsia="黑体"/>
      <w:b/>
      <w:bCs/>
      <w:kern w:val="0"/>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7">
    <w:name w:val="Normal Indent"/>
    <w:basedOn w:val="1"/>
    <w:next w:val="1"/>
    <w:qFormat/>
    <w:uiPriority w:val="0"/>
    <w:pPr>
      <w:adjustRightInd w:val="0"/>
      <w:spacing w:line="312" w:lineRule="atLeast"/>
      <w:ind w:firstLine="420"/>
      <w:textAlignment w:val="baseline"/>
    </w:pPr>
    <w:rPr>
      <w:rFonts w:ascii="宋体"/>
      <w:kern w:val="0"/>
    </w:rPr>
  </w:style>
  <w:style w:type="paragraph" w:styleId="8">
    <w:name w:val="Body Text"/>
    <w:basedOn w:val="1"/>
    <w:next w:val="1"/>
    <w:qFormat/>
    <w:uiPriority w:val="0"/>
    <w:pPr>
      <w:spacing w:after="120"/>
    </w:pPr>
    <w:rPr>
      <w:rFonts w:ascii="Times New Roman" w:hAnsi="Times New Roman"/>
    </w:rPr>
  </w:style>
  <w:style w:type="paragraph" w:styleId="9">
    <w:name w:val="footer"/>
    <w:basedOn w:val="1"/>
    <w:qFormat/>
    <w:uiPriority w:val="0"/>
    <w:pPr>
      <w:tabs>
        <w:tab w:val="center" w:pos="4140"/>
        <w:tab w:val="right" w:pos="8300"/>
      </w:tabs>
      <w:snapToGrid w:val="0"/>
      <w:jc w:val="left"/>
    </w:pPr>
    <w:rPr>
      <w:rFonts w:ascii="Times New Roman" w:hAnsi="Times New Roman" w:cs="Times New Roman"/>
      <w:sz w:val="18"/>
    </w:rPr>
  </w:style>
  <w:style w:type="paragraph" w:styleId="1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customStyle="1" w:styleId="13">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4">
    <w:name w:val="标题 41"/>
    <w:basedOn w:val="1"/>
    <w:qFormat/>
    <w:uiPriority w:val="1"/>
    <w:pPr>
      <w:ind w:left="1745"/>
      <w:jc w:val="left"/>
      <w:outlineLvl w:val="4"/>
    </w:pPr>
    <w:rPr>
      <w:rFonts w:ascii="宋体" w:hAnsi="宋体"/>
      <w:kern w:val="0"/>
      <w:sz w:val="26"/>
      <w:szCs w:val="26"/>
      <w:lang w:eastAsia="en-US"/>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3045</Words>
  <Characters>3097</Characters>
  <Lines>0</Lines>
  <Paragraphs>0</Paragraphs>
  <TotalTime>7</TotalTime>
  <ScaleCrop>false</ScaleCrop>
  <LinksUpToDate>false</LinksUpToDate>
  <CharactersWithSpaces>3512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Kksky</cp:lastModifiedBy>
  <dcterms:modified xsi:type="dcterms:W3CDTF">2026-07-20T06:24:51Z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20605BE164B44E3D8AFF7365547465CE_13</vt:lpwstr>
  </property>
  <property fmtid="{D5CDD505-2E9C-101B-9397-08002B2CF9AE}" pid="4" name="KSOTemplateDocerSaveRecord">
    <vt:lpwstr>eyJoZGlkIjoiYTk4NTQ2ODdjMjBhMzVkNGQ2YjMyZDI3Y2ZmOGMwODgiLCJ1c2VySWQiOiIyODMxOTY2MjcifQ==</vt:lpwstr>
  </property>
</Properties>
</file>