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D190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r>
        <w:rPr>
          <w:rFonts w:hint="eastAsia" w:ascii="宋体" w:hAnsi="宋体" w:eastAsia="宋体" w:cs="宋体"/>
          <w:b/>
          <w:bCs/>
          <w:i w:val="0"/>
          <w:iCs w:val="0"/>
          <w:caps w:val="0"/>
          <w:color w:val="333333"/>
          <w:spacing w:val="0"/>
          <w:sz w:val="39"/>
          <w:szCs w:val="39"/>
          <w:bdr w:val="none" w:color="auto" w:sz="0" w:space="0"/>
          <w:shd w:val="clear" w:fill="FFFFFF"/>
        </w:rPr>
        <w:t>磋商项目技术、服务、商务及其他要求</w:t>
      </w:r>
    </w:p>
    <w:p w14:paraId="40EDB3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EC6AFE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446FFF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本项目改造未央宫、张家堡街道7个小区，共12栋楼，涉及679户，总建筑面积6.84万平方米相配套的基础设施，主要包括：在小区内改造道路整治11188.32平方米、道牙更新2684.50米、铺装整治5030.47平方米、雨污分流3957.39米、化粪池、渗井6个、落水管1374米、冷凝水管2061米、弱电线缆3142.26米、微型消防站9.00套、灭火器229.00套、生活垃圾分类收集点8.00套、建筑外立面粉刷27826.44平方米、防护网及私设外伸阳台遮阳棚拆除4335.39平方米、新增一层防护网1445.13平方米、防攀爬网1605.70米、空调外机规整1374套、空调百叶4122平方米、散水修复2094.84平方米、楼体标识标牌45套、屋面防水改造13267.29平方米、屋面架空板拆除2653.46立方米、清除楼道堆积物35单元、规整楼道各类线缆1374米、楼道墙面粉刷16762.80平方米、楼道窗更新515.25平方米、楼梯扶手修缮1832米、楼道灯更换264套、清除堆积垃圾、僵尸车150立方米、小区绿化改造5286.44平方米、小区庭院灯、照明设施68套、适老化与无障碍设施39处、自行车棚902.01平方米、门房改造187.64平方米、社区及管理用房845.72平方米、智能快件箱、智能信报箱1套、宣传栏8套、室外景观坐凳19套、石桌凳8套、健身器材16套、建筑节能改造8844.86平方米、建筑室内排水改造6183米、大门7个、小区围墙4936.38平方米、小区安全防护系统58路、单元门禁系统35樘等基础设施。在小区外改造小区与城市主干网衔接的市政道路衔接544.89平方米、市政管网衔接195米等城镇基础设施。本次采购内容为根据区域划分的范围和要求，为老旧小区改造项目提供施工图设计，配合并促进采购人完成改造目标；各项服务符合国家、省、市（行业）强制性标准及采购人要求的合格标准。</w:t>
      </w:r>
    </w:p>
    <w:p w14:paraId="13AB6D1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3.2服务内容及服务要求</w:t>
      </w:r>
    </w:p>
    <w:p w14:paraId="2EE2D2C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3.2.1服务内容</w:t>
      </w:r>
    </w:p>
    <w:p w14:paraId="6B3D82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A9826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344,200.00</w:t>
      </w:r>
    </w:p>
    <w:p w14:paraId="66AF2C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344,200.00</w:t>
      </w:r>
    </w:p>
    <w:p w14:paraId="12C955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47456A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84"/>
        <w:gridCol w:w="3151"/>
        <w:gridCol w:w="481"/>
        <w:gridCol w:w="963"/>
        <w:gridCol w:w="481"/>
        <w:gridCol w:w="481"/>
        <w:gridCol w:w="481"/>
        <w:gridCol w:w="481"/>
        <w:gridCol w:w="481"/>
        <w:gridCol w:w="481"/>
        <w:gridCol w:w="481"/>
      </w:tblGrid>
      <w:tr w14:paraId="54695A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97F34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B8C4A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45F62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58EED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EF200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13AF7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8D17B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D7428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CD9A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6F256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9DBE5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0F979C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A44B5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BB96D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西安市未央区农垦花园小区等城镇老旧小区改造提升项目施工图设计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378435">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3D4B18">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344,200.00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F9DAA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8D98A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705576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28902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6F7D9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24CAD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E726A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r>
    </w:tbl>
    <w:p w14:paraId="0322586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3.2.2服务要求</w:t>
      </w:r>
    </w:p>
    <w:p w14:paraId="306E72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64717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标的名称：西安市未央区农垦花园小区等城镇老旧小区改造提升项目施工图设计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246C83E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73FCD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138120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0B434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6E80EAE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0B376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373B6E">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84E3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ascii="仿宋" w:hAnsi="仿宋" w:eastAsia="仿宋" w:cs="仿宋"/>
                <w:color w:val="000000"/>
                <w:sz w:val="23"/>
                <w:szCs w:val="23"/>
                <w:bdr w:val="none" w:color="auto" w:sz="0" w:space="0"/>
              </w:rPr>
              <w:t>1.服务内容(包含但不限于)：</w:t>
            </w:r>
          </w:p>
          <w:p w14:paraId="113F2B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（1）编制施工图设计方案及文本说明。</w:t>
            </w:r>
          </w:p>
          <w:p w14:paraId="24E6AD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（2）编制施工图设计图纸。</w:t>
            </w:r>
          </w:p>
          <w:p w14:paraId="677BB6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（3）审查项目过程资料(说明、图纸、材料表、数据等)及成果资料的汇编整理。</w:t>
            </w:r>
          </w:p>
          <w:p w14:paraId="348333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（4）项目实施期间有关其他配合的服务。</w:t>
            </w:r>
          </w:p>
          <w:p w14:paraId="485622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技术要求：具备施工图设计的技术力量和经验，采取科学、严谨、针对性强的执行方案，按照国家法律法规的有关规定及操作规程做好项目的施工图设计，标准符合国家有关工程建设标准强制性条文和建设部门关于道路建设工程的标准、规范、规程、定额、办法、示例以及采购人要求，技术规范包括但不限于：</w:t>
            </w:r>
          </w:p>
          <w:p w14:paraId="6ADD58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《陕西省城市设计标准》DBJ61/T128-2018</w:t>
            </w:r>
          </w:p>
          <w:p w14:paraId="2AD41A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《老旧小区有机更新改造技术导则》（2016年10月）</w:t>
            </w:r>
          </w:p>
          <w:p w14:paraId="18A3BC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《城市旧居住区综合改造技术标准》TCSUS04-2019</w:t>
            </w:r>
          </w:p>
          <w:p w14:paraId="0EF458F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《建筑装饰装修工程质量验收标准》GB50210-2018</w:t>
            </w:r>
          </w:p>
          <w:p w14:paraId="38B28F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《建筑外墙防水工程技术规程》JGJ/T235-2011</w:t>
            </w:r>
          </w:p>
          <w:p w14:paraId="7EF2B2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《建筑节能与可再生能源利用通用规范》GB55015-2021</w:t>
            </w:r>
          </w:p>
          <w:p w14:paraId="6651D7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《民用建筑设计统一标准》GB50352-2019</w:t>
            </w:r>
          </w:p>
          <w:p w14:paraId="6262DB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《建筑照明设计标准》GB/T50034-2024</w:t>
            </w:r>
          </w:p>
          <w:p w14:paraId="5CCB1F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《民用建筑电气设计标准》GB51348-2019</w:t>
            </w:r>
          </w:p>
          <w:p w14:paraId="524574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《建筑电气与智能化通用规范》GB55024-2022</w:t>
            </w:r>
          </w:p>
          <w:p w14:paraId="6ED593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《住宅建筑电气设计规范》JGJ242-2011</w:t>
            </w:r>
          </w:p>
          <w:p w14:paraId="7D9974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《建筑与小区雨水控制及利用工程技术规范》GB50400-2016</w:t>
            </w:r>
          </w:p>
          <w:p w14:paraId="1AFE3E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《建筑给水排水设计标准》GB50015-2019</w:t>
            </w:r>
          </w:p>
          <w:p w14:paraId="0E7A31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《城市旧居住区综合改造技术标准》TCSUS04-2019</w:t>
            </w:r>
          </w:p>
          <w:p w14:paraId="18FFD0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《安全防范工程通用规范》GB55029-2022</w:t>
            </w:r>
          </w:p>
          <w:p w14:paraId="2E53E3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其他相关规标准。</w:t>
            </w:r>
          </w:p>
          <w:p w14:paraId="4B9C4D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3.设计原则及要求：做到科学严谨、技术合理、经济合算、实施可靠，按不低于我市基础设施的平均水平实施的施工图设计，保证老旧小区改造流程和步骤符合标准、正常实施。</w:t>
            </w:r>
          </w:p>
          <w:p w14:paraId="65DB9D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4.进度要求：通过采取组织、技术、经济等控制措施将项目实施进度控制在采购人所要求的合理时间节点内。</w:t>
            </w:r>
          </w:p>
          <w:p w14:paraId="014D7D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5.成果要求：（1）成果内容应完整真实、科学严谨、思路清晰、具有代表性，综合考虑老旧小区改造的功能和安全，提出建设性规划和可行性改造方案，符合新形势、新变化、新发展下改造目标。</w:t>
            </w:r>
          </w:p>
          <w:p w14:paraId="3AEAC8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成果文件包括：图纸和其他它技术资料，并提供装有全部设计资料等，所有成果初稿完成后应按采购人提出的审查意见和修改意见进行修改，直至获得有关主管部门审批通过，本项目所完成的编制成果的所有权、知识产权归采购人。</w:t>
            </w:r>
          </w:p>
          <w:p w14:paraId="0FCE0A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（3）所有提供资料包括：①纸质成果印刷一份；②电子成果为与纸质成果相对应的电子文档（pdf格式）。</w:t>
            </w:r>
          </w:p>
          <w:p w14:paraId="799FDC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6.服务要求：（1）服务方须指派专属人员与采购人联系服务事宜，服务响应时间应根据采购人实际安排随时调整。</w:t>
            </w:r>
          </w:p>
          <w:p w14:paraId="61621A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（2）服务方需根据服务实际情况编制服务方案、管理方案、服务计划、重点难点分析、质量控制、造价控制、后续服务及有利于采购人的合理化建议等方案措施。</w:t>
            </w:r>
          </w:p>
          <w:p w14:paraId="3D8F8F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（3）服务过程中，严格遵守各种管理规定及规章制度，做到奉公守法、诚实守信、廉洁自律、安全文明；服务过程中如发生工伤及意外事故由服务单位负责。</w:t>
            </w:r>
          </w:p>
          <w:p w14:paraId="1B4D79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（4）服务方拟投入的服务人员对于在工作中获悉的一切政府工作的信息应严格保守秘密，不得泄露；对于违反者，给采购人单位造成不良社会影响的，或给采购人单位造成损失的，由服务方承担赔偿责任。</w:t>
            </w:r>
          </w:p>
          <w:p w14:paraId="351728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（5）严格按照国家、陕西省、西安市有关规定及采购人要求进行服务，不得随意更改或者变换服务内容，每项服务内容实施前应事先取得采购人的落实后方可实施。</w:t>
            </w:r>
          </w:p>
          <w:p w14:paraId="1CD223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（6）配合促进采购人安排的其他相关工作。</w:t>
            </w:r>
          </w:p>
          <w:p w14:paraId="448A28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7.服务标准：（1）各项服务符合国家、省、市（行业）强制性标准及采购人要求的合格标准。</w:t>
            </w:r>
          </w:p>
          <w:p w14:paraId="0344F8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3"/>
                <w:szCs w:val="23"/>
                <w:bdr w:val="none" w:color="auto" w:sz="0" w:space="0"/>
              </w:rPr>
              <w:t>（2）服务、产品（如有）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tc>
      </w:tr>
    </w:tbl>
    <w:p w14:paraId="26DF272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3.2.3人员配置要求</w:t>
      </w:r>
    </w:p>
    <w:p w14:paraId="0D3B64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AC43E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服务要求及特性，自行配置履行合同所必需的专业服务团队(不限于项目负责人、管理人员、技术人员、设计人员、编制人员、辅助人员等)，自行组织实施与管理，相关人员经过严格培训，具有相关工作经验，技术水平高、能够胜任项目工作。服务队伍稳定，保证整个项目顺利完成，服务方未经采购人同意，不得擅自更换本项目在响应文件中指定的服务队伍。</w:t>
      </w:r>
    </w:p>
    <w:p w14:paraId="41236BF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3.2.4设施设备要求</w:t>
      </w:r>
    </w:p>
    <w:p w14:paraId="3788C0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577B5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服务商根据项目特性及要求，自行配置投入履行合同所必需的各类设施设备(不限于专业设备、辅助设备、工具、软件等)，保证项目顺利实施。</w:t>
      </w:r>
    </w:p>
    <w:p w14:paraId="25DCF97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3.2.5其他要求</w:t>
      </w:r>
    </w:p>
    <w:p w14:paraId="13B0DB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511AC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按总价进行报价。是供应商响应磋商项目要求的全部工作内容的价格体现，包括供应商完成本项目所需的直接费用、间接费、利润、税金及其它相关的一切费用，包括但不限于：设计费、人工费、设备使用费、资料费、管理费、评审费、利润、税金及不可预见费等全部费用；在提供服务的过程中的任何遗漏，均由成交供应商免费提供，采购人将不再支付任何费用。 （二）本项目标的所属行业为： 其他未列明行业 （从业人员300人以下的为中小微型企业。其中，从业人员100人及以上的为中型企业；从业人员10人及以上的为小型企业；从业人员10人以下的为微型企业）。</w:t>
      </w:r>
    </w:p>
    <w:p w14:paraId="4E31F2A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3.3商务要求</w:t>
      </w:r>
    </w:p>
    <w:p w14:paraId="354FA1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3.3.1服务期限</w:t>
      </w:r>
    </w:p>
    <w:p w14:paraId="5E51BE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1FAFFF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自合同签订生效之日起30日历天。</w:t>
      </w:r>
    </w:p>
    <w:p w14:paraId="058FA95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3.3.2服务地点</w:t>
      </w:r>
    </w:p>
    <w:p w14:paraId="766BCE4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D4BAF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西安市未央区住房和城市建设局(具体按采购人指定地点)</w:t>
      </w:r>
    </w:p>
    <w:p w14:paraId="7812F0E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3.3.3考核（验收）标准和方法</w:t>
      </w:r>
    </w:p>
    <w:p w14:paraId="4BF15E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0B67B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现行的国家标准或国家行政部门颁布的法律法规、规章制度等，是项目验收的另一个重要依据。没有国家标准的，可以参考行业标准。采购人根据磋商文件、合同等相关文件，进行验收，确认服务内容、服务标准和服务方式等是否达到采购要求。服务商须接受采购人对相关服务的各类考核或检查；若服务结果验收不通过或质量不符合采购要求，服务商应在一定期限内以采购人要求的标准进行整改或完善，并再次进行考核或检查，若服务商在接受检查整改后最终仍未按要求提供符合要求的服务，采购人有权按违约予以撤项，由此产生的一切责任和费用均由服务商承担，具体按拟签订采购合同相关条款执行。</w:t>
      </w:r>
    </w:p>
    <w:p w14:paraId="4B5039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3.3.4支付方式</w:t>
      </w:r>
    </w:p>
    <w:p w14:paraId="5C2E27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35C9CF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分期付款</w:t>
      </w:r>
    </w:p>
    <w:p w14:paraId="106D61F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3.3.5支付约定</w:t>
      </w:r>
    </w:p>
    <w:p w14:paraId="1C7F6C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003EF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进度款，合同签订后，服务方提供经采购人评审后的施工图设计成果(付款前服务方应出具等值发票交至采购人，采购人以银行转账方式支付)后，达到付款条件起10个工作日内，支付合同总金额的40.0%</w:t>
      </w:r>
    </w:p>
    <w:p w14:paraId="248CF8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2、 其他，工程竣工验收完成(付款前服务方应出具等值发票交至采购人，采购人以银行转账方式支付，其他具体按拟定合同相关条款执行)后，达到付款条件起10个工作日内，支付合同总金额的60.0%</w:t>
      </w:r>
    </w:p>
    <w:p w14:paraId="7BFA60E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3.3.6违约责任及解决争议的方法</w:t>
      </w:r>
    </w:p>
    <w:p w14:paraId="505432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BD55E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具体按拟签订采购合同相关条款执行。</w:t>
      </w:r>
    </w:p>
    <w:p w14:paraId="2A10BCB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3.4其他要求</w:t>
      </w:r>
    </w:p>
    <w:p w14:paraId="29AF84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(一)磋商有效期： 1.出现特殊情况需要延长磋商有效期的，采购代理机构或采购人可于磋商有效期满之前，以书面形式通知所有供应商延长磋商有效期。 2.在磋商有效期内，供应商撤销响应文件的，应承担磋商文件和法律规定的责任。 3.成交供应商的磋商有效期自动延长至合同终止为止。 (二)合格供应商少于</w:t>
      </w:r>
      <w:bookmarkStart w:id="0" w:name="_GoBack"/>
      <w:bookmarkEnd w:id="0"/>
      <w:r>
        <w:rPr>
          <w:rFonts w:hint="eastAsia" w:ascii="宋体" w:hAnsi="宋体" w:eastAsia="宋体" w:cs="宋体"/>
          <w:i w:val="0"/>
          <w:iCs w:val="0"/>
          <w:caps w:val="0"/>
          <w:color w:val="0A82E5"/>
          <w:spacing w:val="0"/>
          <w:sz w:val="18"/>
          <w:szCs w:val="18"/>
          <w:bdr w:val="none" w:color="auto" w:sz="0" w:space="0"/>
          <w:shd w:val="clear" w:fill="FFFFFF"/>
        </w:rPr>
        <w:t>3家的处理： 1.评审过程中，若出现合格供应商只有2家时，符合《政府采购竞争性磋商采购方式管理暂行办法》第3条第4项情形的，或者本项目为政府购买服务指导性目录中的，可以继续进行；只有1家时，采购人应依法重新组织采购活动。 2.评审过程中，除符合第1条条款规定情形外，若出现合格供应商少于3家时，采购人应依法重新组织采购活动。 (三)分公司独立参与磋商时，不能使用总公司的资质或业绩；总公司授权分公司或分支机构参与磋商，可以使用总公司的资质或业绩。总公司单独参与磋商时，可以使用分公司的业绩，在相关资质证书的管理要求和适用范围内可以使用分公司资质。 (四)供应商的电子响应文件中的所有文字资料、图纸、数据、方案、证书、检测报告等响应内容应清晰可辨，表达意思统一，便于查找，供应商自行承担资料模糊不清、无法辨认的不利后果。 (五)文件中签名是指：手写签名或加盖签名章（含电子章、印章、签名章），盖章是指加盖单位公章（含电子章）。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097BDA0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5C2D21"/>
    <w:rsid w:val="675C2D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2026-06-23T10:25:00Z</dcterms:created>
  <dc:creator>杜航</dc:creator>
  <cp:lastModifiedBy>杜航</cp:lastModifiedBy>
  <dcterms:modified xsi:type="dcterms:W3CDTF">2026-06-23T10:25:39Z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79FFBB79F60042DB89C01938645267EA_11</vt:lpwstr>
  </property>
  <property fmtid="{D5CDD505-2E9C-101B-9397-08002B2CF9AE}" pid="4" name="KSOTemplateDocerSaveRecord">
    <vt:lpwstr>eyJoZGlkIjoiNGVjNGI1ZWQxMDUyODY5ZDAxOTAyNjljNjE1NWUwNGQiLCJ1c2VySWQiOiIzMDgwODY2MDYifQ==</vt:lpwstr>
  </property>
</Properties>
</file>