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版本号：JXRC-26072420260730001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超声回波测量系统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超声回波测量系统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超声回波测量系统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本项目旨在建设一套面向油气储运过程的多参数储罐运输晃动模拟与测试系统，突破传统单点液位测量的局限，运用超声回波高分辨率瞬态流速探测、多自由度晃动模拟及光纤罐壁形变监测等先进手段，实现储罐运输晃动工况下内部流场响应及罐体结构形变的同步精细化测量，为储罐晃动动力学机理研究提供高保真实验数据；构建多参数耦合的实验测试能力，支撑储罐运输晃动过程中的流动保障、结构安全及控制策略研究。为核心课程提供高水平的实验教学平台，提升学生的工程实践能力与创新思维。项目的实施将为深化储罐晃动理论认知、推动储运装备安全技术升级以及培养高素质油气储运人才提供有力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开户银行：民生银行西安分行营业部（备注：转账时须附言“260724谈判保证金”）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超声回波测量系统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标的名称：超声回波测量系统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87"/>
              <w:gridCol w:w="208"/>
              <w:gridCol w:w="2058"/>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参数性质</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技术参数与性能指标</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总体要求</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整体为钢制框架形式，包含实验平台、储罐模型、超声测量及数据采集等组件。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装置接口：预留外接水、强弱电接口。</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材料：304不锈钢。框架、台面及支撑采用碳钢(需做防锈处理)或铝合金。</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配电：控制箱内置强、弱电（含控制面板），各用电设备分组可控。</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实验平台</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垂直、水平振动；设计承载≥200kg；平台尺寸≥1500mm×1500mm。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振动加速度≥20g；振动频率≥2000Hz；台面固定螺栓空位≥12个。</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自定义垂直、水平振动位移、频率；预先录入时域振动数据（时长≥1000s）；预置符合国标道路运输、航空运输、船舶运输振动谱。</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振动传感器：3轴传感器2个，量程≥50g；采样频率≥2000Hz，精度≤1mg，支持RS485协议，防护等级IP65。</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储罐模型</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304</w:t>
                  </w:r>
                  <w:r>
                    <w:rPr>
                      <w:rFonts w:ascii="仿宋_GB2312" w:hAnsi="仿宋_GB2312" w:cs="仿宋_GB2312" w:eastAsia="仿宋_GB2312"/>
                      <w:sz w:val="20"/>
                      <w:color w:val="000000"/>
                    </w:rPr>
                    <w:t>不锈钢材质；椭圆封头卧式罐，容积≥150L；外轮廓≥1500mm×500mm×500mm，壁厚≥3mm。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内部具备可拆卸纵、横挡油板（纵隔板1片，横隔板2片）；配备顶部人孔、上下水接管；鞍座配备可调刚度隔振器。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罐壁布置≥1个超声瞬态流速探头测点、≥4个光纤光栅应变传感器测点。</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超声测量及数据采集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超声瞬态流速探头1个：2维速度剖面采样率≥1000Hz；剖面分层层数≥2000层；剖面分层分辨率≤0.4mm。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超声瞬态流速探头NDT检测范围（无损剖面测量深度）50～200mm（水环境下），响应时间≤250ms。</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超声瞬态流速探头流动速度分辨率≤0.1mm/s；速度精度≤1%（测量值）；测量速度≥50m/s；数据采样数≥200万/s。</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超声瞬态流速探头探头尺寸≤2cm（直径）；探头超声频率≥2MHz；脉冲重复频率≥250Hz；纵向空间分辨率≤0.2mm。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光纤光栅应变传感器</w:t>
                  </w:r>
                  <w:r>
                    <w:rPr>
                      <w:rFonts w:ascii="仿宋_GB2312" w:hAnsi="仿宋_GB2312" w:cs="仿宋_GB2312" w:eastAsia="仿宋_GB2312"/>
                      <w:sz w:val="20"/>
                      <w:color w:val="000000"/>
                    </w:rPr>
                    <w:t>≥8通道</w:t>
                  </w:r>
                  <w:r>
                    <w:rPr>
                      <w:rFonts w:ascii="仿宋_GB2312" w:hAnsi="仿宋_GB2312" w:cs="仿宋_GB2312" w:eastAsia="仿宋_GB2312"/>
                      <w:sz w:val="20"/>
                      <w:color w:val="000000"/>
                    </w:rPr>
                    <w:t>；分辨率≤lμε；精度≤0.1%F.S；量程±5000με。</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光纤光栅解调仪1台：测量通道数</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路；波长范围</w:t>
                  </w:r>
                  <w:r>
                    <w:rPr>
                      <w:rFonts w:ascii="仿宋_GB2312" w:hAnsi="仿宋_GB2312" w:cs="仿宋_GB2312" w:eastAsia="仿宋_GB2312"/>
                      <w:sz w:val="20"/>
                      <w:color w:val="000000"/>
                    </w:rPr>
                    <w:t>≥</w:t>
                  </w:r>
                  <w:r>
                    <w:rPr>
                      <w:rFonts w:ascii="仿宋_GB2312" w:hAnsi="仿宋_GB2312" w:cs="仿宋_GB2312" w:eastAsia="仿宋_GB2312"/>
                      <w:sz w:val="20"/>
                      <w:color w:val="000000"/>
                    </w:rPr>
                    <w:t>40nm</w:t>
                  </w:r>
                  <w:r>
                    <w:rPr>
                      <w:rFonts w:ascii="仿宋_GB2312" w:hAnsi="仿宋_GB2312" w:cs="仿宋_GB2312" w:eastAsia="仿宋_GB2312"/>
                      <w:sz w:val="20"/>
                      <w:color w:val="000000"/>
                    </w:rPr>
                    <w:t>；波长分辨率≤1pm；扫描频率：</w:t>
                  </w:r>
                  <w:r>
                    <w:rPr>
                      <w:rFonts w:ascii="仿宋_GB2312" w:hAnsi="仿宋_GB2312" w:cs="仿宋_GB2312" w:eastAsia="仿宋_GB2312"/>
                      <w:sz w:val="20"/>
                      <w:color w:val="000000"/>
                    </w:rPr>
                    <w:t>0</w:t>
                  </w:r>
                  <w:r>
                    <w:rPr>
                      <w:rFonts w:ascii="仿宋_GB2312" w:hAnsi="仿宋_GB2312" w:cs="仿宋_GB2312" w:eastAsia="仿宋_GB2312"/>
                      <w:sz w:val="20"/>
                      <w:color w:val="000000"/>
                    </w:rPr>
                    <w:t>～1000Hz，含数据采集分析软件。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4.7</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数据终端（≥16物理核心，≥64G内存，≥2T固态硬盘，独立显卡，≥8G，≥24英寸显示终端）。</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备注：1、以上所有技术指标必须满足要求没有负偏离，否则按无效文件处理；</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带●的技术参数与性能指标需要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其他，合同签订后，供应商开具预付款等额银行保函，采购人收到银行保函正本后10个工作日内支付预付款，最多支付至60万元， 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（1）供应商按照技术要求逐条验收，验收以最终验收为准；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保修期：卖方提供3年的免费保修,保修期自仪器验收签字之日起计算。保修期间维修及零件更换费用由厂家负担。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1、培训要求：按照采购人要求提供该设备相应的技术培训。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jxrc_001@163.com（邮件命名：项目编号）。保函必须由具有开具投标保函资格的单位开具；若供应商违约，开具保函单位承担连带责任； 4、成交供应商应在中标结果发布后2日内提供与电子化交易平台上传一致的纸质投标文件2份。 5、场地基础承载要求（如涉及）：供应商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无沉降、空鼓、开裂缺陷；若现场原有地面承载力不满足安装条件，中标单位须免费提供地面加固、承重基座制作全套施工方案并完成施工，所有施工材料、人工、检测费用全部包含在投标总价内。 6、整机就位、调平与减震安装要求（如涉及）：设备进场就位后，成交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7、质保期内成交供应商提供免费搬迁和安装调试1次，本次搬迁和安装调试过程中所产生的一切费用由成交供应商承担；本次搬迁和安装调试过程中仪器出现的一切故障和损坏由成交供应商免费修复。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会计师事务所审计并通过注册会计师行业统一监管平台备案赋码的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合同签订后，供应商开具预付款等额银行保函，采购人收到银行保函正本后10个工作日内支付预付款，最多支付至60万元， 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所有技术参数为实质性响应条款，●号项须提供相应佐证材料，未提供或虽提供但不符合的按无效文件处理。</w:t>
            </w:r>
          </w:p>
        </w:tc>
        <w:tc>
          <w:tcPr>
            <w:tcW w:type="dxa" w:w="1661"/>
          </w:tcPr>
          <w:p>
            <w:pPr>
              <w:pStyle w:val="null3"/>
            </w:pPr>
            <w:r>
              <w:rPr>
                <w:rFonts w:ascii="仿宋_GB2312" w:hAnsi="仿宋_GB2312" w:cs="仿宋_GB2312" w:eastAsia="仿宋_GB2312"/>
              </w:rPr>
              <w:t>响应文件封面 谈判方案 技术响应偏离表 供应商基本信息 供应商企业关联关系说明书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