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版本号：ZZXH-HZ-06920260818002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2026年西乡县茶镇南沟村与石泉县后柳村产业路建设项目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ZZXH-HZ-069</w:t>
      </w:r>
      <w:r>
        <w:br/>
      </w:r>
      <w:r>
        <w:br/>
      </w:r>
      <w:r>
        <w:br/>
      </w:r>
    </w:p>
    <w:p>
      <w:pPr>
        <w:pStyle w:val="null3"/>
        <w:jc w:val="center"/>
        <w:outlineLvl w:val="2"/>
      </w:pPr>
      <w:r>
        <w:rPr>
          <w:rFonts w:ascii="仿宋_GB2312" w:hAnsi="仿宋_GB2312" w:cs="仿宋_GB2312" w:eastAsia="仿宋_GB2312"/>
          <w:sz w:val="28"/>
          <w:b/>
        </w:rPr>
        <w:t>西乡县茶镇人民政府</w:t>
      </w:r>
    </w:p>
    <w:p>
      <w:pPr>
        <w:pStyle w:val="null3"/>
        <w:jc w:val="center"/>
        <w:outlineLvl w:val="2"/>
      </w:pPr>
      <w:r>
        <w:rPr>
          <w:rFonts w:ascii="仿宋_GB2312" w:hAnsi="仿宋_GB2312" w:cs="仿宋_GB2312" w:eastAsia="仿宋_GB2312"/>
          <w:sz w:val="28"/>
          <w:b/>
        </w:rPr>
        <w:t>中正信合项目管理有限公司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中正信合项目管理有限公司</w:t>
      </w:r>
      <w:r>
        <w:rPr>
          <w:rFonts w:ascii="仿宋_GB2312" w:hAnsi="仿宋_GB2312" w:cs="仿宋_GB2312" w:eastAsia="仿宋_GB2312"/>
        </w:rPr>
        <w:t>（以下简称“代理机构”）受</w:t>
      </w:r>
      <w:r>
        <w:rPr>
          <w:rFonts w:ascii="仿宋_GB2312" w:hAnsi="仿宋_GB2312" w:cs="仿宋_GB2312" w:eastAsia="仿宋_GB2312"/>
        </w:rPr>
        <w:t>西乡县茶镇人民政府</w:t>
      </w:r>
      <w:r>
        <w:rPr>
          <w:rFonts w:ascii="仿宋_GB2312" w:hAnsi="仿宋_GB2312" w:cs="仿宋_GB2312" w:eastAsia="仿宋_GB2312"/>
        </w:rPr>
        <w:t>委托，拟对</w:t>
      </w:r>
      <w:r>
        <w:rPr>
          <w:rFonts w:ascii="仿宋_GB2312" w:hAnsi="仿宋_GB2312" w:cs="仿宋_GB2312" w:eastAsia="仿宋_GB2312"/>
        </w:rPr>
        <w:t>2026年西乡县茶镇南沟村与石泉县后柳村产业路建设项目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ZZXH-HZ-069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2026年西乡县茶镇南沟村与石泉县后柳村产业路建设项目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本工程位于西乡县茶镇南沟村，主要建设内容有新建硬化路长3.205km，路面宽度3.5m，厚0.18m，石渣调平层厚0.15m，配套建设错车道、过户管涵、路肩培土、圆管涵及交通标志等附属设施。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采购包1（2026年西乡县茶镇南沟村与石泉县后柳村产业路建设项目）：属于专门面向中小企业采购。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1、供应商身份证明：供应商应具有独立承担民事责任的能力且具备向采购人提供相关服务的企业法人、其他组织 或者自然人，企业法人应提供统一社会信用代码的营业执照；其他组织应提供合法证明文件 ；自然人应提供身份证明文件;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 及授权代表身份证(附法定代表人身份证复印件及被授权人身份证复印件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 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4、资质：投标供应商具有行政主管部门核发的公路工程施工总承包三级（含三级）及以上资质，且具有有效的安全生产许可证；</w:t>
      </w:r>
    </w:p>
    <w:p>
      <w:pPr>
        <w:pStyle w:val="null3"/>
      </w:pPr>
      <w:r>
        <w:rPr>
          <w:rFonts w:ascii="仿宋_GB2312" w:hAnsi="仿宋_GB2312" w:cs="仿宋_GB2312" w:eastAsia="仿宋_GB2312"/>
        </w:rPr>
        <w:t>5、项目经理：项目经理须具有公路工程二级及以上注册建造师执业资格，并具有交通行政主管部门核发的安全考核 B 类证书且无在建工程（提供无在建承诺书）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西乡县茶镇人民政府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西乡县茶镇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西乡县茶镇人民政府经办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15771862279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中正信合项目管理有限公司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 吾悦公馆B区C栋101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程兴莉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09168832489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采购包1：1,438,297.96元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说明：领取中标通知书后</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办法的通知》（计价格〔2002〕1980号）和国家发改委办公厅《关于招标代理服务收费有关问题的通知》（发改办价格〔2003〕857号）⽂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西乡县茶镇人民政府</w:t>
      </w:r>
      <w:r>
        <w:rPr>
          <w:rFonts w:ascii="仿宋_GB2312" w:hAnsi="仿宋_GB2312" w:cs="仿宋_GB2312" w:eastAsia="仿宋_GB2312"/>
        </w:rPr>
        <w:t>和</w:t>
      </w:r>
      <w:r>
        <w:rPr>
          <w:rFonts w:ascii="仿宋_GB2312" w:hAnsi="仿宋_GB2312" w:cs="仿宋_GB2312" w:eastAsia="仿宋_GB2312"/>
        </w:rPr>
        <w:t>中正信合项目管理有限公司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西乡县茶镇人民政府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中正信合项目管理有限公司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西乡县茶镇人民政府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中正信合项目管理有限公司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联系人：程兴莉</w:t>
      </w:r>
    </w:p>
    <w:p>
      <w:pPr>
        <w:pStyle w:val="null3"/>
      </w:pPr>
      <w:r>
        <w:rPr>
          <w:rFonts w:ascii="仿宋_GB2312" w:hAnsi="仿宋_GB2312" w:cs="仿宋_GB2312" w:eastAsia="仿宋_GB2312"/>
        </w:rPr>
        <w:t>联系电话：09168832489</w:t>
      </w:r>
    </w:p>
    <w:p>
      <w:pPr>
        <w:pStyle w:val="null3"/>
      </w:pPr>
      <w:r>
        <w:rPr>
          <w:rFonts w:ascii="仿宋_GB2312" w:hAnsi="仿宋_GB2312" w:cs="仿宋_GB2312" w:eastAsia="仿宋_GB2312"/>
        </w:rPr>
        <w:t>地址：陕西省汉中市汉台区 吾悦公馆B区C栋101</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1,438,297.96</w:t>
      </w:r>
    </w:p>
    <w:p>
      <w:pPr>
        <w:pStyle w:val="null3"/>
      </w:pPr>
      <w:r>
        <w:rPr>
          <w:rFonts w:ascii="仿宋_GB2312" w:hAnsi="仿宋_GB2312" w:cs="仿宋_GB2312" w:eastAsia="仿宋_GB2312"/>
        </w:rPr>
        <w:t>采购包最高限价（元）: 1,438,297.96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产业路</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1,438,297.96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标的名称：产业路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最高限价编制依据：</w:t>
            </w:r>
          </w:p>
          <w:p>
            <w:pPr>
              <w:pStyle w:val="null3"/>
              <w:numPr>
                <w:ilvl w:val="0"/>
                <w:numId w:val="1"/>
              </w:numPr>
              <w:jc w:val="both"/>
            </w:pPr>
            <w:r>
              <w:rPr>
                <w:rFonts w:ascii="仿宋_GB2312" w:hAnsi="仿宋_GB2312" w:cs="仿宋_GB2312" w:eastAsia="仿宋_GB2312"/>
              </w:rPr>
              <w:t>《2026年西乡县茶镇南沟村与石泉县后柳村产业路》设计图；</w:t>
            </w:r>
          </w:p>
          <w:p>
            <w:pPr>
              <w:pStyle w:val="null3"/>
              <w:numPr>
                <w:ilvl w:val="0"/>
                <w:numId w:val="1"/>
              </w:numPr>
              <w:jc w:val="both"/>
            </w:pPr>
            <w:r>
              <w:rPr>
                <w:rFonts w:ascii="仿宋_GB2312" w:hAnsi="仿宋_GB2312" w:cs="仿宋_GB2312" w:eastAsia="仿宋_GB2312"/>
              </w:rPr>
              <w:t>《公路工程建设项目概算预算编制办法》（JTG3830-2018），以下简称“编制办法”；</w:t>
            </w:r>
          </w:p>
          <w:p>
            <w:pPr>
              <w:pStyle w:val="null3"/>
              <w:numPr>
                <w:ilvl w:val="0"/>
                <w:numId w:val="1"/>
              </w:numPr>
              <w:jc w:val="both"/>
            </w:pPr>
            <w:r>
              <w:rPr>
                <w:rFonts w:ascii="仿宋_GB2312" w:hAnsi="仿宋_GB2312" w:cs="仿宋_GB2312" w:eastAsia="仿宋_GB2312"/>
              </w:rPr>
              <w:t>《公路工程预算定额》（JTG/T 3832—2018）；</w:t>
            </w:r>
          </w:p>
          <w:p>
            <w:pPr>
              <w:pStyle w:val="null3"/>
              <w:numPr>
                <w:ilvl w:val="0"/>
                <w:numId w:val="1"/>
              </w:numPr>
              <w:jc w:val="both"/>
            </w:pPr>
            <w:r>
              <w:rPr>
                <w:rFonts w:ascii="仿宋_GB2312" w:hAnsi="仿宋_GB2312" w:cs="仿宋_GB2312" w:eastAsia="仿宋_GB2312"/>
              </w:rPr>
              <w:t>《公路工程机械台班费用定额》（JTG/T 3833—2018）；</w:t>
            </w:r>
          </w:p>
          <w:p>
            <w:pPr>
              <w:pStyle w:val="null3"/>
              <w:numPr>
                <w:ilvl w:val="0"/>
                <w:numId w:val="1"/>
              </w:numPr>
              <w:jc w:val="both"/>
            </w:pPr>
            <w:r>
              <w:rPr>
                <w:rFonts w:ascii="仿宋_GB2312" w:hAnsi="仿宋_GB2312" w:cs="仿宋_GB2312" w:eastAsia="仿宋_GB2312"/>
              </w:rPr>
              <w:t>陕西省交通运输厅关于执行交通运输部《公路工程营业税改增值税计价依据调整方案》的通知，陕交函〔2016〕475号文；</w:t>
            </w:r>
          </w:p>
          <w:p>
            <w:pPr>
              <w:pStyle w:val="null3"/>
              <w:numPr>
                <w:ilvl w:val="0"/>
                <w:numId w:val="1"/>
              </w:numPr>
              <w:jc w:val="both"/>
            </w:pPr>
            <w:r>
              <w:rPr>
                <w:rFonts w:ascii="仿宋_GB2312" w:hAnsi="仿宋_GB2312" w:cs="仿宋_GB2312" w:eastAsia="仿宋_GB2312"/>
              </w:rPr>
              <w:t>《公路工程标准施工招标文件》（2018年版）;</w:t>
            </w:r>
          </w:p>
          <w:p>
            <w:pPr>
              <w:pStyle w:val="null3"/>
              <w:numPr>
                <w:ilvl w:val="0"/>
                <w:numId w:val="1"/>
              </w:numPr>
              <w:jc w:val="both"/>
            </w:pPr>
            <w:r>
              <w:rPr>
                <w:rFonts w:ascii="仿宋_GB2312" w:hAnsi="仿宋_GB2312" w:cs="仿宋_GB2312" w:eastAsia="仿宋_GB2312"/>
              </w:rPr>
              <w:t>交通运输部关于调整《公路工程建设项目投资估算编制办法》（JTG3820-2018）和《公路工程建设项目概算预算编制办法》（JTG3830-2018）中“税金”有关规定的公告，交通运输部公告2019年第26号；</w:t>
            </w:r>
          </w:p>
          <w:p>
            <w:pPr>
              <w:pStyle w:val="null3"/>
              <w:numPr>
                <w:ilvl w:val="0"/>
                <w:numId w:val="1"/>
              </w:numPr>
              <w:jc w:val="both"/>
            </w:pPr>
            <w:r>
              <w:rPr>
                <w:rFonts w:ascii="仿宋_GB2312" w:hAnsi="仿宋_GB2312" w:cs="仿宋_GB2312" w:eastAsia="仿宋_GB2312"/>
              </w:rPr>
              <w:t>陕西省交通运输厅关于印发《&lt;公路工程建设项目投资估算编制办法&gt;&lt;公路工程建设项目概算预算编制办法&gt;补充规定》的通知，陕交发〔2019〕93 号文。</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5"/>
                <w:color w:val="000000"/>
              </w:rPr>
              <w:t>商务要求：</w:t>
            </w:r>
          </w:p>
          <w:p>
            <w:pPr>
              <w:pStyle w:val="null3"/>
            </w:pPr>
            <w:r>
              <w:rPr>
                <w:rFonts w:ascii="仿宋_GB2312" w:hAnsi="仿宋_GB2312" w:cs="仿宋_GB2312" w:eastAsia="仿宋_GB2312"/>
                <w:sz w:val="13"/>
                <w:color w:val="000000"/>
              </w:rPr>
              <w:t xml:space="preserve">1. </w:t>
            </w:r>
            <w:r>
              <w:rPr>
                <w:rFonts w:ascii="仿宋_GB2312" w:hAnsi="仿宋_GB2312" w:cs="仿宋_GB2312" w:eastAsia="仿宋_GB2312"/>
                <w:sz w:val="13"/>
                <w:color w:val="000000"/>
              </w:rPr>
              <w:t>工期：</w:t>
            </w:r>
            <w:r>
              <w:rPr>
                <w:rFonts w:ascii="仿宋_GB2312" w:hAnsi="仿宋_GB2312" w:cs="仿宋_GB2312" w:eastAsia="仿宋_GB2312"/>
                <w:sz w:val="13"/>
                <w:color w:val="000000"/>
              </w:rPr>
              <w:t>60</w:t>
            </w:r>
            <w:r>
              <w:rPr>
                <w:rFonts w:ascii="仿宋_GB2312" w:hAnsi="仿宋_GB2312" w:cs="仿宋_GB2312" w:eastAsia="仿宋_GB2312"/>
                <w:sz w:val="13"/>
                <w:color w:val="000000"/>
              </w:rPr>
              <w:t>日历天。</w:t>
            </w:r>
          </w:p>
          <w:p>
            <w:pPr>
              <w:pStyle w:val="null3"/>
            </w:pPr>
            <w:r>
              <w:rPr>
                <w:rFonts w:ascii="仿宋_GB2312" w:hAnsi="仿宋_GB2312" w:cs="仿宋_GB2312" w:eastAsia="仿宋_GB2312"/>
                <w:sz w:val="13"/>
                <w:color w:val="000000"/>
              </w:rPr>
              <w:t xml:space="preserve">2. </w:t>
            </w:r>
            <w:r>
              <w:rPr>
                <w:rFonts w:ascii="仿宋_GB2312" w:hAnsi="仿宋_GB2312" w:cs="仿宋_GB2312" w:eastAsia="仿宋_GB2312"/>
                <w:sz w:val="13"/>
                <w:color w:val="000000"/>
              </w:rPr>
              <w:t>质量要求：符合国家现行有关施工质量验收规范</w:t>
            </w:r>
            <w:r>
              <w:rPr>
                <w:rFonts w:ascii="仿宋_GB2312" w:hAnsi="仿宋_GB2312" w:cs="仿宋_GB2312" w:eastAsia="仿宋_GB2312"/>
                <w:sz w:val="13"/>
                <w:color w:val="000000"/>
              </w:rPr>
              <w:t>“</w:t>
            </w:r>
            <w:r>
              <w:rPr>
                <w:rFonts w:ascii="仿宋_GB2312" w:hAnsi="仿宋_GB2312" w:cs="仿宋_GB2312" w:eastAsia="仿宋_GB2312"/>
                <w:sz w:val="13"/>
                <w:color w:val="000000"/>
              </w:rPr>
              <w:t>合格</w:t>
            </w:r>
            <w:r>
              <w:rPr>
                <w:rFonts w:ascii="仿宋_GB2312" w:hAnsi="仿宋_GB2312" w:cs="仿宋_GB2312" w:eastAsia="仿宋_GB2312"/>
                <w:sz w:val="13"/>
                <w:color w:val="000000"/>
              </w:rPr>
              <w:t>”</w:t>
            </w:r>
            <w:r>
              <w:rPr>
                <w:rFonts w:ascii="仿宋_GB2312" w:hAnsi="仿宋_GB2312" w:cs="仿宋_GB2312" w:eastAsia="仿宋_GB2312"/>
                <w:sz w:val="13"/>
                <w:color w:val="000000"/>
              </w:rPr>
              <w:t>要求 。</w:t>
            </w:r>
          </w:p>
          <w:p>
            <w:pPr>
              <w:pStyle w:val="null3"/>
            </w:pPr>
            <w:r>
              <w:rPr>
                <w:rFonts w:ascii="仿宋_GB2312" w:hAnsi="仿宋_GB2312" w:cs="仿宋_GB2312" w:eastAsia="仿宋_GB2312"/>
                <w:sz w:val="13"/>
                <w:color w:val="000000"/>
              </w:rPr>
              <w:t xml:space="preserve">3. </w:t>
            </w:r>
            <w:r>
              <w:rPr>
                <w:rFonts w:ascii="仿宋_GB2312" w:hAnsi="仿宋_GB2312" w:cs="仿宋_GB2312" w:eastAsia="仿宋_GB2312"/>
                <w:sz w:val="13"/>
                <w:color w:val="000000"/>
              </w:rPr>
              <w:t xml:space="preserve">缺陷责任期：工程验收合格后 </w:t>
            </w:r>
            <w:r>
              <w:rPr>
                <w:rFonts w:ascii="仿宋_GB2312" w:hAnsi="仿宋_GB2312" w:cs="仿宋_GB2312" w:eastAsia="仿宋_GB2312"/>
                <w:sz w:val="13"/>
                <w:color w:val="000000"/>
              </w:rPr>
              <w:t>12</w:t>
            </w:r>
            <w:r>
              <w:rPr>
                <w:rFonts w:ascii="仿宋_GB2312" w:hAnsi="仿宋_GB2312" w:cs="仿宋_GB2312" w:eastAsia="仿宋_GB2312"/>
                <w:sz w:val="13"/>
                <w:color w:val="000000"/>
              </w:rPr>
              <w:t>个月。</w:t>
            </w:r>
          </w:p>
          <w:p>
            <w:pPr>
              <w:pStyle w:val="null3"/>
            </w:pPr>
            <w:r>
              <w:rPr>
                <w:rFonts w:ascii="仿宋_GB2312" w:hAnsi="仿宋_GB2312" w:cs="仿宋_GB2312" w:eastAsia="仿宋_GB2312"/>
                <w:sz w:val="13"/>
                <w:color w:val="000000"/>
              </w:rPr>
              <w:t xml:space="preserve">4. </w:t>
            </w:r>
            <w:r>
              <w:rPr>
                <w:rFonts w:ascii="仿宋_GB2312" w:hAnsi="仿宋_GB2312" w:cs="仿宋_GB2312" w:eastAsia="仿宋_GB2312"/>
                <w:sz w:val="13"/>
                <w:color w:val="000000"/>
              </w:rPr>
              <w:t>漏项处理：施工过程中发现工程量清单中存在漏项工程的，该漏项工程作为本项目采购的组成部分，采购人和供应商可以按照双方合同的规定协</w:t>
            </w:r>
            <w:r>
              <w:rPr>
                <w:rFonts w:ascii="仿宋_GB2312" w:hAnsi="仿宋_GB2312" w:cs="仿宋_GB2312" w:eastAsia="仿宋_GB2312"/>
                <w:sz w:val="13"/>
                <w:color w:val="000000"/>
              </w:rPr>
              <w:t>商解决。</w:t>
            </w:r>
          </w:p>
          <w:p>
            <w:pPr>
              <w:pStyle w:val="null3"/>
            </w:pPr>
            <w:r>
              <w:rPr>
                <w:rFonts w:ascii="仿宋_GB2312" w:hAnsi="仿宋_GB2312" w:cs="仿宋_GB2312" w:eastAsia="仿宋_GB2312"/>
                <w:sz w:val="13"/>
                <w:color w:val="000000"/>
              </w:rPr>
              <w:t xml:space="preserve">5. </w:t>
            </w:r>
            <w:r>
              <w:rPr>
                <w:rFonts w:ascii="仿宋_GB2312" w:hAnsi="仿宋_GB2312" w:cs="仿宋_GB2312" w:eastAsia="仿宋_GB2312"/>
                <w:sz w:val="13"/>
                <w:color w:val="000000"/>
              </w:rPr>
              <w:t>施工要求：</w:t>
            </w:r>
          </w:p>
          <w:p>
            <w:pPr>
              <w:pStyle w:val="null3"/>
            </w:pPr>
            <w:r>
              <w:rPr>
                <w:rFonts w:ascii="仿宋_GB2312" w:hAnsi="仿宋_GB2312" w:cs="仿宋_GB2312" w:eastAsia="仿宋_GB2312"/>
                <w:sz w:val="13"/>
                <w:color w:val="000000"/>
              </w:rPr>
              <w:t xml:space="preserve">5.1 </w:t>
            </w:r>
            <w:r>
              <w:rPr>
                <w:rFonts w:ascii="仿宋_GB2312" w:hAnsi="仿宋_GB2312" w:cs="仿宋_GB2312" w:eastAsia="仿宋_GB2312"/>
                <w:sz w:val="13"/>
                <w:color w:val="000000"/>
              </w:rPr>
              <w:t>遵守国家相关法律、法规，遵守国家相关技术规范；</w:t>
            </w:r>
          </w:p>
          <w:p>
            <w:pPr>
              <w:pStyle w:val="null3"/>
            </w:pPr>
            <w:r>
              <w:rPr>
                <w:rFonts w:ascii="仿宋_GB2312" w:hAnsi="仿宋_GB2312" w:cs="仿宋_GB2312" w:eastAsia="仿宋_GB2312"/>
                <w:sz w:val="13"/>
                <w:color w:val="000000"/>
              </w:rPr>
              <w:t xml:space="preserve">5.2 </w:t>
            </w:r>
            <w:r>
              <w:rPr>
                <w:rFonts w:ascii="仿宋_GB2312" w:hAnsi="仿宋_GB2312" w:cs="仿宋_GB2312" w:eastAsia="仿宋_GB2312"/>
                <w:sz w:val="13"/>
                <w:color w:val="000000"/>
              </w:rPr>
              <w:t>所选材料必须保证质量可靠、进货渠道正常，符合国家环保等相关标准，满足施工要求；</w:t>
            </w:r>
          </w:p>
          <w:p>
            <w:pPr>
              <w:pStyle w:val="null3"/>
            </w:pPr>
            <w:r>
              <w:rPr>
                <w:rFonts w:ascii="仿宋_GB2312" w:hAnsi="仿宋_GB2312" w:cs="仿宋_GB2312" w:eastAsia="仿宋_GB2312"/>
                <w:sz w:val="13"/>
                <w:color w:val="000000"/>
              </w:rPr>
              <w:t xml:space="preserve">5.3 </w:t>
            </w:r>
            <w:r>
              <w:rPr>
                <w:rFonts w:ascii="仿宋_GB2312" w:hAnsi="仿宋_GB2312" w:cs="仿宋_GB2312" w:eastAsia="仿宋_GB2312"/>
                <w:sz w:val="13"/>
                <w:color w:val="000000"/>
              </w:rPr>
              <w:t>工程质量符合国家有关规范，确保达到合格；</w:t>
            </w:r>
          </w:p>
          <w:p>
            <w:pPr>
              <w:pStyle w:val="null3"/>
            </w:pPr>
            <w:r>
              <w:rPr>
                <w:rFonts w:ascii="仿宋_GB2312" w:hAnsi="仿宋_GB2312" w:cs="仿宋_GB2312" w:eastAsia="仿宋_GB2312"/>
                <w:sz w:val="13"/>
                <w:color w:val="000000"/>
              </w:rPr>
              <w:t xml:space="preserve">5.4 </w:t>
            </w:r>
            <w:r>
              <w:rPr>
                <w:rFonts w:ascii="仿宋_GB2312" w:hAnsi="仿宋_GB2312" w:cs="仿宋_GB2312" w:eastAsia="仿宋_GB2312"/>
                <w:sz w:val="13"/>
                <w:color w:val="000000"/>
              </w:rPr>
              <w:t>遵守有关施工规范和安全操作规程，采取有效的安全保障措施，确保施工安全，包括悬挂警示标牌、装设围栏、配备安全人员等，并承担事故</w:t>
            </w:r>
            <w:r>
              <w:rPr>
                <w:rFonts w:ascii="仿宋_GB2312" w:hAnsi="仿宋_GB2312" w:cs="仿宋_GB2312" w:eastAsia="仿宋_GB2312"/>
                <w:sz w:val="13"/>
                <w:color w:val="000000"/>
              </w:rPr>
              <w:t>的全部费用和责任；</w:t>
            </w:r>
          </w:p>
          <w:p>
            <w:pPr>
              <w:pStyle w:val="null3"/>
            </w:pPr>
            <w:r>
              <w:rPr>
                <w:rFonts w:ascii="仿宋_GB2312" w:hAnsi="仿宋_GB2312" w:cs="仿宋_GB2312" w:eastAsia="仿宋_GB2312"/>
                <w:sz w:val="13"/>
                <w:color w:val="000000"/>
              </w:rPr>
              <w:t xml:space="preserve">5.5 </w:t>
            </w:r>
            <w:r>
              <w:rPr>
                <w:rFonts w:ascii="仿宋_GB2312" w:hAnsi="仿宋_GB2312" w:cs="仿宋_GB2312" w:eastAsia="仿宋_GB2312"/>
                <w:sz w:val="13"/>
                <w:color w:val="000000"/>
              </w:rPr>
              <w:t>施工单位必须服从当地对治安、卫生、环保、社会保险等工程建设的统一管理，并按有关规定交纳费用以及因违反相关规定而造成的罚款；</w:t>
            </w:r>
          </w:p>
          <w:p>
            <w:pPr>
              <w:pStyle w:val="null3"/>
            </w:pPr>
            <w:r>
              <w:rPr>
                <w:rFonts w:ascii="仿宋_GB2312" w:hAnsi="仿宋_GB2312" w:cs="仿宋_GB2312" w:eastAsia="仿宋_GB2312"/>
                <w:sz w:val="13"/>
                <w:color w:val="000000"/>
              </w:rPr>
              <w:t xml:space="preserve">5.6 </w:t>
            </w:r>
            <w:r>
              <w:rPr>
                <w:rFonts w:ascii="仿宋_GB2312" w:hAnsi="仿宋_GB2312" w:cs="仿宋_GB2312" w:eastAsia="仿宋_GB2312"/>
                <w:sz w:val="13"/>
                <w:color w:val="000000"/>
              </w:rPr>
              <w:t>本工程不允许转包；</w:t>
            </w:r>
          </w:p>
          <w:p>
            <w:pPr>
              <w:pStyle w:val="null3"/>
            </w:pPr>
            <w:r>
              <w:rPr>
                <w:rFonts w:ascii="仿宋_GB2312" w:hAnsi="仿宋_GB2312" w:cs="仿宋_GB2312" w:eastAsia="仿宋_GB2312"/>
                <w:sz w:val="13"/>
                <w:color w:val="000000"/>
              </w:rPr>
              <w:t xml:space="preserve">5.7 </w:t>
            </w:r>
            <w:r>
              <w:rPr>
                <w:rFonts w:ascii="仿宋_GB2312" w:hAnsi="仿宋_GB2312" w:cs="仿宋_GB2312" w:eastAsia="仿宋_GB2312"/>
                <w:sz w:val="13"/>
                <w:color w:val="000000"/>
              </w:rPr>
              <w:t>供应商自行办理垃圾清理手续，遵守当地政府垃圾分类处理有关规定，承担自行处置不当导致的全部费用和责任。</w:t>
            </w:r>
          </w:p>
          <w:p>
            <w:pPr>
              <w:pStyle w:val="null3"/>
            </w:pPr>
            <w:r>
              <w:rPr>
                <w:rFonts w:ascii="仿宋_GB2312" w:hAnsi="仿宋_GB2312" w:cs="仿宋_GB2312" w:eastAsia="仿宋_GB2312"/>
                <w:sz w:val="13"/>
                <w:color w:val="000000"/>
              </w:rPr>
              <w:t>6.</w:t>
            </w:r>
            <w:r>
              <w:rPr>
                <w:rFonts w:ascii="仿宋_GB2312" w:hAnsi="仿宋_GB2312" w:cs="仿宋_GB2312" w:eastAsia="仿宋_GB2312"/>
                <w:sz w:val="13"/>
                <w:color w:val="000000"/>
              </w:rPr>
              <w:t>质量验收标准或规范：</w:t>
            </w:r>
          </w:p>
          <w:p>
            <w:pPr>
              <w:pStyle w:val="null3"/>
            </w:pPr>
            <w:r>
              <w:rPr>
                <w:rFonts w:ascii="仿宋_GB2312" w:hAnsi="仿宋_GB2312" w:cs="仿宋_GB2312" w:eastAsia="仿宋_GB2312"/>
                <w:sz w:val="13"/>
                <w:color w:val="000000"/>
              </w:rPr>
              <w:t xml:space="preserve">6.1 </w:t>
            </w:r>
            <w:r>
              <w:rPr>
                <w:rFonts w:ascii="仿宋_GB2312" w:hAnsi="仿宋_GB2312" w:cs="仿宋_GB2312" w:eastAsia="仿宋_GB2312"/>
                <w:sz w:val="13"/>
                <w:color w:val="000000"/>
              </w:rPr>
              <w:t>国家现行有关法律、法规、环保和技术指标；</w:t>
            </w:r>
          </w:p>
          <w:p>
            <w:pPr>
              <w:pStyle w:val="null3"/>
            </w:pPr>
            <w:r>
              <w:rPr>
                <w:rFonts w:ascii="仿宋_GB2312" w:hAnsi="仿宋_GB2312" w:cs="仿宋_GB2312" w:eastAsia="仿宋_GB2312"/>
                <w:sz w:val="13"/>
                <w:color w:val="000000"/>
              </w:rPr>
              <w:t xml:space="preserve">6.2 </w:t>
            </w:r>
            <w:r>
              <w:rPr>
                <w:rFonts w:ascii="仿宋_GB2312" w:hAnsi="仿宋_GB2312" w:cs="仿宋_GB2312" w:eastAsia="仿宋_GB2312"/>
                <w:sz w:val="13"/>
                <w:color w:val="000000"/>
              </w:rPr>
              <w:t>本项目施工合同；</w:t>
            </w:r>
          </w:p>
          <w:p>
            <w:pPr>
              <w:pStyle w:val="null3"/>
            </w:pPr>
            <w:r>
              <w:rPr>
                <w:rFonts w:ascii="仿宋_GB2312" w:hAnsi="仿宋_GB2312" w:cs="仿宋_GB2312" w:eastAsia="仿宋_GB2312"/>
                <w:sz w:val="13"/>
                <w:color w:val="000000"/>
              </w:rPr>
              <w:t xml:space="preserve">6.3 </w:t>
            </w:r>
            <w:r>
              <w:rPr>
                <w:rFonts w:ascii="仿宋_GB2312" w:hAnsi="仿宋_GB2312" w:cs="仿宋_GB2312" w:eastAsia="仿宋_GB2312"/>
                <w:sz w:val="13"/>
                <w:color w:val="000000"/>
              </w:rPr>
              <w:t>经批准的设计文件及工程变更文件；</w:t>
            </w:r>
          </w:p>
          <w:p>
            <w:pPr>
              <w:pStyle w:val="null3"/>
            </w:pPr>
            <w:r>
              <w:rPr>
                <w:rFonts w:ascii="仿宋_GB2312" w:hAnsi="仿宋_GB2312" w:cs="仿宋_GB2312" w:eastAsia="仿宋_GB2312"/>
                <w:sz w:val="13"/>
                <w:color w:val="000000"/>
              </w:rPr>
              <w:t xml:space="preserve">6.4 </w:t>
            </w:r>
            <w:r>
              <w:rPr>
                <w:rFonts w:ascii="仿宋_GB2312" w:hAnsi="仿宋_GB2312" w:cs="仿宋_GB2312" w:eastAsia="仿宋_GB2312"/>
                <w:sz w:val="13"/>
                <w:color w:val="000000"/>
              </w:rPr>
              <w:t>有关部政府部门的规定。</w:t>
            </w:r>
          </w:p>
          <w:p>
            <w:pPr>
              <w:pStyle w:val="null3"/>
            </w:pPr>
            <w:r>
              <w:rPr>
                <w:rFonts w:ascii="仿宋_GB2312" w:hAnsi="仿宋_GB2312" w:cs="仿宋_GB2312" w:eastAsia="仿宋_GB2312"/>
                <w:sz w:val="13"/>
                <w:color w:val="000000"/>
              </w:rPr>
              <w:t>7.</w:t>
            </w:r>
            <w:r>
              <w:rPr>
                <w:rFonts w:ascii="仿宋_GB2312" w:hAnsi="仿宋_GB2312" w:cs="仿宋_GB2312" w:eastAsia="仿宋_GB2312"/>
                <w:sz w:val="13"/>
                <w:color w:val="000000"/>
              </w:rPr>
              <w:t>项目检验与验收：</w:t>
            </w:r>
          </w:p>
          <w:p>
            <w:pPr>
              <w:pStyle w:val="null3"/>
            </w:pPr>
            <w:r>
              <w:rPr>
                <w:rFonts w:ascii="仿宋_GB2312" w:hAnsi="仿宋_GB2312" w:cs="仿宋_GB2312" w:eastAsia="仿宋_GB2312"/>
                <w:sz w:val="13"/>
                <w:color w:val="000000"/>
              </w:rPr>
              <w:t xml:space="preserve">7.1 </w:t>
            </w:r>
            <w:r>
              <w:rPr>
                <w:rFonts w:ascii="仿宋_GB2312" w:hAnsi="仿宋_GB2312" w:cs="仿宋_GB2312" w:eastAsia="仿宋_GB2312"/>
                <w:sz w:val="13"/>
                <w:color w:val="000000"/>
              </w:rPr>
              <w:t>成交供应商向采购人提交项目实施过程中的所有资料；</w:t>
            </w:r>
          </w:p>
          <w:p>
            <w:pPr>
              <w:pStyle w:val="null3"/>
            </w:pPr>
            <w:r>
              <w:rPr>
                <w:rFonts w:ascii="仿宋_GB2312" w:hAnsi="仿宋_GB2312" w:cs="仿宋_GB2312" w:eastAsia="仿宋_GB2312"/>
                <w:sz w:val="13"/>
                <w:color w:val="000000"/>
              </w:rPr>
              <w:t xml:space="preserve">7.2 </w:t>
            </w:r>
            <w:r>
              <w:rPr>
                <w:rFonts w:ascii="仿宋_GB2312" w:hAnsi="仿宋_GB2312" w:cs="仿宋_GB2312" w:eastAsia="仿宋_GB2312"/>
                <w:sz w:val="13"/>
                <w:color w:val="000000"/>
              </w:rPr>
              <w:t>验收须以合同、磋商文件及响应文件、澄清、及国家相应的标准、规范等为依据。</w:t>
            </w:r>
          </w:p>
          <w:p>
            <w:pPr>
              <w:pStyle w:val="null3"/>
            </w:pPr>
            <w:r>
              <w:rPr>
                <w:rFonts w:ascii="仿宋_GB2312" w:hAnsi="仿宋_GB2312" w:cs="仿宋_GB2312" w:eastAsia="仿宋_GB2312"/>
                <w:sz w:val="13"/>
                <w:color w:val="000000"/>
              </w:rPr>
              <w:t>8.</w:t>
            </w:r>
            <w:r>
              <w:rPr>
                <w:rFonts w:ascii="仿宋_GB2312" w:hAnsi="仿宋_GB2312" w:cs="仿宋_GB2312" w:eastAsia="仿宋_GB2312"/>
                <w:sz w:val="13"/>
                <w:color w:val="000000"/>
              </w:rPr>
              <w:t>合同的变更、中止、终止：合同一经签订，不得擅自变更、中止或者终止合同。对确需变更、调整或者中止、终止合同的，由双方协商解决。</w:t>
            </w:r>
          </w:p>
          <w:p>
            <w:pPr>
              <w:pStyle w:val="null3"/>
            </w:pPr>
            <w:r>
              <w:rPr>
                <w:rFonts w:ascii="仿宋_GB2312" w:hAnsi="仿宋_GB2312" w:cs="仿宋_GB2312" w:eastAsia="仿宋_GB2312"/>
                <w:sz w:val="13"/>
                <w:color w:val="000000"/>
              </w:rPr>
              <w:t>9.</w:t>
            </w:r>
            <w:r>
              <w:rPr>
                <w:rFonts w:ascii="仿宋_GB2312" w:hAnsi="仿宋_GB2312" w:cs="仿宋_GB2312" w:eastAsia="仿宋_GB2312"/>
                <w:sz w:val="13"/>
                <w:color w:val="000000"/>
              </w:rPr>
              <w:t>合同争议的处理：合同在履行过程中发生的争议，当事人双方应协商解决，协商达不成一致时，可向采购方所在地仲裁委员会申请仲裁或者向人</w:t>
            </w:r>
            <w:r>
              <w:rPr>
                <w:rFonts w:ascii="仿宋_GB2312" w:hAnsi="仿宋_GB2312" w:cs="仿宋_GB2312" w:eastAsia="仿宋_GB2312"/>
                <w:sz w:val="13"/>
                <w:color w:val="000000"/>
              </w:rPr>
              <w:t>民法院提请诉讼。</w:t>
            </w:r>
          </w:p>
          <w:p>
            <w:pPr>
              <w:pStyle w:val="null3"/>
            </w:pPr>
            <w:r>
              <w:rPr>
                <w:rFonts w:ascii="仿宋_GB2312" w:hAnsi="仿宋_GB2312" w:cs="仿宋_GB2312" w:eastAsia="仿宋_GB2312"/>
                <w:sz w:val="13"/>
                <w:color w:val="000000"/>
              </w:rPr>
              <w:t>10.</w:t>
            </w:r>
            <w:r>
              <w:rPr>
                <w:rFonts w:ascii="仿宋_GB2312" w:hAnsi="仿宋_GB2312" w:cs="仿宋_GB2312" w:eastAsia="仿宋_GB2312"/>
                <w:sz w:val="13"/>
                <w:color w:val="000000"/>
              </w:rPr>
              <w:t>违约责任：</w:t>
            </w:r>
          </w:p>
          <w:p>
            <w:pPr>
              <w:pStyle w:val="null3"/>
            </w:pPr>
            <w:r>
              <w:rPr>
                <w:rFonts w:ascii="仿宋_GB2312" w:hAnsi="仿宋_GB2312" w:cs="仿宋_GB2312" w:eastAsia="仿宋_GB2312"/>
                <w:sz w:val="13"/>
                <w:color w:val="000000"/>
              </w:rPr>
              <w:t xml:space="preserve">10.1 </w:t>
            </w:r>
            <w:r>
              <w:rPr>
                <w:rFonts w:ascii="仿宋_GB2312" w:hAnsi="仿宋_GB2312" w:cs="仿宋_GB2312" w:eastAsia="仿宋_GB2312"/>
                <w:sz w:val="13"/>
                <w:color w:val="000000"/>
              </w:rPr>
              <w:t>按《中华人民共和国政府采购法》《中华人民共和国民法典》中的相关条款执行；</w:t>
            </w:r>
          </w:p>
          <w:p>
            <w:pPr>
              <w:pStyle w:val="null3"/>
            </w:pPr>
            <w:r>
              <w:rPr>
                <w:rFonts w:ascii="仿宋_GB2312" w:hAnsi="仿宋_GB2312" w:cs="仿宋_GB2312" w:eastAsia="仿宋_GB2312"/>
                <w:sz w:val="13"/>
                <w:color w:val="000000"/>
              </w:rPr>
              <w:t xml:space="preserve">10.2 </w:t>
            </w:r>
            <w:r>
              <w:rPr>
                <w:rFonts w:ascii="仿宋_GB2312" w:hAnsi="仿宋_GB2312" w:cs="仿宋_GB2312" w:eastAsia="仿宋_GB2312"/>
                <w:sz w:val="13"/>
                <w:color w:val="000000"/>
              </w:rPr>
              <w:t>未按要求提供货物、质量、环保标准不能满足技术要求的，施工方必须无条件更换，否则，采购单位有权终止合同，并对施工方的违约行为</w:t>
            </w:r>
            <w:r>
              <w:rPr>
                <w:rFonts w:ascii="仿宋_GB2312" w:hAnsi="仿宋_GB2312" w:cs="仿宋_GB2312" w:eastAsia="仿宋_GB2312"/>
                <w:sz w:val="13"/>
                <w:color w:val="000000"/>
              </w:rPr>
              <w:t>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1.特别注意:为顺利推进政府采购电⼦化交易平台应⽤⼯作，供应商均在线提交所有通过电⼦化交易平台实施的政府采购项⽬的磋商响应⽂件。 2.成交供应商在采购结果发布后3个⼯作⽇内向代理机构提交纸质版响应⽂件以便于存档，响应⽂件正本1份，副本1份（可以使⽤签章⽂件直接打印），电⼦版⽂件1份（以U盘为载体，PDF格式）。 3.如磋商⽂件中中⼩企业融资相关内容与新政策要求有出⼊，按照 最新要求执⾏。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 或者自然人，企业法人应提供统一社会信用代码的营业执照；其他组织应提供合法证明文件 ；自然人应提供身份证明文件;</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 及授权代表身份证(附法定代表人身份证复印件及被授权人身份证复印件</w:t>
            </w:r>
          </w:p>
        </w:tc>
        <w:tc>
          <w:tcPr>
            <w:tcW w:type="dxa" w:w="1661"/>
          </w:tcPr>
          <w:p>
            <w:pPr>
              <w:pStyle w:val="null3"/>
            </w:pPr>
            <w:r>
              <w:rPr>
                <w:rFonts w:ascii="仿宋_GB2312" w:hAnsi="仿宋_GB2312" w:cs="仿宋_GB2312" w:eastAsia="仿宋_GB2312"/>
              </w:rPr>
              <w:t>法定代表人证明书及法定代表授权书.docx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 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投标供应商具有行政主管部门核发的公路工程施工总承包三级（含三级）及以上资质，且具有有效的安全生产许可证；</w:t>
            </w:r>
          </w:p>
        </w:tc>
        <w:tc>
          <w:tcPr>
            <w:tcW w:type="dxa" w:w="1661"/>
          </w:tcPr>
          <w:p>
            <w:pPr>
              <w:pStyle w:val="null3"/>
            </w:pPr>
            <w:r>
              <w:rPr>
                <w:rFonts w:ascii="仿宋_GB2312" w:hAnsi="仿宋_GB2312" w:cs="仿宋_GB2312" w:eastAsia="仿宋_GB2312"/>
              </w:rPr>
              <w:t>资质证书.docx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项目经理须具有公路工程二级及以上注册建造师执业资格，并具有交通行政主管部门核发的安全考核 B 类证书且无在建工程（提供无在建承诺书）</w:t>
            </w:r>
          </w:p>
        </w:tc>
        <w:tc>
          <w:tcPr>
            <w:tcW w:type="dxa" w:w="1661"/>
          </w:tcPr>
          <w:p>
            <w:pPr>
              <w:pStyle w:val="null3"/>
            </w:pPr>
            <w:r>
              <w:rPr>
                <w:rFonts w:ascii="仿宋_GB2312" w:hAnsi="仿宋_GB2312" w:cs="仿宋_GB2312" w:eastAsia="仿宋_GB2312"/>
              </w:rPr>
              <w:t>项目经理简历表.pdf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供应商应当使⽤纳⼊陕西省政府采购综合管理 平台数字 证书互认范围的数字证书及签章进⾏ 系统操作。（供应商对其系统操作⾏为和电⼦ 签章确认的事项承担法律责任）</w:t>
            </w:r>
          </w:p>
        </w:tc>
        <w:tc>
          <w:tcPr>
            <w:tcW w:type="dxa" w:w="1661"/>
          </w:tcPr>
          <w:p>
            <w:pPr>
              <w:pStyle w:val="null3"/>
            </w:pPr>
            <w:r>
              <w:rPr>
                <w:rFonts w:ascii="仿宋_GB2312" w:hAnsi="仿宋_GB2312" w:cs="仿宋_GB2312" w:eastAsia="仿宋_GB2312"/>
              </w:rPr>
              <w:t>法定代表人证明书及法定代表授权书.docx 已标价工程量清单 中小企业声明函 商务要求响应表.pdf 施工承诺.pdf 营业执照.docx 供应商关联关系声明.docx 汉中市政府采购资格承诺函.docx 禁止磋商情形承诺书.docx 响应文件封面 拟派团队人员配置表.pdf 残疾人福利性单位声明函 技术措施.docx 报价函 施工方案.pdf 项目经理简历表.pdf 标的清单 供应商类似项目业绩一览表 响应函 监狱企业的证明文件 资质证书.docx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提供施工供应商 2023 年1 月 至今（以合同签订日期为准）同 类施工项目 业绩；每提供1 份有 效业绩得 1 .5分，本项最高得 3分 。 备注：业绩证明以合同为准，须 在磋商响应文件中附合同的关键页 （包含但不限于项目名称页、项目内容页、金额页、签署盖章页等） 的复印件，弄虚作假者，取消其成交资格。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一、评审内容： 所配备项目技术负责人、施工员、质检员（质量员）、安全员、材料员、资料员、劳务员、机械员具备相关专业技术职称或岗位证书。 二、评审标准： 全部满足得 8分，每缺少一人或相应人员无证书证件扣 1分，扣完为止。 响应文件内附相应人员证书证件复印件并签章。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拟派团队人员配置表.pdf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1.项⽬经理具有公路类相关专业中级职称得1.5分；具有公路类相关专业⾼级及以上职称得2分；需提供 职称证书复印件。 2.项⽬经理提供近三年（⾃2023年1⽉1⽇⾄今）担任项⽬经理的类似项⽬（公路工程）业绩，响应⽂件中应附有其业绩证明材料，业绩以合同协议书及项⽬验收合格证明资料加盖公 章的复印件为依据，提供1个得2分，满分2分 。以验收合格证明资料⽇期为准。项⽬经理业绩和供应商 业绩可共⽤。</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针对本项目作出合理有效的施工承诺包括并不限于不得拖欠施工人员工资、降低工程造价、缴纳安全保险、绿色节能、资源循环利用等，每提供一条得1分，满分5分，未提供不得分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施工承诺.pdf</w:t>
            </w:r>
          </w:p>
        </w:tc>
      </w:tr>
      <w:tr>
        <w:tc>
          <w:tcPr>
            <w:tcW w:type="dxa" w:w="831"/>
            <w:vMerge/>
          </w:tcPr>
          <w:p/>
        </w:tc>
        <w:tc>
          <w:tcPr>
            <w:tcW w:type="dxa" w:w="1661"/>
          </w:tcPr>
          <w:p>
            <w:pPr>
              <w:pStyle w:val="null3"/>
            </w:pPr>
            <w:r>
              <w:rPr>
                <w:rFonts w:ascii="仿宋_GB2312" w:hAnsi="仿宋_GB2312" w:cs="仿宋_GB2312" w:eastAsia="仿宋_GB2312"/>
              </w:rPr>
              <w:t>施⼯总体⽅案</w:t>
            </w:r>
          </w:p>
        </w:tc>
        <w:tc>
          <w:tcPr>
            <w:tcW w:type="dxa" w:w="2492"/>
          </w:tcPr>
          <w:p>
            <w:pPr>
              <w:pStyle w:val="null3"/>
            </w:pPr>
            <w:r>
              <w:rPr>
                <w:rFonts w:ascii="仿宋_GB2312" w:hAnsi="仿宋_GB2312" w:cs="仿宋_GB2312" w:eastAsia="仿宋_GB2312"/>
              </w:rPr>
              <w:t>供应商根据本项⽬制定施⼯总体⽅案，内容⾄少包括:①施⼯准备;②施⼯进度安排;③施⼯⽅法;④重点难点⼯程分析及解决措施;⑤对易发⽣质量通病，易出现安全问题、施⼯难度⼤、技术含量⾼的部分进⾏说明并给出施⼯保障措施和专项技术⽅案(含主要施⼯⽅法，组织措施，检验⼿段等)。供应商的施⼯总体⽅案包含上述5项内容且完全满⾜项⽬要求得10分，每缺⼀项内容扣2分，每有⼀处不完整或存在缺陷的扣0.5分，扣完为⽌。注:“缺陷”是指项⽬名称错误、内容与本项⽬需求⽆关、仅有框架或标题、内容过于简单、明显复制其他项⽬内容、内容不完整或缺少关键点、⾮专⻔针对本项⽬或不适⽤本项⽬特性、科学原理或常识错误、涉及的规范及标准(⽅法)错误、地点区域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施工方案.pdf</w:t>
            </w:r>
          </w:p>
        </w:tc>
      </w:tr>
      <w:tr>
        <w:tc>
          <w:tcPr>
            <w:tcW w:type="dxa" w:w="831"/>
            <w:vMerge/>
          </w:tcPr>
          <w:p/>
        </w:tc>
        <w:tc>
          <w:tcPr>
            <w:tcW w:type="dxa" w:w="1661"/>
          </w:tcPr>
          <w:p>
            <w:pPr>
              <w:pStyle w:val="null3"/>
            </w:pPr>
            <w:r>
              <w:rPr>
                <w:rFonts w:ascii="仿宋_GB2312" w:hAnsi="仿宋_GB2312" w:cs="仿宋_GB2312" w:eastAsia="仿宋_GB2312"/>
              </w:rPr>
              <w:t>技术措施</w:t>
            </w:r>
          </w:p>
        </w:tc>
        <w:tc>
          <w:tcPr>
            <w:tcW w:type="dxa" w:w="2492"/>
          </w:tcPr>
          <w:p>
            <w:pPr>
              <w:pStyle w:val="null3"/>
            </w:pPr>
            <w:r>
              <w:rPr>
                <w:rFonts w:ascii="仿宋_GB2312" w:hAnsi="仿宋_GB2312" w:cs="仿宋_GB2312" w:eastAsia="仿宋_GB2312"/>
              </w:rPr>
              <w:t>供应商根据本项⽬制定技术措施，内容⾄少包括:①确保⼯程质量的技术措施（含⼯程质量控制措施、材料和构配件的质量控制、施⼯质量的检验制度）；②确保⼯程安全施⼯的技术措施（含安全施⼯管理制度、安全施⼯保证措施、安全应急预案）；③确保⼯程⽂明施⼯的技术措施（含⽂明施⼯管理制度、⽂明施⼯保证措施、施⼯现场管理）；④确保⼯期的技术措施（含施⼯进度⽬标及进度计划表、⼯期保证措施、节点⼯期的控制措施）；⑤环境保护措施（含防尘降噪措施、节能减排措施、建筑垃圾处理⽅案）。供应商的技术措施包含上述5项内容且完全满⾜项⽬要求得30分，每缺⼀项内容扣6分，每有⼀处不完整或存在缺陷的扣1分，扣完为⽌。注:“缺陷”是指项⽬名称错误、内容与本项⽬需求⽆关、仅有框架或标题、内容过于简单、明显复制其他项⽬内容、内容不完整或缺少关键点、⾮专⻔针对本项⽬或不适⽤本项⽬特性、科学原理或常识错误、涉及的规范及标准(⽅法)错误、地点区域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技术措施.docx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1、经初审合格的磋商文件，其最终 报价为有效报价。 2、有效最低报 价为基准价得40分。 3、按（磋 商基准价/有效最终磋商报价）×40 的公式计算报价得分。 4、报价不完整的，不进入磋商基准价的计算 ，本项得 0 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详见附件：资质证书.docx</w:t>
      </w:r>
    </w:p>
    <w:p>
      <w:pPr>
        <w:pStyle w:val="null3"/>
        <w:ind w:firstLine="960"/>
      </w:pPr>
      <w:r>
        <w:rPr>
          <w:rFonts w:ascii="仿宋_GB2312" w:hAnsi="仿宋_GB2312" w:cs="仿宋_GB2312" w:eastAsia="仿宋_GB2312"/>
        </w:rPr>
        <w:t>详见附件：法定代表人证明书及法定代表授权书.docx</w:t>
      </w:r>
    </w:p>
    <w:p>
      <w:pPr>
        <w:pStyle w:val="null3"/>
        <w:ind w:firstLine="960"/>
      </w:pPr>
      <w:r>
        <w:rPr>
          <w:rFonts w:ascii="仿宋_GB2312" w:hAnsi="仿宋_GB2312" w:cs="仿宋_GB2312" w:eastAsia="仿宋_GB2312"/>
        </w:rPr>
        <w:t>详见附件：汉中市政府采购资格承诺函.docx</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详见附件：禁止磋商情形承诺书.docx</w:t>
      </w:r>
    </w:p>
    <w:p>
      <w:pPr>
        <w:pStyle w:val="null3"/>
        <w:ind w:firstLine="960"/>
      </w:pPr>
      <w:r>
        <w:rPr>
          <w:rFonts w:ascii="仿宋_GB2312" w:hAnsi="仿宋_GB2312" w:cs="仿宋_GB2312" w:eastAsia="仿宋_GB2312"/>
        </w:rPr>
        <w:t>详见附件：施工方案.pdf</w:t>
      </w:r>
    </w:p>
    <w:p>
      <w:pPr>
        <w:pStyle w:val="null3"/>
        <w:ind w:firstLine="960"/>
      </w:pPr>
      <w:r>
        <w:rPr>
          <w:rFonts w:ascii="仿宋_GB2312" w:hAnsi="仿宋_GB2312" w:cs="仿宋_GB2312" w:eastAsia="仿宋_GB2312"/>
        </w:rPr>
        <w:t>详见附件：技术措施.docx</w:t>
      </w:r>
    </w:p>
    <w:p>
      <w:pPr>
        <w:pStyle w:val="null3"/>
        <w:ind w:firstLine="960"/>
      </w:pPr>
      <w:r>
        <w:rPr>
          <w:rFonts w:ascii="仿宋_GB2312" w:hAnsi="仿宋_GB2312" w:cs="仿宋_GB2312" w:eastAsia="仿宋_GB2312"/>
        </w:rPr>
        <w:t>详见附件：拟派团队人员配置表.pdf</w:t>
      </w:r>
    </w:p>
    <w:p>
      <w:pPr>
        <w:pStyle w:val="null3"/>
        <w:ind w:firstLine="960"/>
      </w:pPr>
      <w:r>
        <w:rPr>
          <w:rFonts w:ascii="仿宋_GB2312" w:hAnsi="仿宋_GB2312" w:cs="仿宋_GB2312" w:eastAsia="仿宋_GB2312"/>
        </w:rPr>
        <w:t>详见附件：商务要求响应表.pdf</w:t>
      </w:r>
    </w:p>
    <w:p>
      <w:pPr>
        <w:pStyle w:val="null3"/>
        <w:ind w:firstLine="960"/>
      </w:pPr>
      <w:r>
        <w:rPr>
          <w:rFonts w:ascii="仿宋_GB2312" w:hAnsi="仿宋_GB2312" w:cs="仿宋_GB2312" w:eastAsia="仿宋_GB2312"/>
        </w:rPr>
        <w:t>详见附件：施工承诺.pdf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