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A55E5">
      <w:pPr>
        <w:pStyle w:val="2"/>
        <w:numPr>
          <w:ilvl w:val="0"/>
          <w:numId w:val="0"/>
        </w:numPr>
        <w:rPr>
          <w:rFonts w:ascii="宋体" w:hAnsi="宋体" w:eastAsia="宋体" w:cs="宋体"/>
        </w:rPr>
      </w:pPr>
      <w:bookmarkStart w:id="0" w:name="_Toc2854"/>
      <w:r>
        <w:rPr>
          <w:rFonts w:hint="eastAsia" w:ascii="宋体" w:hAnsi="宋体" w:eastAsia="宋体" w:cs="宋体"/>
        </w:rPr>
        <w:t>拟签订的合同文本</w:t>
      </w:r>
      <w:bookmarkEnd w:id="0"/>
    </w:p>
    <w:p w14:paraId="54394BBA">
      <w:pPr>
        <w:ind w:firstLine="0" w:firstLineChars="0"/>
        <w:rPr>
          <w:rFonts w:ascii="宋体" w:hAnsi="宋体" w:eastAsia="宋体" w:cs="宋体"/>
          <w:b/>
          <w:bCs/>
        </w:rPr>
      </w:pPr>
      <w:r>
        <w:rPr>
          <w:rFonts w:hint="eastAsia" w:ascii="宋体" w:hAnsi="宋体" w:eastAsia="宋体" w:cs="宋体"/>
          <w:b/>
          <w:bCs/>
        </w:rPr>
        <w:t>（本格式条款供双方签订合同参考，采购人可根据项目的实际情况增减条款和内容）</w:t>
      </w:r>
    </w:p>
    <w:p w14:paraId="2F2B5721">
      <w:pPr>
        <w:rPr>
          <w:rFonts w:hint="eastAsia" w:asciiTheme="majorEastAsia" w:hAnsiTheme="majorEastAsia" w:eastAsiaTheme="majorEastAsia" w:cstheme="majorEastAsia"/>
          <w:b/>
          <w:bCs/>
          <w:color w:val="000000"/>
          <w:spacing w:val="0"/>
          <w:w w:val="100"/>
          <w:kern w:val="0"/>
          <w:position w:val="0"/>
          <w:sz w:val="28"/>
          <w:szCs w:val="28"/>
          <w:shd w:val="clear" w:color="auto" w:fill="auto"/>
          <w:lang w:val="en-US" w:eastAsia="zh-CN" w:bidi="en-US"/>
        </w:rPr>
      </w:pPr>
      <w:r>
        <w:rPr>
          <w:rFonts w:hint="eastAsia" w:asciiTheme="majorEastAsia" w:hAnsiTheme="majorEastAsia" w:eastAsiaTheme="majorEastAsia" w:cstheme="majorEastAsia"/>
          <w:b/>
          <w:bCs/>
          <w:color w:val="000000"/>
          <w:spacing w:val="0"/>
          <w:w w:val="100"/>
          <w:kern w:val="0"/>
          <w:position w:val="0"/>
          <w:sz w:val="28"/>
          <w:szCs w:val="28"/>
          <w:shd w:val="clear" w:color="auto" w:fill="auto"/>
          <w:lang w:val="en-US" w:eastAsia="zh-CN" w:bidi="en-US"/>
        </w:rPr>
        <w:br w:type="page"/>
      </w:r>
    </w:p>
    <w:p w14:paraId="51903B7C">
      <w:pPr>
        <w:keepNext w:val="0"/>
        <w:keepLines w:val="0"/>
        <w:shd w:val="clear" w:color="auto" w:fill="auto"/>
        <w:bidi w:val="0"/>
        <w:spacing w:before="0" w:after="0" w:line="240" w:lineRule="auto"/>
        <w:ind w:left="0" w:right="0" w:firstLine="0" w:firstLineChars="0"/>
        <w:jc w:val="left"/>
        <w:rPr>
          <w:rFonts w:hint="eastAsia" w:asciiTheme="majorEastAsia" w:hAnsiTheme="majorEastAsia" w:eastAsiaTheme="majorEastAsia" w:cstheme="majorEastAsia"/>
          <w:color w:val="000000"/>
          <w:spacing w:val="0"/>
          <w:w w:val="100"/>
          <w:kern w:val="0"/>
          <w:position w:val="0"/>
          <w:sz w:val="28"/>
          <w:szCs w:val="28"/>
          <w:shd w:val="clear" w:color="auto" w:fill="auto"/>
          <w:lang w:val="en-US" w:eastAsia="zh-CN" w:bidi="en-US"/>
        </w:rPr>
      </w:pPr>
      <w:r>
        <w:rPr>
          <w:rFonts w:hint="eastAsia" w:asciiTheme="majorEastAsia" w:hAnsiTheme="majorEastAsia" w:eastAsiaTheme="majorEastAsia" w:cstheme="majorEastAsia"/>
          <w:b/>
          <w:bCs/>
          <w:color w:val="000000"/>
          <w:spacing w:val="0"/>
          <w:w w:val="100"/>
          <w:kern w:val="0"/>
          <w:position w:val="0"/>
          <w:sz w:val="28"/>
          <w:szCs w:val="28"/>
          <w:shd w:val="clear" w:color="auto" w:fill="auto"/>
          <w:lang w:val="en-US" w:eastAsia="zh-CN" w:bidi="en-US"/>
        </w:rPr>
        <w:t xml:space="preserve">政府采购项目 </w:t>
      </w:r>
      <w:r>
        <w:rPr>
          <w:rFonts w:hint="eastAsia" w:asciiTheme="majorEastAsia" w:hAnsiTheme="majorEastAsia" w:eastAsiaTheme="majorEastAsia" w:cstheme="majorEastAsia"/>
          <w:color w:val="000000"/>
          <w:spacing w:val="0"/>
          <w:w w:val="100"/>
          <w:kern w:val="0"/>
          <w:position w:val="0"/>
          <w:sz w:val="28"/>
          <w:szCs w:val="28"/>
          <w:shd w:val="clear" w:color="auto" w:fill="auto"/>
          <w:lang w:val="en-US" w:eastAsia="zh-CN" w:bidi="en-US"/>
        </w:rPr>
        <w:t xml:space="preserve">                                 </w:t>
      </w:r>
      <w:r>
        <w:rPr>
          <w:rFonts w:hint="eastAsia" w:asciiTheme="majorEastAsia" w:hAnsiTheme="majorEastAsia" w:eastAsiaTheme="majorEastAsia" w:cstheme="majorEastAsia"/>
          <w:b/>
          <w:bCs/>
          <w:color w:val="000000"/>
          <w:spacing w:val="0"/>
          <w:w w:val="100"/>
          <w:kern w:val="0"/>
          <w:position w:val="0"/>
          <w:sz w:val="28"/>
          <w:szCs w:val="28"/>
          <w:bdr w:val="single" w:color="000000" w:sz="4" w:space="0"/>
          <w:shd w:val="clear" w:color="auto" w:fill="auto"/>
          <w:lang w:val="en-US" w:eastAsia="zh-CN" w:bidi="en-US"/>
        </w:rPr>
        <w:t>竞争性谈判</w:t>
      </w:r>
    </w:p>
    <w:p w14:paraId="23E4E82E">
      <w:pPr>
        <w:keepNext/>
        <w:keepLines/>
        <w:widowControl w:val="0"/>
        <w:shd w:val="clear" w:color="auto" w:fill="auto"/>
        <w:bidi w:val="0"/>
        <w:spacing w:before="0" w:after="120" w:line="1133" w:lineRule="exact"/>
        <w:ind w:left="0" w:leftChars="0" w:right="0" w:firstLine="0" w:firstLineChars="0"/>
        <w:jc w:val="center"/>
        <w:outlineLvl w:val="0"/>
        <w:rPr>
          <w:rFonts w:hint="eastAsia" w:asciiTheme="majorEastAsia" w:hAnsiTheme="majorEastAsia" w:eastAsiaTheme="majorEastAsia" w:cstheme="majorEastAsia"/>
          <w:b/>
          <w:bCs/>
          <w:color w:val="auto"/>
          <w:spacing w:val="0"/>
          <w:w w:val="100"/>
          <w:position w:val="0"/>
          <w:sz w:val="44"/>
          <w:szCs w:val="44"/>
          <w:u w:val="none"/>
          <w:shd w:val="clear" w:color="auto" w:fill="auto"/>
          <w:lang w:val="en-US" w:eastAsia="zh-CN" w:bidi="en-US"/>
        </w:rPr>
      </w:pPr>
      <w:bookmarkStart w:id="1" w:name="bookmark2"/>
      <w:bookmarkStart w:id="2" w:name="bookmark0"/>
      <w:bookmarkStart w:id="3" w:name="bookmark1"/>
    </w:p>
    <w:p w14:paraId="76033715">
      <w:pPr>
        <w:keepNext/>
        <w:keepLines/>
        <w:widowControl w:val="0"/>
        <w:shd w:val="clear" w:color="auto" w:fill="auto"/>
        <w:bidi w:val="0"/>
        <w:spacing w:before="0" w:after="120" w:line="1133" w:lineRule="exact"/>
        <w:ind w:left="0" w:leftChars="0" w:right="0" w:firstLine="0" w:firstLineChars="0"/>
        <w:jc w:val="center"/>
        <w:outlineLvl w:val="0"/>
        <w:rPr>
          <w:rFonts w:hint="eastAsia" w:asciiTheme="majorEastAsia" w:hAnsiTheme="majorEastAsia" w:eastAsiaTheme="majorEastAsia" w:cstheme="majorEastAsia"/>
          <w:b/>
          <w:bCs/>
          <w:color w:val="auto"/>
          <w:spacing w:val="0"/>
          <w:w w:val="100"/>
          <w:position w:val="0"/>
          <w:sz w:val="36"/>
          <w:szCs w:val="36"/>
          <w:u w:val="none"/>
          <w:shd w:val="clear" w:color="auto" w:fill="auto"/>
          <w:lang w:val="en-US" w:eastAsia="zh-CN" w:bidi="en-US"/>
        </w:rPr>
      </w:pPr>
      <w:r>
        <w:rPr>
          <w:rFonts w:hint="eastAsia" w:asciiTheme="majorEastAsia" w:hAnsiTheme="majorEastAsia" w:eastAsiaTheme="majorEastAsia" w:cstheme="majorEastAsia"/>
          <w:b/>
          <w:bCs/>
          <w:color w:val="auto"/>
          <w:spacing w:val="0"/>
          <w:w w:val="100"/>
          <w:position w:val="0"/>
          <w:sz w:val="36"/>
          <w:szCs w:val="36"/>
          <w:u w:val="none"/>
          <w:shd w:val="clear" w:color="auto" w:fill="auto"/>
          <w:lang w:val="en-US" w:eastAsia="zh-CN" w:bidi="en-US"/>
        </w:rPr>
        <w:t>2026年度办公耗材及日常办公用品采购项目</w:t>
      </w:r>
    </w:p>
    <w:p w14:paraId="47745480">
      <w:pPr>
        <w:keepNext/>
        <w:keepLines/>
        <w:widowControl w:val="0"/>
        <w:shd w:val="clear" w:color="auto" w:fill="auto"/>
        <w:bidi w:val="0"/>
        <w:spacing w:before="0" w:after="120" w:line="1133" w:lineRule="exact"/>
        <w:ind w:left="0" w:leftChars="0" w:right="0" w:firstLine="0" w:firstLineChars="0"/>
        <w:jc w:val="center"/>
        <w:outlineLvl w:val="0"/>
        <w:rPr>
          <w:rFonts w:hint="eastAsia" w:asciiTheme="majorEastAsia" w:hAnsiTheme="majorEastAsia" w:eastAsiaTheme="majorEastAsia" w:cstheme="majorEastAsia"/>
          <w:b/>
          <w:bCs/>
          <w:color w:val="auto"/>
          <w:spacing w:val="0"/>
          <w:w w:val="100"/>
          <w:position w:val="0"/>
          <w:sz w:val="52"/>
          <w:szCs w:val="52"/>
          <w:u w:val="none"/>
          <w:shd w:val="clear" w:color="auto" w:fill="auto"/>
          <w:lang w:val="en-US" w:eastAsia="zh-CN" w:bidi="en-US"/>
        </w:rPr>
      </w:pPr>
    </w:p>
    <w:p w14:paraId="69860B1E">
      <w:pPr>
        <w:keepNext/>
        <w:keepLines/>
        <w:widowControl w:val="0"/>
        <w:shd w:val="clear" w:color="auto" w:fill="auto"/>
        <w:bidi w:val="0"/>
        <w:spacing w:before="0" w:after="120" w:line="1133" w:lineRule="exact"/>
        <w:ind w:right="0"/>
        <w:jc w:val="center"/>
        <w:outlineLvl w:val="0"/>
        <w:rPr>
          <w:rFonts w:hint="eastAsia" w:asciiTheme="majorEastAsia" w:hAnsiTheme="majorEastAsia" w:eastAsiaTheme="majorEastAsia" w:cstheme="majorEastAsia"/>
          <w:b/>
          <w:bCs/>
          <w:color w:val="auto"/>
          <w:spacing w:val="0"/>
          <w:w w:val="100"/>
          <w:position w:val="0"/>
          <w:sz w:val="52"/>
          <w:szCs w:val="52"/>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52"/>
          <w:szCs w:val="52"/>
          <w:u w:val="none"/>
          <w:shd w:val="clear" w:color="auto" w:fill="auto"/>
          <w:lang w:val="zh-TW" w:eastAsia="zh-TW" w:bidi="zh-TW"/>
        </w:rPr>
        <w:t>供货合同</w:t>
      </w:r>
      <w:bookmarkEnd w:id="1"/>
      <w:bookmarkEnd w:id="2"/>
      <w:bookmarkEnd w:id="3"/>
    </w:p>
    <w:p w14:paraId="28E78C32">
      <w:pPr>
        <w:keepNext w:val="0"/>
        <w:keepLines w:val="0"/>
        <w:widowControl w:val="0"/>
        <w:shd w:val="clear" w:color="auto" w:fill="auto"/>
        <w:bidi w:val="0"/>
        <w:spacing w:before="0" w:after="120" w:line="240" w:lineRule="auto"/>
        <w:ind w:left="0" w:right="0" w:firstLine="2700" w:firstLineChars="900"/>
        <w:jc w:val="both"/>
        <w:rPr>
          <w:rFonts w:hint="eastAsia" w:asciiTheme="majorEastAsia" w:hAnsiTheme="majorEastAsia" w:eastAsiaTheme="majorEastAsia" w:cstheme="majorEastAsia"/>
          <w:color w:val="auto"/>
          <w:spacing w:val="0"/>
          <w:w w:val="100"/>
          <w:position w:val="0"/>
          <w:sz w:val="30"/>
          <w:szCs w:val="30"/>
          <w:u w:val="none"/>
          <w:shd w:val="clear" w:color="auto" w:fill="auto"/>
          <w:lang w:val="en-US" w:eastAsia="en-US" w:bidi="en-US"/>
        </w:rPr>
      </w:pPr>
      <w:r>
        <w:rPr>
          <w:rFonts w:hint="eastAsia" w:asciiTheme="majorEastAsia" w:hAnsiTheme="majorEastAsia" w:eastAsiaTheme="majorEastAsia" w:cstheme="majorEastAsia"/>
          <w:color w:val="auto"/>
          <w:spacing w:val="0"/>
          <w:w w:val="100"/>
          <w:position w:val="0"/>
          <w:sz w:val="30"/>
          <w:szCs w:val="30"/>
          <w:u w:val="none"/>
          <w:shd w:val="clear" w:color="auto" w:fill="auto"/>
          <w:lang w:val="zh-TW" w:eastAsia="zh-TW" w:bidi="zh-TW"/>
        </w:rPr>
        <w:t>（</w:t>
      </w:r>
      <w:r>
        <w:rPr>
          <w:rFonts w:hint="eastAsia" w:asciiTheme="majorEastAsia" w:hAnsiTheme="majorEastAsia" w:eastAsiaTheme="majorEastAsia" w:cstheme="majorEastAsia"/>
          <w:color w:val="auto"/>
          <w:spacing w:val="0"/>
          <w:w w:val="100"/>
          <w:position w:val="0"/>
          <w:sz w:val="30"/>
          <w:szCs w:val="30"/>
          <w:u w:val="none"/>
          <w:shd w:val="clear" w:color="auto" w:fill="auto"/>
          <w:lang w:val="en-US" w:eastAsia="zh-CN" w:bidi="zh-TW"/>
        </w:rPr>
        <w:t>项目编号：</w:t>
      </w:r>
      <w:r>
        <w:rPr>
          <w:rFonts w:hint="eastAsia" w:asciiTheme="majorEastAsia" w:hAnsiTheme="majorEastAsia" w:eastAsiaTheme="majorEastAsia" w:cstheme="majorEastAsia"/>
          <w:color w:val="auto"/>
          <w:spacing w:val="0"/>
          <w:w w:val="100"/>
          <w:position w:val="0"/>
          <w:sz w:val="30"/>
          <w:szCs w:val="30"/>
          <w:u w:val="none"/>
          <w:shd w:val="clear" w:color="auto" w:fill="auto"/>
          <w:lang w:val="en-US" w:eastAsia="en-US" w:bidi="en-US"/>
        </w:rPr>
        <w:t>）</w:t>
      </w:r>
    </w:p>
    <w:p w14:paraId="448F902E">
      <w:pPr>
        <w:keepNext w:val="0"/>
        <w:keepLines w:val="0"/>
        <w:widowControl w:val="0"/>
        <w:shd w:val="clear" w:color="auto" w:fill="auto"/>
        <w:bidi w:val="0"/>
        <w:spacing w:before="0" w:after="0" w:line="499" w:lineRule="exact"/>
        <w:ind w:left="0" w:right="0" w:firstLine="0"/>
        <w:jc w:val="both"/>
        <w:rPr>
          <w:rFonts w:hint="eastAsia" w:asciiTheme="majorEastAsia" w:hAnsiTheme="majorEastAsia" w:eastAsiaTheme="majorEastAsia" w:cstheme="majorEastAsia"/>
          <w:color w:val="auto"/>
          <w:spacing w:val="0"/>
          <w:w w:val="100"/>
          <w:position w:val="0"/>
          <w:sz w:val="30"/>
          <w:szCs w:val="30"/>
          <w:u w:val="none"/>
          <w:shd w:val="clear" w:color="auto" w:fill="auto"/>
          <w:lang w:val="zh-TW" w:eastAsia="zh-TW" w:bidi="zh-TW"/>
        </w:rPr>
      </w:pPr>
    </w:p>
    <w:p w14:paraId="334102D5">
      <w:pPr>
        <w:keepNext w:val="0"/>
        <w:keepLines w:val="0"/>
        <w:widowControl w:val="0"/>
        <w:shd w:val="clear" w:color="auto" w:fill="auto"/>
        <w:bidi w:val="0"/>
        <w:spacing w:before="0" w:after="0" w:line="499" w:lineRule="exact"/>
        <w:ind w:left="0" w:leftChars="0" w:right="0" w:firstLine="0" w:firstLineChars="0"/>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pPr>
    </w:p>
    <w:p w14:paraId="378A22EA">
      <w:pPr>
        <w:keepNext w:val="0"/>
        <w:keepLines w:val="0"/>
        <w:widowControl w:val="0"/>
        <w:shd w:val="clear" w:color="auto" w:fill="auto"/>
        <w:bidi w:val="0"/>
        <w:spacing w:before="0" w:after="0" w:line="499" w:lineRule="exact"/>
        <w:ind w:left="0" w:right="0" w:firstLine="0"/>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pPr>
    </w:p>
    <w:p w14:paraId="388BC8A0">
      <w:pPr>
        <w:keepNext w:val="0"/>
        <w:keepLines w:val="0"/>
        <w:widowControl w:val="0"/>
        <w:shd w:val="clear" w:color="auto" w:fill="auto"/>
        <w:bidi w:val="0"/>
        <w:spacing w:before="0" w:after="0" w:line="480" w:lineRule="auto"/>
        <w:ind w:left="3084" w:leftChars="700" w:right="0" w:hanging="1614" w:hangingChars="538"/>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en-US"/>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甲方：西安市公安局公交轨道公安局</w:t>
      </w:r>
    </w:p>
    <w:p w14:paraId="76DE4B02">
      <w:pPr>
        <w:keepNext w:val="0"/>
        <w:keepLines w:val="0"/>
        <w:widowControl w:val="0"/>
        <w:shd w:val="clear" w:color="auto" w:fill="auto"/>
        <w:bidi w:val="0"/>
        <w:spacing w:before="0" w:after="0" w:line="480" w:lineRule="auto"/>
        <w:ind w:left="3084" w:leftChars="700" w:right="0" w:hanging="1614" w:hangingChars="538"/>
        <w:jc w:val="both"/>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en-US"/>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乙方:</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zh-TW"/>
        </w:rPr>
        <w:t xml:space="preserve">                                 </w:t>
      </w:r>
    </w:p>
    <w:p w14:paraId="4CEAAFF8">
      <w:pPr>
        <w:keepNext w:val="0"/>
        <w:keepLines w:val="0"/>
        <w:widowControl w:val="0"/>
        <w:shd w:val="clear" w:color="auto" w:fill="auto"/>
        <w:bidi w:val="0"/>
        <w:spacing w:before="0" w:after="660" w:line="499" w:lineRule="exact"/>
        <w:ind w:left="3084" w:leftChars="700" w:right="0" w:hanging="1614" w:hangingChars="538"/>
        <w:jc w:val="left"/>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en-US" w:bidi="en-US"/>
        </w:rPr>
      </w:pPr>
    </w:p>
    <w:p w14:paraId="60C0A28E">
      <w:pPr>
        <w:keepNext w:val="0"/>
        <w:keepLines w:val="0"/>
        <w:widowControl w:val="0"/>
        <w:shd w:val="clear" w:color="auto" w:fill="auto"/>
        <w:bidi w:val="0"/>
        <w:spacing w:before="0" w:after="0" w:line="348" w:lineRule="auto"/>
        <w:ind w:left="0" w:right="0" w:firstLine="0"/>
        <w:jc w:val="cente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en-US" w:bidi="en-US"/>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en-US" w:bidi="en-US"/>
        </w:rPr>
        <w:t>202</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en-US"/>
        </w:rPr>
        <w:t>6</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年</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月</w:t>
      </w:r>
    </w:p>
    <w:p w14:paraId="607BC22B">
      <w:pPr>
        <w:keepNext w:val="0"/>
        <w:keepLines w:val="0"/>
        <w:widowControl w:val="0"/>
        <w:shd w:val="clear" w:color="auto" w:fill="auto"/>
        <w:bidi w:val="0"/>
        <w:spacing w:before="0" w:after="0" w:line="499" w:lineRule="exact"/>
        <w:ind w:left="0" w:right="0" w:firstLine="0"/>
        <w:jc w:val="cente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中国</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30"/>
          <w:szCs w:val="30"/>
          <w:highlight w:val="none"/>
          <w:u w:val="none"/>
          <w:shd w:val="clear" w:color="auto" w:fill="auto"/>
          <w:lang w:val="zh-TW" w:eastAsia="zh-TW" w:bidi="zh-TW"/>
        </w:rPr>
        <w:t>西安</w:t>
      </w:r>
    </w:p>
    <w:p w14:paraId="26FF958C">
      <w:pPr>
        <w:keepNext w:val="0"/>
        <w:keepLines w:val="0"/>
        <w:shd w:val="clear" w:color="auto" w:fill="auto"/>
        <w:bidi w:val="0"/>
        <w:spacing w:before="0" w:after="0" w:line="240" w:lineRule="auto"/>
        <w:ind w:left="0" w:right="0" w:firstLine="0" w:firstLineChars="0"/>
        <w:jc w:val="left"/>
        <w:rPr>
          <w:rFonts w:hint="eastAsia" w:asciiTheme="majorEastAsia" w:hAnsiTheme="majorEastAsia" w:eastAsiaTheme="majorEastAsia" w:cstheme="majorEastAsia"/>
          <w:color w:val="auto"/>
          <w:spacing w:val="0"/>
          <w:w w:val="100"/>
          <w:kern w:val="0"/>
          <w:position w:val="0"/>
          <w:highlight w:val="none"/>
          <w:shd w:val="clear" w:color="auto" w:fill="auto"/>
          <w:lang w:eastAsia="en-US" w:bidi="en-US"/>
        </w:rPr>
      </w:pPr>
      <w:bookmarkStart w:id="4" w:name="bookmark3"/>
      <w:bookmarkStart w:id="5" w:name="bookmark4"/>
      <w:bookmarkStart w:id="6" w:name="bookmark5"/>
      <w:r>
        <w:rPr>
          <w:rFonts w:hint="eastAsia" w:asciiTheme="majorEastAsia" w:hAnsiTheme="majorEastAsia" w:eastAsiaTheme="majorEastAsia" w:cstheme="majorEastAsia"/>
          <w:color w:val="auto"/>
          <w:spacing w:val="0"/>
          <w:w w:val="100"/>
          <w:kern w:val="0"/>
          <w:position w:val="0"/>
          <w:highlight w:val="none"/>
          <w:shd w:val="clear" w:color="auto" w:fill="auto"/>
          <w:lang w:eastAsia="en-US" w:bidi="en-US"/>
        </w:rPr>
        <w:br w:type="page"/>
      </w:r>
    </w:p>
    <w:bookmarkEnd w:id="4"/>
    <w:bookmarkEnd w:id="5"/>
    <w:bookmarkEnd w:id="6"/>
    <w:p w14:paraId="0DA205A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甲方</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CN" w:bidi="zh-TW"/>
        </w:rPr>
        <w:t>采</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购人名称全称）</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zh-TW"/>
        </w:rPr>
        <w:t>西安市公安局公交轨道公安局</w:t>
      </w:r>
    </w:p>
    <w:p w14:paraId="2715C35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（供应商名称全称）</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p>
    <w:p w14:paraId="1C5A56F8">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80" w:firstLineChars="200"/>
        <w:jc w:val="left"/>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陕西慧科工程管理咨询有限公司</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就甲方所需货物，在西安市财政局的监督管理下，按照政府</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购程序组织竞争性谈判，确定乙方为</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zh-TW" w:eastAsia="zh-CN" w:bidi="zh-TW"/>
        </w:rPr>
        <w:t>2026年度办公耗材及日常办公用品采购项目</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（项目编号：</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成交供应商。</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依</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据《中华人民共和国政府采购法》、《中华人民共和国民法典》以及竞争性谈判文件、成交通知书，经甲、乙双方协商，达成如下合同条款。</w:t>
      </w:r>
    </w:p>
    <w:p w14:paraId="71907F8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00" w:line="360" w:lineRule="auto"/>
        <w:ind w:left="0" w:leftChars="0" w:right="0" w:rightChars="0" w:firstLine="482" w:firstLineChars="200"/>
        <w:jc w:val="left"/>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kern w:val="2"/>
          <w:position w:val="0"/>
          <w:sz w:val="24"/>
          <w:szCs w:val="24"/>
          <w:shd w:val="clear" w:fill="auto"/>
          <w:lang w:val="zh-TW" w:eastAsia="zh-TW" w:bidi="zh-TW"/>
        </w:rPr>
        <w:t>一、</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合同标的物内容（以响应文件正本和澄清表〈函〉为准）</w:t>
      </w:r>
    </w:p>
    <w:p w14:paraId="4E26C04E">
      <w:pPr>
        <w:rPr>
          <w:rFonts w:hint="eastAsia"/>
          <w:lang w:val="zh-TW" w:eastAsia="zh-TW"/>
        </w:rPr>
      </w:pPr>
    </w:p>
    <w:tbl>
      <w:tblPr>
        <w:tblStyle w:val="6"/>
        <w:tblW w:w="4998" w:type="pct"/>
        <w:jc w:val="center"/>
        <w:tblLayout w:type="autofit"/>
        <w:tblCellMar>
          <w:top w:w="0" w:type="dxa"/>
          <w:left w:w="10" w:type="dxa"/>
          <w:bottom w:w="0" w:type="dxa"/>
          <w:right w:w="10" w:type="dxa"/>
        </w:tblCellMar>
      </w:tblPr>
      <w:tblGrid>
        <w:gridCol w:w="513"/>
        <w:gridCol w:w="1112"/>
        <w:gridCol w:w="1112"/>
        <w:gridCol w:w="1112"/>
        <w:gridCol w:w="1112"/>
        <w:gridCol w:w="1112"/>
        <w:gridCol w:w="1112"/>
        <w:gridCol w:w="1138"/>
      </w:tblGrid>
      <w:tr w14:paraId="5B18AFC7">
        <w:tblPrEx>
          <w:tblCellMar>
            <w:top w:w="0" w:type="dxa"/>
            <w:left w:w="10" w:type="dxa"/>
            <w:bottom w:w="0" w:type="dxa"/>
            <w:right w:w="10" w:type="dxa"/>
          </w:tblCellMar>
        </w:tblPrEx>
        <w:trPr>
          <w:trHeight w:val="968" w:hRule="exact"/>
          <w:jc w:val="center"/>
        </w:trPr>
        <w:tc>
          <w:tcPr>
            <w:tcW w:w="308" w:type="pct"/>
            <w:tcBorders>
              <w:top w:val="single" w:color="auto" w:sz="4" w:space="0"/>
              <w:left w:val="single" w:color="auto" w:sz="4" w:space="0"/>
            </w:tcBorders>
            <w:shd w:val="clear" w:color="auto" w:fill="FFFFFF"/>
            <w:vAlign w:val="center"/>
          </w:tcPr>
          <w:p w14:paraId="01CBB59A">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序号</w:t>
            </w:r>
          </w:p>
        </w:tc>
        <w:tc>
          <w:tcPr>
            <w:tcW w:w="668" w:type="pct"/>
            <w:tcBorders>
              <w:top w:val="single" w:color="auto" w:sz="4" w:space="0"/>
              <w:left w:val="single" w:color="auto" w:sz="4" w:space="0"/>
            </w:tcBorders>
            <w:shd w:val="clear" w:color="auto" w:fill="FFFFFF"/>
            <w:vAlign w:val="center"/>
          </w:tcPr>
          <w:p w14:paraId="1DC74802">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货物名称</w:t>
            </w:r>
          </w:p>
        </w:tc>
        <w:tc>
          <w:tcPr>
            <w:tcW w:w="668" w:type="pct"/>
            <w:tcBorders>
              <w:top w:val="single" w:color="auto" w:sz="4" w:space="0"/>
              <w:left w:val="single" w:color="auto" w:sz="4" w:space="0"/>
            </w:tcBorders>
            <w:shd w:val="clear" w:color="auto" w:fill="FFFFFF"/>
            <w:vAlign w:val="center"/>
          </w:tcPr>
          <w:p w14:paraId="51B6523A">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color w:val="000000"/>
                <w:spacing w:val="0"/>
                <w:w w:val="100"/>
                <w:position w:val="0"/>
                <w:sz w:val="21"/>
                <w:szCs w:val="21"/>
                <w:highlight w:val="none"/>
                <w:u w:val="none"/>
                <w:shd w:val="clear" w:color="auto" w:fill="auto"/>
                <w:lang w:val="en-US" w:eastAsia="zh-CN" w:bidi="zh-TW"/>
              </w:rPr>
              <w:t>制造商名称</w:t>
            </w:r>
          </w:p>
        </w:tc>
        <w:tc>
          <w:tcPr>
            <w:tcW w:w="668" w:type="pct"/>
            <w:tcBorders>
              <w:top w:val="single" w:color="auto" w:sz="4" w:space="0"/>
              <w:left w:val="single" w:color="auto" w:sz="4" w:space="0"/>
            </w:tcBorders>
            <w:shd w:val="clear" w:color="auto" w:fill="FFFFFF"/>
            <w:vAlign w:val="center"/>
          </w:tcPr>
          <w:p w14:paraId="49B49396">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color w:val="000000"/>
                <w:spacing w:val="0"/>
                <w:w w:val="100"/>
                <w:position w:val="0"/>
                <w:sz w:val="21"/>
                <w:szCs w:val="21"/>
                <w:highlight w:val="none"/>
                <w:u w:val="none"/>
                <w:shd w:val="clear" w:color="auto" w:fill="auto"/>
                <w:lang w:val="en-US" w:eastAsia="zh-CN" w:bidi="zh-TW"/>
              </w:rPr>
              <w:t>品牌</w:t>
            </w:r>
          </w:p>
        </w:tc>
        <w:tc>
          <w:tcPr>
            <w:tcW w:w="668" w:type="pct"/>
            <w:tcBorders>
              <w:top w:val="single" w:color="auto" w:sz="4" w:space="0"/>
              <w:left w:val="single" w:color="auto" w:sz="4" w:space="0"/>
            </w:tcBorders>
            <w:shd w:val="clear" w:color="auto" w:fill="FFFFFF"/>
            <w:vAlign w:val="center"/>
          </w:tcPr>
          <w:p w14:paraId="1713C093">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规格型号</w:t>
            </w:r>
          </w:p>
        </w:tc>
        <w:tc>
          <w:tcPr>
            <w:tcW w:w="668" w:type="pct"/>
            <w:tcBorders>
              <w:top w:val="single" w:color="auto" w:sz="4" w:space="0"/>
              <w:left w:val="single" w:color="auto" w:sz="4" w:space="0"/>
            </w:tcBorders>
            <w:shd w:val="clear" w:color="auto" w:fill="FFFFFF"/>
            <w:vAlign w:val="center"/>
          </w:tcPr>
          <w:p w14:paraId="1FA6AAAE">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单价</w:t>
            </w:r>
          </w:p>
          <w:p w14:paraId="13FA18DA">
            <w:pPr>
              <w:keepNext w:val="0"/>
              <w:keepLines w:val="0"/>
              <w:pageBreakBefore w:val="0"/>
              <w:widowControl w:val="0"/>
              <w:shd w:val="clear" w:color="auto" w:fill="auto"/>
              <w:kinsoku/>
              <w:wordWrap/>
              <w:overflowPunct/>
              <w:topLinePunct w:val="0"/>
              <w:autoSpaceDE/>
              <w:autoSpaceDN/>
              <w:bidi w:val="0"/>
              <w:adjustRightInd/>
              <w:snapToGrid/>
              <w:spacing w:before="12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（元）</w:t>
            </w:r>
          </w:p>
        </w:tc>
        <w:tc>
          <w:tcPr>
            <w:tcW w:w="668" w:type="pct"/>
            <w:tcBorders>
              <w:top w:val="single" w:color="auto" w:sz="4" w:space="0"/>
              <w:left w:val="single" w:color="auto" w:sz="4" w:space="0"/>
            </w:tcBorders>
            <w:shd w:val="clear" w:color="auto" w:fill="FFFFFF"/>
            <w:vAlign w:val="center"/>
          </w:tcPr>
          <w:p w14:paraId="62DCCD66">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数量</w:t>
            </w:r>
          </w:p>
        </w:tc>
        <w:tc>
          <w:tcPr>
            <w:tcW w:w="683" w:type="pct"/>
            <w:tcBorders>
              <w:top w:val="single" w:color="auto" w:sz="4" w:space="0"/>
              <w:left w:val="single" w:color="auto" w:sz="4" w:space="0"/>
              <w:right w:val="single" w:color="auto" w:sz="4" w:space="0"/>
            </w:tcBorders>
            <w:shd w:val="clear" w:color="auto" w:fill="FFFFFF"/>
            <w:vAlign w:val="center"/>
          </w:tcPr>
          <w:p w14:paraId="58D4FD3B">
            <w:pPr>
              <w:keepNext w:val="0"/>
              <w:keepLines w:val="0"/>
              <w:pageBreakBefore w:val="0"/>
              <w:widowControl w:val="0"/>
              <w:shd w:val="clear" w:color="auto" w:fill="auto"/>
              <w:kinsoku/>
              <w:wordWrap/>
              <w:overflowPunct/>
              <w:topLinePunct w:val="0"/>
              <w:autoSpaceDE/>
              <w:autoSpaceDN/>
              <w:bidi w:val="0"/>
              <w:adjustRightInd/>
              <w:snapToGrid/>
              <w:spacing w:before="140" w:after="0" w:line="240" w:lineRule="auto"/>
              <w:ind w:left="0" w:right="32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总价（元）</w:t>
            </w:r>
          </w:p>
        </w:tc>
      </w:tr>
      <w:tr w14:paraId="564F9B63">
        <w:tblPrEx>
          <w:tblCellMar>
            <w:top w:w="0" w:type="dxa"/>
            <w:left w:w="10" w:type="dxa"/>
            <w:bottom w:w="0" w:type="dxa"/>
            <w:right w:w="10" w:type="dxa"/>
          </w:tblCellMar>
        </w:tblPrEx>
        <w:trPr>
          <w:trHeight w:val="499" w:hRule="exact"/>
          <w:jc w:val="center"/>
        </w:trPr>
        <w:tc>
          <w:tcPr>
            <w:tcW w:w="308" w:type="pct"/>
            <w:tcBorders>
              <w:top w:val="single" w:color="auto" w:sz="4" w:space="0"/>
              <w:left w:val="single" w:color="auto" w:sz="4" w:space="0"/>
            </w:tcBorders>
            <w:shd w:val="clear" w:color="auto" w:fill="FFFFFF"/>
            <w:vAlign w:val="center"/>
          </w:tcPr>
          <w:p w14:paraId="6C43EF3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1</w:t>
            </w:r>
          </w:p>
        </w:tc>
        <w:tc>
          <w:tcPr>
            <w:tcW w:w="668" w:type="pct"/>
            <w:tcBorders>
              <w:top w:val="single" w:color="auto" w:sz="4" w:space="0"/>
              <w:left w:val="single" w:color="auto" w:sz="4" w:space="0"/>
            </w:tcBorders>
            <w:shd w:val="clear" w:color="auto" w:fill="FFFFFF"/>
            <w:vAlign w:val="center"/>
          </w:tcPr>
          <w:p w14:paraId="2C737BA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34B6F7FD">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6D1897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0915541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6DCBEF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3F2E266A">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37A2B62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4114957C">
        <w:tblPrEx>
          <w:tblCellMar>
            <w:top w:w="0" w:type="dxa"/>
            <w:left w:w="10" w:type="dxa"/>
            <w:bottom w:w="0" w:type="dxa"/>
            <w:right w:w="10" w:type="dxa"/>
          </w:tblCellMar>
        </w:tblPrEx>
        <w:trPr>
          <w:trHeight w:val="509" w:hRule="exact"/>
          <w:jc w:val="center"/>
        </w:trPr>
        <w:tc>
          <w:tcPr>
            <w:tcW w:w="308" w:type="pct"/>
            <w:tcBorders>
              <w:top w:val="single" w:color="auto" w:sz="4" w:space="0"/>
              <w:left w:val="single" w:color="auto" w:sz="4" w:space="0"/>
            </w:tcBorders>
            <w:shd w:val="clear" w:color="auto" w:fill="FFFFFF"/>
            <w:vAlign w:val="center"/>
          </w:tcPr>
          <w:p w14:paraId="2E84B24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2</w:t>
            </w:r>
          </w:p>
        </w:tc>
        <w:tc>
          <w:tcPr>
            <w:tcW w:w="668" w:type="pct"/>
            <w:tcBorders>
              <w:top w:val="single" w:color="auto" w:sz="4" w:space="0"/>
              <w:left w:val="single" w:color="auto" w:sz="4" w:space="0"/>
            </w:tcBorders>
            <w:shd w:val="clear" w:color="auto" w:fill="FFFFFF"/>
            <w:vAlign w:val="center"/>
          </w:tcPr>
          <w:p w14:paraId="21579D1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88CAED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745CD03">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62DB87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35CF21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E80F72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7AD6F57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68335DCB">
        <w:tblPrEx>
          <w:tblCellMar>
            <w:top w:w="0" w:type="dxa"/>
            <w:left w:w="10" w:type="dxa"/>
            <w:bottom w:w="0" w:type="dxa"/>
            <w:right w:w="10" w:type="dxa"/>
          </w:tblCellMar>
        </w:tblPrEx>
        <w:trPr>
          <w:trHeight w:val="518" w:hRule="exact"/>
          <w:jc w:val="center"/>
        </w:trPr>
        <w:tc>
          <w:tcPr>
            <w:tcW w:w="308" w:type="pct"/>
            <w:tcBorders>
              <w:top w:val="single" w:color="auto" w:sz="4" w:space="0"/>
              <w:left w:val="single" w:color="auto" w:sz="4" w:space="0"/>
            </w:tcBorders>
            <w:shd w:val="clear" w:color="auto" w:fill="FFFFFF"/>
            <w:vAlign w:val="center"/>
          </w:tcPr>
          <w:p w14:paraId="00AF830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3</w:t>
            </w:r>
          </w:p>
        </w:tc>
        <w:tc>
          <w:tcPr>
            <w:tcW w:w="668" w:type="pct"/>
            <w:tcBorders>
              <w:top w:val="single" w:color="auto" w:sz="4" w:space="0"/>
              <w:left w:val="single" w:color="auto" w:sz="4" w:space="0"/>
            </w:tcBorders>
            <w:shd w:val="clear" w:color="auto" w:fill="FFFFFF"/>
            <w:vAlign w:val="center"/>
          </w:tcPr>
          <w:p w14:paraId="7FD6FAC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D311AB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61D912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CBB66A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E507814">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513A91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20706C5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237178AA">
        <w:tblPrEx>
          <w:tblCellMar>
            <w:top w:w="0" w:type="dxa"/>
            <w:left w:w="10" w:type="dxa"/>
            <w:bottom w:w="0" w:type="dxa"/>
            <w:right w:w="10" w:type="dxa"/>
          </w:tblCellMar>
        </w:tblPrEx>
        <w:trPr>
          <w:trHeight w:val="509" w:hRule="exact"/>
          <w:jc w:val="center"/>
        </w:trPr>
        <w:tc>
          <w:tcPr>
            <w:tcW w:w="308" w:type="pct"/>
            <w:tcBorders>
              <w:top w:val="single" w:color="auto" w:sz="4" w:space="0"/>
              <w:left w:val="single" w:color="auto" w:sz="4" w:space="0"/>
            </w:tcBorders>
            <w:shd w:val="clear" w:color="auto" w:fill="FFFFFF"/>
            <w:vAlign w:val="center"/>
          </w:tcPr>
          <w:p w14:paraId="31B88A5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4</w:t>
            </w:r>
          </w:p>
        </w:tc>
        <w:tc>
          <w:tcPr>
            <w:tcW w:w="668" w:type="pct"/>
            <w:tcBorders>
              <w:top w:val="single" w:color="auto" w:sz="4" w:space="0"/>
              <w:left w:val="single" w:color="auto" w:sz="4" w:space="0"/>
            </w:tcBorders>
            <w:shd w:val="clear" w:color="auto" w:fill="FFFFFF"/>
            <w:vAlign w:val="center"/>
          </w:tcPr>
          <w:p w14:paraId="4E9F160D">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838CF01">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E16C883">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0D8A9F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EC2411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08AA070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5368BACD">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635096E2">
        <w:tblPrEx>
          <w:tblCellMar>
            <w:top w:w="0" w:type="dxa"/>
            <w:left w:w="10" w:type="dxa"/>
            <w:bottom w:w="0" w:type="dxa"/>
            <w:right w:w="10" w:type="dxa"/>
          </w:tblCellMar>
        </w:tblPrEx>
        <w:trPr>
          <w:trHeight w:val="499" w:hRule="exact"/>
          <w:jc w:val="center"/>
        </w:trPr>
        <w:tc>
          <w:tcPr>
            <w:tcW w:w="308" w:type="pct"/>
            <w:tcBorders>
              <w:top w:val="single" w:color="auto" w:sz="4" w:space="0"/>
              <w:left w:val="single" w:color="auto" w:sz="4" w:space="0"/>
            </w:tcBorders>
            <w:shd w:val="clear" w:color="auto" w:fill="FFFFFF"/>
            <w:vAlign w:val="center"/>
          </w:tcPr>
          <w:p w14:paraId="4B17FFEF">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5</w:t>
            </w:r>
          </w:p>
        </w:tc>
        <w:tc>
          <w:tcPr>
            <w:tcW w:w="668" w:type="pct"/>
            <w:tcBorders>
              <w:top w:val="single" w:color="auto" w:sz="4" w:space="0"/>
              <w:left w:val="single" w:color="auto" w:sz="4" w:space="0"/>
            </w:tcBorders>
            <w:shd w:val="clear" w:color="auto" w:fill="FFFFFF"/>
            <w:vAlign w:val="center"/>
          </w:tcPr>
          <w:p w14:paraId="46297D8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110D4AB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D0CA84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B77876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444D57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3292471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4283A0C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149BE9C0">
        <w:tblPrEx>
          <w:tblCellMar>
            <w:top w:w="0" w:type="dxa"/>
            <w:left w:w="10" w:type="dxa"/>
            <w:bottom w:w="0" w:type="dxa"/>
            <w:right w:w="10" w:type="dxa"/>
          </w:tblCellMar>
        </w:tblPrEx>
        <w:trPr>
          <w:trHeight w:val="499" w:hRule="exact"/>
          <w:jc w:val="center"/>
        </w:trPr>
        <w:tc>
          <w:tcPr>
            <w:tcW w:w="308" w:type="pct"/>
            <w:tcBorders>
              <w:top w:val="single" w:color="auto" w:sz="4" w:space="0"/>
              <w:left w:val="single" w:color="auto" w:sz="4" w:space="0"/>
            </w:tcBorders>
            <w:shd w:val="clear" w:color="auto" w:fill="FFFFFF"/>
            <w:vAlign w:val="center"/>
          </w:tcPr>
          <w:p w14:paraId="18E3A0D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en-US" w:eastAsia="zh-CN" w:bidi="zh-TW"/>
              </w:rPr>
              <w:t>...</w:t>
            </w:r>
          </w:p>
        </w:tc>
        <w:tc>
          <w:tcPr>
            <w:tcW w:w="668" w:type="pct"/>
            <w:tcBorders>
              <w:top w:val="single" w:color="auto" w:sz="4" w:space="0"/>
              <w:left w:val="single" w:color="auto" w:sz="4" w:space="0"/>
            </w:tcBorders>
            <w:shd w:val="clear" w:color="auto" w:fill="FFFFFF"/>
            <w:vAlign w:val="center"/>
          </w:tcPr>
          <w:p w14:paraId="34CEF9A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5DC6427C">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4415AE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1D0C50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6CBAE7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1B8E335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670D9D3A">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4CF82A3E">
        <w:tblPrEx>
          <w:tblCellMar>
            <w:top w:w="0" w:type="dxa"/>
            <w:left w:w="10" w:type="dxa"/>
            <w:bottom w:w="0" w:type="dxa"/>
            <w:right w:w="10" w:type="dxa"/>
          </w:tblCellMar>
        </w:tblPrEx>
        <w:trPr>
          <w:trHeight w:val="509" w:hRule="exact"/>
          <w:jc w:val="center"/>
        </w:trPr>
        <w:tc>
          <w:tcPr>
            <w:tcW w:w="308" w:type="pct"/>
            <w:tcBorders>
              <w:top w:val="single" w:color="auto" w:sz="4" w:space="0"/>
              <w:left w:val="single" w:color="auto" w:sz="4" w:space="0"/>
            </w:tcBorders>
            <w:shd w:val="clear" w:color="auto" w:fill="FFFFFF"/>
            <w:vAlign w:val="center"/>
          </w:tcPr>
          <w:p w14:paraId="74B37EA9">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pPr>
          </w:p>
        </w:tc>
        <w:tc>
          <w:tcPr>
            <w:tcW w:w="668" w:type="pct"/>
            <w:tcBorders>
              <w:top w:val="single" w:color="auto" w:sz="4" w:space="0"/>
              <w:left w:val="single" w:color="auto" w:sz="4" w:space="0"/>
            </w:tcBorders>
            <w:shd w:val="clear" w:color="auto" w:fill="FFFFFF"/>
            <w:vAlign w:val="center"/>
          </w:tcPr>
          <w:p w14:paraId="264CB93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73532B6B">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422E7BB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151334C6">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617C1662">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68" w:type="pct"/>
            <w:tcBorders>
              <w:top w:val="single" w:color="auto" w:sz="4" w:space="0"/>
              <w:left w:val="single" w:color="auto" w:sz="4" w:space="0"/>
            </w:tcBorders>
            <w:shd w:val="clear" w:color="auto" w:fill="FFFFFF"/>
            <w:vAlign w:val="center"/>
          </w:tcPr>
          <w:p w14:paraId="2958B3F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c>
          <w:tcPr>
            <w:tcW w:w="683" w:type="pct"/>
            <w:tcBorders>
              <w:top w:val="single" w:color="auto" w:sz="4" w:space="0"/>
              <w:left w:val="single" w:color="auto" w:sz="4" w:space="0"/>
              <w:right w:val="single" w:color="auto" w:sz="4" w:space="0"/>
            </w:tcBorders>
            <w:shd w:val="clear" w:color="auto" w:fill="FFFFFF"/>
            <w:vAlign w:val="center"/>
          </w:tcPr>
          <w:p w14:paraId="6FEB40A0">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01156FAA">
        <w:tblPrEx>
          <w:tblCellMar>
            <w:top w:w="0" w:type="dxa"/>
            <w:left w:w="10" w:type="dxa"/>
            <w:bottom w:w="0" w:type="dxa"/>
            <w:right w:w="10" w:type="dxa"/>
          </w:tblCellMar>
        </w:tblPrEx>
        <w:trPr>
          <w:trHeight w:val="509" w:hRule="exact"/>
          <w:jc w:val="center"/>
        </w:trPr>
        <w:tc>
          <w:tcPr>
            <w:tcW w:w="1644" w:type="pct"/>
            <w:gridSpan w:val="3"/>
            <w:tcBorders>
              <w:top w:val="single" w:color="auto" w:sz="4" w:space="0"/>
              <w:left w:val="single" w:color="auto" w:sz="4" w:space="0"/>
              <w:right w:val="single" w:color="auto" w:sz="4" w:space="0"/>
            </w:tcBorders>
            <w:shd w:val="clear" w:color="auto" w:fill="FFFFFF"/>
            <w:vAlign w:val="center"/>
          </w:tcPr>
          <w:p w14:paraId="57BC28E5">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合计</w:t>
            </w:r>
          </w:p>
        </w:tc>
        <w:tc>
          <w:tcPr>
            <w:tcW w:w="3355" w:type="pct"/>
            <w:gridSpan w:val="5"/>
            <w:tcBorders>
              <w:top w:val="single" w:color="auto" w:sz="4" w:space="0"/>
              <w:left w:val="single" w:color="auto" w:sz="4" w:space="0"/>
              <w:right w:val="single" w:color="auto" w:sz="4" w:space="0"/>
            </w:tcBorders>
            <w:shd w:val="clear" w:color="auto" w:fill="FFFFFF"/>
            <w:vAlign w:val="center"/>
          </w:tcPr>
          <w:p w14:paraId="5706B62E">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r w14:paraId="6FBB8AC5">
        <w:tblPrEx>
          <w:tblCellMar>
            <w:top w:w="0" w:type="dxa"/>
            <w:left w:w="10" w:type="dxa"/>
            <w:bottom w:w="0" w:type="dxa"/>
            <w:right w:w="10" w:type="dxa"/>
          </w:tblCellMar>
        </w:tblPrEx>
        <w:trPr>
          <w:trHeight w:val="518" w:hRule="exact"/>
          <w:jc w:val="center"/>
        </w:trPr>
        <w:tc>
          <w:tcPr>
            <w:tcW w:w="1644" w:type="pct"/>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1E2428">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r>
              <w:rPr>
                <w:rFonts w:hint="eastAsia" w:asciiTheme="majorEastAsia" w:hAnsiTheme="majorEastAsia" w:eastAsiaTheme="majorEastAsia" w:cstheme="majorEastAsia"/>
                <w:color w:val="auto"/>
                <w:spacing w:val="0"/>
                <w:w w:val="100"/>
                <w:position w:val="0"/>
                <w:sz w:val="21"/>
                <w:szCs w:val="21"/>
                <w:highlight w:val="none"/>
                <w:u w:val="none"/>
                <w:shd w:val="clear" w:color="auto" w:fill="auto"/>
                <w:lang w:val="zh-TW" w:eastAsia="zh-TW" w:bidi="zh-TW"/>
              </w:rPr>
              <w:t>备注</w:t>
            </w:r>
          </w:p>
        </w:tc>
        <w:tc>
          <w:tcPr>
            <w:tcW w:w="3355"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831027">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Theme="majorEastAsia" w:hAnsiTheme="majorEastAsia" w:eastAsiaTheme="majorEastAsia" w:cstheme="majorEastAsia"/>
                <w:color w:val="auto"/>
                <w:spacing w:val="0"/>
                <w:w w:val="100"/>
                <w:kern w:val="0"/>
                <w:position w:val="0"/>
                <w:sz w:val="21"/>
                <w:szCs w:val="21"/>
                <w:highlight w:val="none"/>
                <w:shd w:val="clear" w:color="auto" w:fill="auto"/>
                <w:lang w:eastAsia="en-US" w:bidi="en-US"/>
              </w:rPr>
            </w:pPr>
          </w:p>
        </w:tc>
      </w:tr>
    </w:tbl>
    <w:p w14:paraId="7EE7D3DA">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right="0"/>
        <w:jc w:val="left"/>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（技术</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参数可附附件</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或详见响应文件，需说明清楚，表格可根据实际情况调整）</w:t>
      </w:r>
    </w:p>
    <w:p w14:paraId="002F3306">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right="0" w:firstLine="480" w:firstLineChars="200"/>
        <w:jc w:val="left"/>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耗材及设备维修要求：</w:t>
      </w:r>
    </w:p>
    <w:p w14:paraId="2998AEC3">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80" w:firstLineChars="200"/>
        <w:jc w:val="left"/>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一）耗材：硒鼓、粉盒、墨盒、墨水等消耗用品，按独立包装、市场可单独售卖的货品为单位。所提供的产品必须是国家合格产品，且必须是未使用过的产品，质量优良、渠道正当。同时提供至少1年的质保，质保期内如出现质量问题免费更换；</w:t>
      </w:r>
    </w:p>
    <w:p w14:paraId="3E3B0545">
      <w:pPr>
        <w:keepNext w:val="0"/>
        <w:keepLines w:val="0"/>
        <w:pageBreakBefore w:val="0"/>
        <w:widowControl w:val="0"/>
        <w:shd w:val="clear" w:color="auto" w:fill="auto"/>
        <w:kinsoku/>
        <w:wordWrap w:val="0"/>
        <w:overflowPunct/>
        <w:topLinePunct w:val="0"/>
        <w:autoSpaceDE/>
        <w:autoSpaceDN/>
        <w:bidi w:val="0"/>
        <w:adjustRightInd/>
        <w:snapToGrid/>
        <w:spacing w:before="0" w:after="0" w:line="360" w:lineRule="auto"/>
        <w:ind w:left="0" w:right="0" w:firstLine="480" w:firstLineChars="200"/>
        <w:jc w:val="left"/>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设备维修：各品牌型号设备维修，内容包括但不限于：上门维修设备；排除软件故障；更换设备配件；安装调试；日常保养维护等各类维修工作。单次维修的工作标准是：保证甲方设备正常运转并提供质保，每次质保6个月。在质保期内，同一台设备的相同故障再次出现，免费再次维修，免费提供的维修质保期顺延</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p>
    <w:p w14:paraId="1E64C5C1">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left"/>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CN" w:bidi="zh-TW"/>
        </w:rPr>
      </w:pPr>
      <w:bookmarkStart w:id="7" w:name="bookmark7"/>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二</w:t>
      </w:r>
      <w:bookmarkEnd w:id="7"/>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供货条件：</w:t>
      </w:r>
    </w:p>
    <w:p w14:paraId="3C220F50">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490" w:lineRule="exact"/>
        <w:ind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8" w:name="bookmark8"/>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8"/>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一）</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交货时间（供</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货期</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自合同签订之日起1年，或1年内达到项目合同金额时，合同自动终止</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w:t>
      </w:r>
      <w:bookmarkStart w:id="45" w:name="_GoBack"/>
      <w:bookmarkEnd w:id="45"/>
    </w:p>
    <w:p w14:paraId="67B0C0C3">
      <w:pPr>
        <w:keepNext w:val="0"/>
        <w:keepLines w:val="0"/>
        <w:pageBreakBefore w:val="0"/>
        <w:widowControl w:val="0"/>
        <w:shd w:val="clear" w:color="auto" w:fill="auto"/>
        <w:tabs>
          <w:tab w:val="left" w:pos="1390"/>
        </w:tabs>
        <w:kinsoku/>
        <w:wordWrap/>
        <w:overflowPunct/>
        <w:topLinePunct w:val="0"/>
        <w:autoSpaceDE/>
        <w:autoSpaceDN/>
        <w:bidi w:val="0"/>
        <w:adjustRightInd/>
        <w:snapToGrid/>
        <w:spacing w:before="0" w:after="0" w:line="403" w:lineRule="exact"/>
        <w:ind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9" w:name="bookmark9"/>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9"/>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交</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货</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时限：</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按需供货，接到采购人通知   小时内供货到位，所供货品出现质量问题的应在    小时内无条件退换并承担退换费用</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w:t>
      </w:r>
    </w:p>
    <w:p w14:paraId="47DACFC1">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99" w:lineRule="exact"/>
        <w:ind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三</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）送货及维修地点：</w:t>
      </w:r>
      <w:bookmarkStart w:id="10" w:name="bookmark10"/>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西安市公安局公交轨道公安局各机关单位及下辖各大队办公地点，以采购人每次通知的具体地点为准。</w:t>
      </w:r>
    </w:p>
    <w:p w14:paraId="5170CCF2">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99" w:lineRule="exact"/>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三</w:t>
      </w:r>
      <w:bookmarkEnd w:id="10"/>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、合同价款</w:t>
      </w:r>
    </w:p>
    <w:p w14:paraId="4D2195F8">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99" w:lineRule="exact"/>
        <w:ind w:left="0" w:right="0" w:firstLine="480" w:firstLineChars="200"/>
        <w:jc w:val="both"/>
        <w:textAlignment w:val="auto"/>
        <w:rPr>
          <w:rFonts w:hint="eastAsia" w:asciiTheme="majorEastAsia" w:hAnsiTheme="majorEastAsia" w:eastAsiaTheme="majorEastAsia" w:cstheme="majorEastAsia"/>
          <w:i w:val="0"/>
          <w:iCs w:val="0"/>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en-US"/>
        </w:rPr>
        <w:t>一</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合同总价款为</w:t>
      </w:r>
      <w:r>
        <w:rPr>
          <w:rFonts w:hint="eastAsia" w:asciiTheme="majorEastAsia" w:hAnsiTheme="majorEastAsia" w:eastAsiaTheme="majorEastAsia" w:cstheme="majorEastAsia"/>
          <w:i w:val="0"/>
          <w:iCs w:val="0"/>
          <w:color w:val="auto"/>
          <w:spacing w:val="0"/>
          <w:w w:val="100"/>
          <w:position w:val="0"/>
          <w:sz w:val="24"/>
          <w:szCs w:val="24"/>
          <w:highlight w:val="none"/>
          <w:u w:val="none"/>
          <w:shd w:val="clear" w:color="auto" w:fill="auto"/>
          <w:lang w:val="zh-TW" w:eastAsia="zh-TW" w:bidi="zh-TW"/>
        </w:rPr>
        <w:t>（大写）</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zh-TW" w:eastAsia="zh-TW" w:bidi="zh-TW"/>
        </w:rPr>
        <w:t>人民</w:t>
      </w:r>
      <w:r>
        <w:rPr>
          <w:rFonts w:hint="eastAsia" w:asciiTheme="majorEastAsia" w:hAnsiTheme="majorEastAsia" w:eastAsiaTheme="majorEastAsia" w:cstheme="majorEastAsia"/>
          <w:i w:val="0"/>
          <w:iCs w:val="0"/>
          <w:color w:val="auto"/>
          <w:spacing w:val="0"/>
          <w:w w:val="100"/>
          <w:position w:val="0"/>
          <w:sz w:val="24"/>
          <w:szCs w:val="24"/>
          <w:highlight w:val="none"/>
          <w:u w:val="single"/>
          <w:shd w:val="clear" w:color="auto" w:fill="auto"/>
          <w:lang w:val="zh-TW" w:eastAsia="zh-TW" w:bidi="zh-TW"/>
        </w:rPr>
        <w:t>币</w:t>
      </w:r>
      <w:r>
        <w:rPr>
          <w:rFonts w:hint="eastAsia" w:asciiTheme="majorEastAsia" w:hAnsiTheme="majorEastAsia" w:eastAsiaTheme="majorEastAsia" w:cstheme="majorEastAsia"/>
          <w:i w:val="0"/>
          <w:iCs w:val="0"/>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i w:val="0"/>
          <w:iCs w:val="0"/>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i w:val="0"/>
          <w:iCs w:val="0"/>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i w:val="0"/>
          <w:iCs w:val="0"/>
          <w:color w:val="auto"/>
          <w:spacing w:val="0"/>
          <w:w w:val="100"/>
          <w:position w:val="0"/>
          <w:sz w:val="24"/>
          <w:szCs w:val="24"/>
          <w:highlight w:val="none"/>
          <w:u w:val="none"/>
          <w:shd w:val="clear" w:color="auto" w:fill="auto"/>
          <w:lang w:val="zh-TW" w:eastAsia="zh-TW" w:bidi="zh-TW"/>
        </w:rPr>
        <w:t>元。</w:t>
      </w:r>
      <w:bookmarkStart w:id="11" w:name="bookmark11"/>
    </w:p>
    <w:p w14:paraId="491ADB3E">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24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CN"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11"/>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二）合同总</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价</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包括：</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供货</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CN" w:eastAsia="zh-TW" w:bidi="zh-TW"/>
        </w:rPr>
        <w:t>期内全部供货和服务内容可能发生的全部费用。</w:t>
      </w:r>
      <w:bookmarkStart w:id="12" w:name="bookmark12"/>
    </w:p>
    <w:p w14:paraId="26E0C458">
      <w:pPr>
        <w:keepNext w:val="0"/>
        <w:keepLines w:val="0"/>
        <w:pageBreakBefore w:val="0"/>
        <w:widowControl w:val="0"/>
        <w:shd w:val="clear" w:color="auto" w:fill="auto"/>
        <w:tabs>
          <w:tab w:val="left" w:pos="6715"/>
          <w:tab w:val="left" w:pos="8117"/>
        </w:tabs>
        <w:kinsoku/>
        <w:wordWrap/>
        <w:overflowPunct/>
        <w:topLinePunct w:val="0"/>
        <w:autoSpaceDE/>
        <w:autoSpaceDN/>
        <w:bidi w:val="0"/>
        <w:adjustRightInd/>
        <w:snapToGrid/>
        <w:spacing w:before="0" w:after="100" w:line="240" w:lineRule="auto"/>
        <w:ind w:left="0" w:right="0" w:firstLine="480" w:firstLineChars="200"/>
        <w:jc w:val="both"/>
        <w:textAlignment w:val="auto"/>
        <w:rPr>
          <w:rFonts w:hint="eastAsia"/>
          <w:lang w:val="zh-TW" w:eastAsia="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12"/>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三）合同总价一次性包死，不受市场价格变化因素的影响。</w:t>
      </w:r>
    </w:p>
    <w:p w14:paraId="1F961B23">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509" w:lineRule="exact"/>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bookmarkStart w:id="13" w:name="bookmark13"/>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四</w:t>
      </w:r>
      <w:bookmarkEnd w:id="13"/>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、款项结算</w:t>
      </w:r>
    </w:p>
    <w:p w14:paraId="232595B3">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pPr>
      <w:bookmarkStart w:id="14" w:name="bookmark17"/>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一</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款项</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的支付：合同签订供货验收合格后，达到付款条件起30个工作日内，支付合同总金额的100.00%。</w:t>
      </w:r>
    </w:p>
    <w:p w14:paraId="439AC499">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14"/>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二</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）供应商应按采购人要求提供符合税务要求的正式税务发票</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p>
    <w:p w14:paraId="2584926D">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三</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支付方式：银行转账。</w:t>
      </w:r>
    </w:p>
    <w:p w14:paraId="3E793D77">
      <w:pPr>
        <w:keepNext w:val="0"/>
        <w:keepLines w:val="0"/>
        <w:widowControl w:val="0"/>
        <w:shd w:val="clear" w:color="auto" w:fill="auto"/>
        <w:tabs>
          <w:tab w:val="left" w:pos="1328"/>
        </w:tabs>
        <w:kinsoku/>
        <w:autoSpaceDE/>
        <w:autoSpaceDN/>
        <w:bidi w:val="0"/>
        <w:adjustRightInd/>
        <w:snapToGrid/>
        <w:spacing w:before="0" w:after="0" w:line="360" w:lineRule="auto"/>
        <w:ind w:left="0" w:right="0" w:firstLine="480" w:firstLineChars="200"/>
        <w:jc w:val="both"/>
        <w:textAlignment w:val="auto"/>
        <w:rPr>
          <w:rFonts w:hint="eastAsia"/>
          <w:lang w:val="zh-TW" w:eastAsia="zh-TW"/>
        </w:rPr>
      </w:pP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en-US" w:eastAsia="zh-CN" w:bidi="zh-TW"/>
        </w:rPr>
        <w:t>四</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zh-TW" w:eastAsia="zh-TW" w:bidi="zh-TW"/>
        </w:rPr>
        <w:t>）</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en-US" w:eastAsia="zh-CN" w:bidi="zh-TW"/>
        </w:rPr>
        <w:t>乙方</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zh-TW" w:eastAsia="zh-TW" w:bidi="zh-TW"/>
        </w:rPr>
        <w:t>须按照成交金额的5％，作为履约保证金在签订合同前向</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en-US" w:eastAsia="zh-CN" w:bidi="zh-TW"/>
        </w:rPr>
        <w:t>甲方</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zh-TW" w:eastAsia="zh-TW" w:bidi="zh-TW"/>
        </w:rPr>
        <w:t>缴纳。供货期结束后（如无质量问题）一个月内全额无息一次性退付</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en-US" w:eastAsia="zh-CN" w:bidi="zh-TW"/>
        </w:rPr>
        <w:t>乙方</w:t>
      </w:r>
      <w:r>
        <w:rPr>
          <w:rFonts w:hint="eastAsia" w:ascii="宋体" w:hAnsi="宋体" w:eastAsia="宋体" w:cs="宋体"/>
          <w:b w:val="0"/>
          <w:bCs/>
          <w:snapToGrid/>
          <w:color w:val="auto"/>
          <w:spacing w:val="0"/>
          <w:w w:val="100"/>
          <w:kern w:val="2"/>
          <w:position w:val="0"/>
          <w:sz w:val="24"/>
          <w:szCs w:val="24"/>
          <w:highlight w:val="none"/>
          <w:u w:val="none"/>
          <w:shd w:val="clear" w:color="auto" w:fill="auto"/>
          <w:lang w:val="zh-TW" w:eastAsia="zh-TW" w:bidi="zh-TW"/>
        </w:rPr>
        <w:t>。缴纳形式：以保函、担保、本票等非现金形式缴纳。</w:t>
      </w:r>
    </w:p>
    <w:p w14:paraId="15AA5FF7">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413" w:lineRule="exact"/>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bookmarkStart w:id="15" w:name="bookmark19"/>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五</w:t>
      </w:r>
      <w:bookmarkEnd w:id="15"/>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、双方的权利和义务</w:t>
      </w:r>
    </w:p>
    <w:p w14:paraId="19F9ABD3">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16" w:name="bookmark20"/>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16"/>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一）甲方的权利和义务</w:t>
      </w:r>
    </w:p>
    <w:p w14:paraId="4C2A5CF1">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CN" w:bidi="zh-TW"/>
        </w:rPr>
      </w:pPr>
      <w:bookmarkStart w:id="17" w:name="bookmark21"/>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en-US" w:eastAsia="zh-CN" w:bidi="zh-TW"/>
        </w:rPr>
        <w:t>1、</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甲方在收到货物通知后，应按</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en-US" w:eastAsia="zh-CN" w:bidi="zh-TW"/>
        </w:rPr>
        <w:t>谈判</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文件的需求</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en-US" w:eastAsia="zh-CN" w:bidi="zh-TW"/>
        </w:rPr>
        <w:t>及成交供应商响应文件响应内容</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进行核实，如发现不符合合同规定，及时提出</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CN" w:bidi="zh-TW"/>
        </w:rPr>
        <w:t>。</w:t>
      </w:r>
    </w:p>
    <w:p w14:paraId="0F75C72F">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en-US" w:eastAsia="zh-CN" w:bidi="zh-TW"/>
        </w:rPr>
        <w:t>2、</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甲方在收到货后，组织人员按提供的技术参数指标进行验收。</w:t>
      </w:r>
    </w:p>
    <w:p w14:paraId="513C6A6E">
      <w:pPr>
        <w:keepNext w:val="0"/>
        <w:keepLines w:val="0"/>
        <w:pageBreakBefore w:val="0"/>
        <w:widowControl w:val="0"/>
        <w:shd w:val="clear" w:color="auto" w:fill="auto"/>
        <w:tabs>
          <w:tab w:val="left" w:pos="132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w:t>
      </w:r>
      <w:bookmarkEnd w:id="17"/>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二）乙方的权利和义务</w:t>
      </w:r>
    </w:p>
    <w:p w14:paraId="18DDE264">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en-US" w:eastAsia="zh-CN" w:bidi="zh-TW"/>
        </w:rPr>
        <w:t>1、</w:t>
      </w: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乙方在合同约定的时间内交付产品，并负责产品的检验。</w:t>
      </w:r>
    </w:p>
    <w:p w14:paraId="2879314F">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2、乙方所提供的产品必须符合采购技术需求，运输全过程中的安全由乙方负责。</w:t>
      </w:r>
    </w:p>
    <w:p w14:paraId="79B4204A">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val="0"/>
          <w:bCs w:val="0"/>
          <w:color w:val="auto"/>
          <w:spacing w:val="0"/>
          <w:w w:val="100"/>
          <w:position w:val="0"/>
          <w:sz w:val="24"/>
          <w:szCs w:val="24"/>
          <w:highlight w:val="none"/>
          <w:u w:val="none"/>
          <w:shd w:val="clear" w:color="auto" w:fill="auto"/>
          <w:lang w:val="zh-TW" w:eastAsia="zh-TW" w:bidi="zh-TW"/>
        </w:rPr>
        <w:t>3、乙方应积极配合甲方，最终完成产品的检验工作。</w:t>
      </w:r>
    </w:p>
    <w:p w14:paraId="1E5AD2CB">
      <w:pPr>
        <w:keepNext w:val="0"/>
        <w:keepLines w:val="0"/>
        <w:pageBreakBefore w:val="0"/>
        <w:widowControl w:val="0"/>
        <w:shd w:val="clear" w:color="auto" w:fill="auto"/>
        <w:tabs>
          <w:tab w:val="left" w:pos="996"/>
        </w:tabs>
        <w:kinsoku/>
        <w:wordWrap/>
        <w:overflowPunct/>
        <w:topLinePunct w:val="0"/>
        <w:autoSpaceDE/>
        <w:autoSpaceDN/>
        <w:bidi w:val="0"/>
        <w:adjustRightInd/>
        <w:snapToGrid/>
        <w:spacing w:before="0" w:after="0" w:line="494" w:lineRule="exact"/>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bookmarkStart w:id="18" w:name="bookmark22"/>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六</w:t>
      </w:r>
      <w:bookmarkEnd w:id="18"/>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、质量保证</w:t>
      </w:r>
    </w:p>
    <w:p w14:paraId="26B981FF">
      <w:pPr>
        <w:keepNext w:val="0"/>
        <w:keepLines w:val="0"/>
        <w:pageBreakBefore w:val="0"/>
        <w:widowControl w:val="0"/>
        <w:shd w:val="clear" w:color="auto" w:fill="auto"/>
        <w:tabs>
          <w:tab w:val="left" w:pos="996"/>
        </w:tabs>
        <w:kinsoku/>
        <w:wordWrap/>
        <w:overflowPunct/>
        <w:topLinePunct w:val="0"/>
        <w:autoSpaceDE/>
        <w:autoSpaceDN/>
        <w:bidi w:val="0"/>
        <w:adjustRightInd/>
        <w:snapToGrid/>
        <w:spacing w:before="0" w:after="0" w:line="494" w:lineRule="exact"/>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乙方所供产品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必须执行下列条款：</w:t>
      </w:r>
    </w:p>
    <w:p w14:paraId="4ECE81DA">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default" w:asciiTheme="majorEastAsia" w:hAnsiTheme="majorEastAsia" w:eastAsiaTheme="majorEastAsia" w:cstheme="majorEastAsia"/>
          <w:color w:val="auto"/>
          <w:spacing w:val="0"/>
          <w:w w:val="100"/>
          <w:kern w:val="2"/>
          <w:position w:val="0"/>
          <w:sz w:val="24"/>
          <w:szCs w:val="24"/>
          <w:shd w:val="clear" w:fill="auto"/>
          <w:lang w:val="en-US" w:eastAsia="zh-CN" w:bidi="zh-TW"/>
        </w:rPr>
      </w:pPr>
      <w:r>
        <w:rPr>
          <w:rFonts w:hint="eastAsia" w:asciiTheme="majorEastAsia" w:hAnsiTheme="majorEastAsia" w:eastAsiaTheme="majorEastAsia" w:cstheme="majorEastAsia"/>
          <w:color w:val="auto"/>
          <w:spacing w:val="0"/>
          <w:w w:val="100"/>
          <w:kern w:val="2"/>
          <w:position w:val="0"/>
          <w:sz w:val="24"/>
          <w:szCs w:val="24"/>
          <w:shd w:val="clear" w:fill="auto"/>
          <w:lang w:val="en-US" w:eastAsia="zh-CN" w:bidi="zh-TW"/>
        </w:rPr>
        <w:t>（一）</w:t>
      </w:r>
      <w:r>
        <w:rPr>
          <w:rFonts w:hint="eastAsia" w:asciiTheme="majorEastAsia" w:hAnsiTheme="majorEastAsia" w:eastAsiaTheme="majorEastAsia" w:cstheme="majorEastAsia"/>
          <w:color w:val="auto"/>
          <w:spacing w:val="0"/>
          <w:w w:val="100"/>
          <w:kern w:val="2"/>
          <w:position w:val="0"/>
          <w:sz w:val="24"/>
          <w:szCs w:val="24"/>
          <w:shd w:val="clear" w:fill="auto"/>
          <w:lang w:val="zh-TW" w:eastAsia="zh-TW" w:bidi="zh-TW"/>
        </w:rPr>
        <w:t>为保证项目质量，</w:t>
      </w:r>
      <w:r>
        <w:rPr>
          <w:rFonts w:hint="eastAsia" w:asciiTheme="majorEastAsia" w:hAnsiTheme="majorEastAsia" w:eastAsiaTheme="majorEastAsia" w:cstheme="majorEastAsia"/>
          <w:color w:val="auto"/>
          <w:spacing w:val="0"/>
          <w:w w:val="100"/>
          <w:kern w:val="2"/>
          <w:position w:val="0"/>
          <w:sz w:val="24"/>
          <w:szCs w:val="24"/>
          <w:shd w:val="clear" w:fill="auto"/>
          <w:lang w:val="en-US" w:eastAsia="zh-CN" w:bidi="zh-TW"/>
        </w:rPr>
        <w:t>乙方所投办公耗材-硒鼓、粉盒、墨盒标准原装产品的必须为原装正品</w:t>
      </w:r>
      <w:r>
        <w:rPr>
          <w:rFonts w:hint="eastAsia" w:asciiTheme="majorEastAsia" w:hAnsiTheme="majorEastAsia" w:eastAsiaTheme="majorEastAsia" w:cstheme="majorEastAsia"/>
          <w:color w:val="auto"/>
          <w:spacing w:val="0"/>
          <w:w w:val="100"/>
          <w:kern w:val="2"/>
          <w:position w:val="0"/>
          <w:sz w:val="24"/>
          <w:szCs w:val="24"/>
          <w:shd w:val="clear" w:fill="auto"/>
          <w:lang w:val="zh-TW" w:eastAsia="zh-TW" w:bidi="zh-TW"/>
        </w:rPr>
        <w:t>，</w:t>
      </w:r>
      <w:r>
        <w:rPr>
          <w:rFonts w:hint="eastAsia" w:asciiTheme="majorEastAsia" w:hAnsiTheme="majorEastAsia" w:eastAsiaTheme="majorEastAsia" w:cstheme="majorEastAsia"/>
          <w:color w:val="auto"/>
          <w:spacing w:val="0"/>
          <w:w w:val="100"/>
          <w:kern w:val="2"/>
          <w:position w:val="0"/>
          <w:sz w:val="24"/>
          <w:szCs w:val="24"/>
          <w:shd w:val="clear" w:fill="auto"/>
          <w:lang w:val="en-US" w:eastAsia="zh-CN" w:bidi="zh-TW"/>
        </w:rPr>
        <w:t>乙方</w:t>
      </w:r>
      <w:r>
        <w:rPr>
          <w:rFonts w:hint="eastAsia" w:asciiTheme="majorEastAsia" w:hAnsiTheme="majorEastAsia" w:eastAsiaTheme="majorEastAsia" w:cstheme="majorEastAsia"/>
          <w:color w:val="auto"/>
          <w:spacing w:val="0"/>
          <w:w w:val="100"/>
          <w:kern w:val="2"/>
          <w:position w:val="0"/>
          <w:sz w:val="24"/>
          <w:szCs w:val="24"/>
          <w:shd w:val="clear" w:fill="auto"/>
          <w:lang w:val="zh-TW" w:eastAsia="zh-TW" w:bidi="zh-TW"/>
        </w:rPr>
        <w:t>所供产品支持防伪查询并提供厂家售后服务承诺函</w:t>
      </w:r>
      <w:r>
        <w:rPr>
          <w:rFonts w:hint="eastAsia" w:asciiTheme="majorEastAsia" w:hAnsiTheme="majorEastAsia" w:eastAsiaTheme="majorEastAsia" w:cstheme="majorEastAsia"/>
          <w:color w:val="auto"/>
          <w:spacing w:val="0"/>
          <w:w w:val="100"/>
          <w:kern w:val="2"/>
          <w:position w:val="0"/>
          <w:sz w:val="24"/>
          <w:szCs w:val="24"/>
          <w:shd w:val="clear" w:fill="auto"/>
          <w:lang w:val="zh-TW" w:eastAsia="zh-CN" w:bidi="zh-TW"/>
        </w:rPr>
        <w:t>，替代耗材若品质有问题的，要保证及时更换调整。</w:t>
      </w:r>
      <w:r>
        <w:rPr>
          <w:rFonts w:hint="eastAsia" w:asciiTheme="majorEastAsia" w:hAnsiTheme="majorEastAsia" w:eastAsiaTheme="majorEastAsia" w:cstheme="majorEastAsia"/>
          <w:color w:val="auto"/>
          <w:spacing w:val="0"/>
          <w:w w:val="100"/>
          <w:kern w:val="2"/>
          <w:position w:val="0"/>
          <w:sz w:val="24"/>
          <w:szCs w:val="24"/>
          <w:shd w:val="clear" w:fill="auto"/>
          <w:lang w:val="en-US" w:eastAsia="zh-CN" w:bidi="zh-TW"/>
        </w:rPr>
        <w:t>未按要求提供甲方有权终止合同，并按本合同违约责任相关条款追究乙方责任。</w:t>
      </w:r>
    </w:p>
    <w:p w14:paraId="2F2C9F32">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kern w:val="2"/>
          <w:position w:val="0"/>
          <w:sz w:val="24"/>
          <w:szCs w:val="24"/>
          <w:shd w:val="clear" w:fill="auto"/>
          <w:lang w:val="zh-TW" w:eastAsia="zh-TW" w:bidi="zh-TW"/>
        </w:rPr>
        <w:t>（</w:t>
      </w:r>
      <w:r>
        <w:rPr>
          <w:rFonts w:hint="eastAsia" w:asciiTheme="majorEastAsia" w:hAnsiTheme="majorEastAsia" w:eastAsiaTheme="majorEastAsia" w:cstheme="majorEastAsia"/>
          <w:color w:val="auto"/>
          <w:spacing w:val="0"/>
          <w:w w:val="100"/>
          <w:kern w:val="2"/>
          <w:position w:val="0"/>
          <w:sz w:val="24"/>
          <w:szCs w:val="24"/>
          <w:shd w:val="clear" w:fill="auto"/>
          <w:lang w:val="en-US" w:eastAsia="zh-CN" w:bidi="zh-TW"/>
        </w:rPr>
        <w:t>二</w:t>
      </w:r>
      <w:r>
        <w:rPr>
          <w:rFonts w:hint="eastAsia" w:asciiTheme="majorEastAsia" w:hAnsiTheme="majorEastAsia" w:eastAsiaTheme="majorEastAsia" w:cstheme="majorEastAsia"/>
          <w:color w:val="auto"/>
          <w:spacing w:val="0"/>
          <w:w w:val="100"/>
          <w:kern w:val="2"/>
          <w:position w:val="0"/>
          <w:sz w:val="24"/>
          <w:szCs w:val="24"/>
          <w:shd w:val="clear" w:fill="auto"/>
          <w:lang w:val="zh-TW" w:eastAsia="zh-TW"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保证所供产品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w:t>
      </w:r>
      <w:bookmarkStart w:id="19" w:name="bookmark25"/>
    </w:p>
    <w:p w14:paraId="597AE487">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19"/>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三</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）保证所供产品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技术指标先进、质量性能可靠、配置合理、进货渠道正规，全面满足竞争性谈判文件要求，是全新、未使用过的、完整的、安全可靠的产品。严禁提供旧货翻新或假冒伪劣产品或次品、残品，并完全符合强制性的国家技术质量规范和</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竞争性谈判</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文件规定的质量、规格、性能和技术规范等的要求。并能按期交付。在交付甲方前发生的风险均由乙方负责。</w:t>
      </w:r>
      <w:bookmarkStart w:id="20" w:name="bookmark26"/>
    </w:p>
    <w:p w14:paraId="66C7DDE8">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0"/>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四</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）保证所供产品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在装卸、运输和仓储过程中有足够的包装保护，防止产品/设备受潮、锈蚀、遭受冲撞及其他不可预见的损坏。</w:t>
      </w:r>
      <w:bookmarkStart w:id="21" w:name="bookmark27"/>
    </w:p>
    <w:p w14:paraId="760AB492">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1"/>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五</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）保证所供产品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具有良好的外观，适合各种安装场所的使用要求，确保达到最佳运行状态。</w:t>
      </w:r>
      <w:bookmarkStart w:id="22" w:name="bookmark28"/>
    </w:p>
    <w:p w14:paraId="1AAB39B4">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2"/>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六</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）乙方所供产品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因侵权而产生的一切后果由乙方负责，甲方保留索赔权。</w:t>
      </w:r>
      <w:bookmarkStart w:id="23" w:name="bookmark29"/>
    </w:p>
    <w:p w14:paraId="6C0F4E29">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3"/>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七</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）乙方提供的货物经正确安装、正常运转和保养，在其使用寿命期内须具有符合质量要求和产品说明书的性能。在货物免费质保期之内，乙方须对由于设计、工艺或材料的缺陷而发生的任何不足或故障负责。</w:t>
      </w:r>
    </w:p>
    <w:p w14:paraId="33062D29">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八</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根据甲方按检验标准自己检验结果或委托有资质的相关质检机构的检验结果，发现货物的数量、质量、规格与合同不符；或者在质量保证期内，证实货物存在缺陷，包括潜在的缺陷或使用不符合要求的材料等，甲方应尽快以书面形式通知乙方。乙方在收到通知后</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zh-TW"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日内应免费维修或更换有缺陷的货物或部件。如果乙方在收到通知后</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zh-TW"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日内没有弥补缺陷，甲方可采取必要的补救措施，但由此引发的风险和费用将由乙方承担。</w:t>
      </w:r>
    </w:p>
    <w:p w14:paraId="3A4DDD09">
      <w:pPr>
        <w:keepNext w:val="0"/>
        <w:keepLines w:val="0"/>
        <w:pageBreakBefore w:val="0"/>
        <w:widowControl w:val="0"/>
        <w:numPr>
          <w:ilvl w:val="0"/>
          <w:numId w:val="0"/>
        </w:numPr>
        <w:shd w:val="clear" w:color="auto" w:fill="auto"/>
        <w:tabs>
          <w:tab w:val="left" w:pos="996"/>
        </w:tabs>
        <w:kinsoku/>
        <w:wordWrap/>
        <w:overflowPunct/>
        <w:topLinePunct w:val="0"/>
        <w:autoSpaceDE/>
        <w:autoSpaceDN/>
        <w:bidi w:val="0"/>
        <w:adjustRightInd/>
        <w:snapToGrid/>
        <w:spacing w:before="0" w:after="0" w:line="494" w:lineRule="exact"/>
        <w:ind w:left="0" w:leftChars="0" w:right="0" w:rightChars="0" w:firstLine="480" w:firstLineChars="200"/>
        <w:jc w:val="both"/>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九</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需保证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提供的货物</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来源渠道合法，不会有任何第三方向甲方主张任何权利。</w:t>
      </w:r>
    </w:p>
    <w:p w14:paraId="4005F635">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pPr>
      <w:bookmarkStart w:id="24" w:name="bookmark30"/>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七</w:t>
      </w:r>
      <w:bookmarkEnd w:id="24"/>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包装和储存</w:t>
      </w:r>
    </w:p>
    <w:p w14:paraId="164FC069">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25" w:name="bookmark31"/>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5"/>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一）产品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及其备附件的包装应为出厂时的原包装，包装内应附有详细的装箱清单、出厂合格证明及其他相关资料。</w:t>
      </w:r>
    </w:p>
    <w:p w14:paraId="157F9535">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26" w:name="bookmark32"/>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6"/>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二）运输由乙方负责，运杂费已包含在合同总价内，包括从产品/设备供应地点运送至交付地点所含的运输费、装卸费、仓储费、保险费等。</w:t>
      </w:r>
    </w:p>
    <w:p w14:paraId="206033C1">
      <w:pPr>
        <w:keepNext w:val="0"/>
        <w:keepLines w:val="0"/>
        <w:pageBreakBefore w:val="0"/>
        <w:widowControl w:val="0"/>
        <w:shd w:val="clear" w:color="auto" w:fill="auto"/>
        <w:tabs>
          <w:tab w:val="left" w:pos="140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27" w:name="bookmark33"/>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7"/>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三）运输方式由乙方自行选择，但必须保证按期交付。</w:t>
      </w:r>
    </w:p>
    <w:p w14:paraId="51449B0B">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28" w:name="bookmark34"/>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8"/>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及其备附件到达甲方指定地点后，乙方应按有关技术规程和甲方要求进行存放和保管。</w:t>
      </w:r>
    </w:p>
    <w:p w14:paraId="25EB3EF2">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29" w:name="bookmark35"/>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29"/>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五）乙方在货物发运前对其进行满足运输距离、防潮、防震、防锈和防破损装卸等要求包装，以保证货物安全运达甲方指定地点。</w:t>
      </w:r>
    </w:p>
    <w:p w14:paraId="5BC36280">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六</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乙方负责所有产品的运输。确保产品安全、完整到达使用地点，运杂费用包含在总价内，包括产品从供货地点到使用地点的运输费、保险费、搬运费、装卸费、仓储费等。</w:t>
      </w:r>
    </w:p>
    <w:p w14:paraId="11666C3B">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七</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使用说明书、质量检验证明书、随配附件和工具以及清单一并附于货物内。</w:t>
      </w:r>
    </w:p>
    <w:p w14:paraId="3F48188D">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八</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乙方在货物发运手续办理完毕后24小时内或货到甲方48小时前通知甲方，以准备接货。</w:t>
      </w:r>
    </w:p>
    <w:p w14:paraId="7BE672FC">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九</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货物在交付甲方前发生的风险均由乙方负责。</w:t>
      </w:r>
    </w:p>
    <w:p w14:paraId="58A6589C">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货物在规定的交付期限内由乙方送达甲方指定的地点视为交付，乙方同时需通知甲方货物已送达。</w:t>
      </w:r>
    </w:p>
    <w:p w14:paraId="0E625406">
      <w:pPr>
        <w:keepNext w:val="0"/>
        <w:keepLines w:val="0"/>
        <w:pageBreakBefore w:val="0"/>
        <w:widowControl w:val="0"/>
        <w:shd w:val="clear" w:color="auto" w:fill="auto"/>
        <w:tabs>
          <w:tab w:val="left" w:pos="986"/>
        </w:tabs>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bookmarkStart w:id="30" w:name="bookmark36"/>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八</w:t>
      </w:r>
      <w:bookmarkEnd w:id="30"/>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、验收</w:t>
      </w:r>
    </w:p>
    <w:p w14:paraId="3510A325">
      <w:pPr>
        <w:keepNext w:val="0"/>
        <w:keepLines w:val="0"/>
        <w:pageBreakBefore w:val="0"/>
        <w:widowControl w:val="0"/>
        <w:shd w:val="clear" w:color="auto" w:fill="auto"/>
        <w:tabs>
          <w:tab w:val="left" w:pos="1384"/>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由</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甲方</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和</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乙方</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共同对项目整体进行验收。其内容包括确认设备(产品)的产地、规格、型号和数量，对其设备(产品)技术指标、性能参数以及产品质量是否达到现行国家有关验收规范“合格”标准进行逐项检查。</w:t>
      </w:r>
    </w:p>
    <w:p w14:paraId="56732AC7">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kern w:val="2"/>
          <w:position w:val="0"/>
          <w:sz w:val="24"/>
          <w:szCs w:val="24"/>
          <w:shd w:val="clear" w:fill="auto"/>
          <w:lang w:val="zh-TW" w:eastAsia="zh-TW" w:bidi="zh-TW"/>
        </w:rPr>
        <w:t>1.</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所验设备(产品)的指标、性能参数通过验收达不到竞争性谈判文件要求和谈判响应文件承诺的，或在使用中发现采购人不能容忍的缺陷等，将视为设备(产品)验收不合格，供应商应无条件免费更换或退货。</w:t>
      </w:r>
    </w:p>
    <w:p w14:paraId="1CC9D3D9">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2.若发现供应商有弄虚作假的，在谈判阶段故意或随意夸大设备(产品)技术性能，供应商应无条件退货，并赔偿采购人相应的损失。</w:t>
      </w:r>
    </w:p>
    <w:p w14:paraId="5EABC9A5">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3.验收标准：按竞争性谈判文件、谈判响应文件及澄清函等技术指标进行验收。各项指标均应符合验收标准及要求。</w:t>
      </w:r>
    </w:p>
    <w:p w14:paraId="2F6DFA25">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lang w:val="zh-TW" w:eastAsia="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4.验收要求按照《西安市财政局关于进一步规范政府采购履约验收工作的通知》（市财函〔2025〕1562号）文件执行。</w:t>
      </w:r>
    </w:p>
    <w:p w14:paraId="06CE9CCC">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5</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.验收合格后，填写验收单，双方签字生效。</w:t>
      </w:r>
    </w:p>
    <w:p w14:paraId="479555F7">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6</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.验收依据：</w:t>
      </w:r>
    </w:p>
    <w:p w14:paraId="756366D9">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a)合同文本；</w:t>
      </w:r>
    </w:p>
    <w:p w14:paraId="05007AC9">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b)谈判响应文件及澄清函、竞争性谈判文件；</w:t>
      </w:r>
    </w:p>
    <w:p w14:paraId="75AA4E1C">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c)国家和行业制定的相应的标准和规范。</w:t>
      </w:r>
    </w:p>
    <w:p w14:paraId="4AAE65E8">
      <w:pPr>
        <w:keepNext w:val="0"/>
        <w:keepLines w:val="0"/>
        <w:pageBreakBefore w:val="0"/>
        <w:widowControl w:val="0"/>
        <w:numPr>
          <w:ilvl w:val="0"/>
          <w:numId w:val="0"/>
        </w:numPr>
        <w:shd w:val="clear" w:color="auto" w:fill="auto"/>
        <w:tabs>
          <w:tab w:val="left" w:pos="1384"/>
        </w:tabs>
        <w:kinsoku/>
        <w:wordWrap/>
        <w:overflowPunct/>
        <w:topLinePunct w:val="0"/>
        <w:autoSpaceDE/>
        <w:autoSpaceDN/>
        <w:bidi w:val="0"/>
        <w:adjustRightInd/>
        <w:snapToGrid/>
        <w:spacing w:before="0" w:after="0" w:line="360" w:lineRule="auto"/>
        <w:ind w:right="0" w:rightChars="0" w:firstLine="480" w:firstLineChars="200"/>
        <w:jc w:val="both"/>
        <w:textAlignment w:val="auto"/>
        <w:rPr>
          <w:rFonts w:hint="default"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d)设备(产品)验收清单（注明各部件的品名、数量、规格型号和原产地或生产厂家）。</w:t>
      </w:r>
    </w:p>
    <w:p w14:paraId="1103871C">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九、售后服务</w:t>
      </w:r>
    </w:p>
    <w:p w14:paraId="56A315AF">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乙方提供以下售后服务：</w:t>
      </w:r>
    </w:p>
    <w:p w14:paraId="6B189DB2">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质保期：</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CN"/>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，若该质量保证期小于国家标准，则以国家标准为准。产品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终身维修。</w:t>
      </w:r>
    </w:p>
    <w:p w14:paraId="6AE1F9F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en-US"/>
        </w:rPr>
        <w:t>一</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质保期内</w:t>
      </w:r>
    </w:p>
    <w:p w14:paraId="7DCF202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售后服务必须有保障，在规定或承诺时间范围内排除故障并解决问题，在节假日期间、售后放假休息时间、工休等期间需提前告知甲方或制定应急预案，但无论何种因素，乙方均必须保证售后服务及时，确保货物在免费质保期内正常使用。</w:t>
      </w:r>
    </w:p>
    <w:p w14:paraId="60D18761">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1、</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凡</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发生质量问题或出现其他故障，接到甲方通知后，服务响应时间不超过</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小时，</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小时内派专业维修人员到达现场，</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小时内排除故障。排除故障的期限最长不得超过两个工作日，若不能按期排除故障，乙方应能够提供</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其他设备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代用，不得因此影响甲方正常工作。</w:t>
      </w:r>
    </w:p>
    <w:p w14:paraId="7909C02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2、</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免费提供每周</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en-US" w:bidi="zh-TW"/>
        </w:rPr>
        <w:t>7x24</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小时不间断的电话支持服务,解答用户在使用过程中遇到的问题，及时提出解决问题的建议和对策。</w:t>
      </w:r>
    </w:p>
    <w:p w14:paraId="4B8DB8B3">
      <w:pPr>
        <w:keepNext w:val="0"/>
        <w:keepLines w:val="0"/>
        <w:pageBreakBefore w:val="0"/>
        <w:widowControl w:val="0"/>
        <w:shd w:val="clear" w:color="auto" w:fill="auto"/>
        <w:kinsoku/>
        <w:wordWrap/>
        <w:overflowPunct/>
        <w:topLinePunct w:val="0"/>
        <w:autoSpaceDE/>
        <w:autoSpaceDN/>
        <w:bidi w:val="0"/>
        <w:adjustRightInd/>
        <w:snapToGrid/>
        <w:spacing w:before="0" w:after="0" w:line="490" w:lineRule="exact"/>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3</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、定期派专业维修人员到现场走访，给予检查维护。并向甲方提供巡检单（一式两份，由双方签字确认），内容包含但不限于巡检时间、巡检内容、巡检结果。</w:t>
      </w:r>
    </w:p>
    <w:p w14:paraId="06456E9C">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1" w:name="bookmark50"/>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31"/>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二）质保期满后</w:t>
      </w:r>
    </w:p>
    <w:p w14:paraId="5E771C79">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乙方应保证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对</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货物终身维修，维修时只收取部件成本费（免工时费），当发生故障时，乙方应按质保期内相同的服务标准进行维护处理。</w:t>
      </w:r>
    </w:p>
    <w:p w14:paraId="21CEC5C9">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十、</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技术</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与服务</w:t>
      </w:r>
    </w:p>
    <w:p w14:paraId="63428B22">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2" w:name="bookmark53"/>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32"/>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一）技术资料</w:t>
      </w:r>
    </w:p>
    <w:p w14:paraId="228C72D2">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1、</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合格证；</w:t>
      </w:r>
    </w:p>
    <w:p w14:paraId="5C2DDF54">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3" w:name="bookmark55"/>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2</w:t>
      </w:r>
      <w:bookmarkEnd w:id="33"/>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技术参数；</w:t>
      </w:r>
    </w:p>
    <w:p w14:paraId="6D00813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4" w:name="bookmark56"/>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3</w:t>
      </w:r>
      <w:bookmarkEnd w:id="34"/>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使用维护说明书；</w:t>
      </w:r>
    </w:p>
    <w:p w14:paraId="3627CDE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5" w:name="bookmark57"/>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4、</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乙方按产生文件规定的时间向甲方提供使用货物的有关技术资料。</w:t>
      </w:r>
    </w:p>
    <w:p w14:paraId="2F3CCD78">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5、</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没有甲方事先书面同意，乙方不得将由甲方提供的有关合同或任何合同条文、规格、计划、图纸、样品或资料提供给与履行本合同无关的任何其他人。</w:t>
      </w:r>
    </w:p>
    <w:bookmarkEnd w:id="35"/>
    <w:p w14:paraId="517570F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6</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、其它资料。</w:t>
      </w:r>
    </w:p>
    <w:p w14:paraId="0026125E">
      <w:pPr>
        <w:keepNext w:val="0"/>
        <w:keepLines w:val="0"/>
        <w:pageBreakBefore w:val="0"/>
        <w:widowControl w:val="0"/>
        <w:shd w:val="clear" w:color="auto" w:fill="auto"/>
        <w:tabs>
          <w:tab w:val="left" w:pos="140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6" w:name="bookmark58"/>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36"/>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二）服务承诺</w:t>
      </w:r>
    </w:p>
    <w:p w14:paraId="08DED88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left"/>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以响应文件、澄清表（函）、合同和随产品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的相关文件为准。</w:t>
      </w:r>
    </w:p>
    <w:p w14:paraId="6160EEBF">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7" w:name="bookmark59"/>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37"/>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三）服务要求</w:t>
      </w:r>
    </w:p>
    <w:p w14:paraId="3144C4E0">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1、</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所有设备均由乙方送货至甲方指定的交货地点并安装调试好，安装调试应以本需求书要求的技术参数指标为标准。</w:t>
      </w:r>
    </w:p>
    <w:p w14:paraId="3A0195F8">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2、</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所有货物交货后的拆箱、安装、调试等项工作(包括其费用)由乙方负责，但必须在用户指定人员的参与下进行。调试的原始记录需经各方签字后作为验收的文件之一。</w:t>
      </w:r>
    </w:p>
    <w:p w14:paraId="2A5E8B14">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3、</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乙方应提供包括但不限于满足设备安装、使用和维护的技术文件。</w:t>
      </w:r>
    </w:p>
    <w:p w14:paraId="5851D1C0">
      <w:pPr>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4、</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应按出厂标准及国家有关要求进行包装及运输。</w:t>
      </w:r>
    </w:p>
    <w:p w14:paraId="2082C6FD">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en-US"/>
        </w:rPr>
        <w:t>十一、违约</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责任</w:t>
      </w:r>
    </w:p>
    <w:p w14:paraId="7D0A152E">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en-US"/>
        </w:rPr>
        <w:t>一</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en-US" w:bidi="en-US"/>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合同中未约定的，按《</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中华人民共和国</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民法典》中的相关条款执行。</w:t>
      </w:r>
    </w:p>
    <w:p w14:paraId="70F5CCDE">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（二）未按合同要求提供产品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或产品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质量不能满足合同要求，甲方应当将乙方违约的情况以及拟采取的措施以书面形式报政府</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购监管部门，根据政府采购监管部门的处理意见，甲方有权</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依</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据《中华人民共和国民法典》有关条款及合同约定解除合同，乙方应向甲方支付合同总价款</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CN"/>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％的违约金。同时，政府采购监管部门有权</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依</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据《</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中华人民共和国</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政府采购法》及相关法律法规对乙方的违法行为进行相应的处罚。</w:t>
      </w:r>
    </w:p>
    <w:p w14:paraId="4F0CF797">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8" w:name="bookmark60"/>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38"/>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三）乙方逾期交付产品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的（包括返修、更换、补交等），应当自逾期之日起每日按逾期交付部分价款总额的</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%向甲方支付违约金。若因乙方原因逾期交货超过</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CN"/>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天的，甲方有权拒收并解除本合同，且乙方应向甲方支付合同总价款</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%的违约金。</w:t>
      </w:r>
    </w:p>
    <w:p w14:paraId="738DDBBF">
      <w:pPr>
        <w:keepNext w:val="0"/>
        <w:keepLines w:val="0"/>
        <w:pageBreakBefore w:val="0"/>
        <w:widowControl w:val="0"/>
        <w:shd w:val="clear" w:color="auto" w:fill="auto"/>
        <w:tabs>
          <w:tab w:val="left" w:pos="144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39" w:name="bookmark62"/>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39"/>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四</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）如乙方所交的产品</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设备</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经甲方验收不符合合同约定或规定标准的，甲方有权拒收，乙方应当在甲方指定期限内更换，</w:t>
      </w:r>
      <w:r>
        <w:rPr>
          <w:rFonts w:ascii="宋体" w:hAnsi="宋体" w:eastAsia="宋体" w:cs="宋体"/>
          <w:sz w:val="24"/>
          <w:szCs w:val="24"/>
        </w:rPr>
        <w:t>经限期整改</w:t>
      </w:r>
      <w:r>
        <w:rPr>
          <w:rFonts w:hint="eastAsia" w:ascii="宋体" w:hAnsi="宋体" w:eastAsia="宋体" w:cs="宋体"/>
          <w:sz w:val="24"/>
          <w:szCs w:val="24"/>
          <w:lang w:val="en-US" w:eastAsia="zh-CN"/>
        </w:rPr>
        <w:t>更换</w:t>
      </w:r>
      <w:r>
        <w:rPr>
          <w:rFonts w:ascii="宋体" w:hAnsi="宋体" w:eastAsia="宋体" w:cs="宋体"/>
          <w:sz w:val="24"/>
          <w:szCs w:val="24"/>
        </w:rPr>
        <w:t>仍不合格，甲方有权解除合同，乙方退还全部已付款，并赔偿甲方全部损失。</w:t>
      </w:r>
    </w:p>
    <w:p w14:paraId="416CD17A">
      <w:pPr>
        <w:keepNext w:val="0"/>
        <w:keepLines w:val="0"/>
        <w:pageBreakBefore w:val="0"/>
        <w:widowControl w:val="0"/>
        <w:shd w:val="clear" w:color="auto" w:fill="auto"/>
        <w:tabs>
          <w:tab w:val="left" w:pos="144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五</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乙方所供</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办公耗材-硒鼓、粉盒、墨盒标准原装产品的必须为原装正品，成交后，</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乙方提供</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所供产品支持防伪查询并提供厂家售后服务承诺函，替代耗材若品质有问题的，要保证及时更换调整直至符合要求，并承担由此产生的全部费用；更换调整后仍不合格，甲方有权解除合同，乙方退还全部已付款，并赔偿甲方全部损失。</w:t>
      </w:r>
    </w:p>
    <w:p w14:paraId="09A46FC6">
      <w:pPr>
        <w:keepNext w:val="0"/>
        <w:keepLines w:val="0"/>
        <w:pageBreakBefore w:val="0"/>
        <w:widowControl w:val="0"/>
        <w:shd w:val="clear" w:color="auto" w:fill="auto"/>
        <w:tabs>
          <w:tab w:val="left" w:pos="144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六</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乙方所供</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产品不允许提供翻新及水货，所供产品须为全新合格产品，若乙方未按要求提供全新合格产品，甲方有权终止合同，乙方退还全部已付款，并赔偿甲方全部损失。</w:t>
      </w:r>
    </w:p>
    <w:p w14:paraId="0BA266CE">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pPr>
      <w:bookmarkStart w:id="40" w:name="bookmark63"/>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七</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甲方将按季度对乙方进行考核，乙方考核不合格的，甲方有权依据考核结果计收违约金，违约金按合同金额的1%计取并直接从履约保证金中扣除相应款项。履约保证金不足抵扣的，不足部分由乙方另行承担。在下个季度考核中乙方考核仍不合格的，甲方有权终止合同，乙方退还全部已付款，并赔偿甲方全部损失。</w:t>
      </w:r>
    </w:p>
    <w:p w14:paraId="47BAFDD0">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40"/>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八</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）本合同中各条款约定的违约金可自甲方未支付款项中直接扣除，违约金若不能弥补甲方损失的，乙方还应赔偿甲方损失。</w:t>
      </w:r>
    </w:p>
    <w:p w14:paraId="5EB536AC">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十二、</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争议解决</w:t>
      </w:r>
    </w:p>
    <w:p w14:paraId="1F246663">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10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41" w:name="bookmark65"/>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41"/>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一）本合同在履行过程中发生的争议，由甲、乙双方当事人协商解决，协商不成的按下列第</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2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种方式解决：</w:t>
      </w:r>
    </w:p>
    <w:p w14:paraId="064A8D13">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42" w:name="bookmark66"/>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1</w:t>
      </w:r>
      <w:bookmarkEnd w:id="42"/>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、提交西安仲裁委员会仲裁；</w:t>
      </w:r>
    </w:p>
    <w:p w14:paraId="60F2393E">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43" w:name="bookmark67"/>
      <w:bookmarkEnd w:id="43"/>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en-US" w:eastAsia="zh-CN" w:bidi="zh-TW"/>
        </w:rPr>
        <w:t>2、</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CN" w:bidi="zh-TW"/>
        </w:rPr>
        <w:t>依</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法向甲方所在地人民法院起诉。</w:t>
      </w:r>
    </w:p>
    <w:p w14:paraId="5F984A45">
      <w:pPr>
        <w:keepNext w:val="0"/>
        <w:keepLines w:val="0"/>
        <w:pageBreakBefore w:val="0"/>
        <w:widowControl w:val="0"/>
        <w:shd w:val="clear" w:color="auto" w:fill="auto"/>
        <w:tabs>
          <w:tab w:val="left" w:pos="1429"/>
        </w:tabs>
        <w:kinsoku/>
        <w:wordWrap/>
        <w:overflowPunct/>
        <w:topLinePunct w:val="0"/>
        <w:autoSpaceDE/>
        <w:autoSpaceDN/>
        <w:bidi w:val="0"/>
        <w:adjustRightInd/>
        <w:snapToGrid/>
        <w:spacing w:before="0" w:after="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bookmarkStart w:id="44" w:name="bookmark68"/>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w:t>
      </w:r>
      <w:bookmarkEnd w:id="44"/>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二）本条款为独立条款，本合同的无效、变更、解除和终止均不影响本条款的效力。</w:t>
      </w:r>
    </w:p>
    <w:p w14:paraId="48B4A7E6">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十</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三</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、合同变更</w:t>
      </w:r>
    </w:p>
    <w:p w14:paraId="1DF3794C">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5B0F2957">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CN"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十</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四</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、合同</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生效</w:t>
      </w:r>
    </w:p>
    <w:p w14:paraId="024A9CA0">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本合同一式</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份，甲方持</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份，乙方持</w:t>
      </w:r>
      <w:r>
        <w:rPr>
          <w:rFonts w:hint="eastAsia" w:asciiTheme="majorEastAsia" w:hAnsiTheme="majorEastAsia" w:eastAsiaTheme="majorEastAsia" w:cstheme="majorEastAsia"/>
          <w:color w:val="auto"/>
          <w:spacing w:val="0"/>
          <w:w w:val="100"/>
          <w:position w:val="0"/>
          <w:sz w:val="24"/>
          <w:szCs w:val="24"/>
          <w:highlight w:val="none"/>
          <w:u w:val="single"/>
          <w:shd w:val="clear" w:color="auto" w:fill="auto"/>
          <w:lang w:val="en-US" w:eastAsia="zh-CN" w:bidi="zh-TW"/>
        </w:rPr>
        <w:t xml:space="preserve">   </w:t>
      </w: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t>份，本合同甲、乙各方签字并盖章后生效，合同执行完毕后，自动失效（合同的服务承诺则长期有效）。</w:t>
      </w:r>
    </w:p>
    <w:p w14:paraId="01175017">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2" w:firstLineChars="200"/>
        <w:jc w:val="both"/>
        <w:textAlignment w:val="auto"/>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en-US" w:eastAsia="zh-CN" w:bidi="zh-TW"/>
        </w:rPr>
        <w:t>十五、</w:t>
      </w:r>
      <w:r>
        <w:rPr>
          <w:rFonts w:hint="eastAsia" w:asciiTheme="majorEastAsia" w:hAnsiTheme="majorEastAsia" w:eastAsiaTheme="majorEastAsia" w:cstheme="majorEastAsia"/>
          <w:b/>
          <w:bCs/>
          <w:color w:val="auto"/>
          <w:spacing w:val="0"/>
          <w:w w:val="100"/>
          <w:position w:val="0"/>
          <w:sz w:val="24"/>
          <w:szCs w:val="24"/>
          <w:highlight w:val="none"/>
          <w:u w:val="none"/>
          <w:shd w:val="clear" w:color="auto" w:fill="auto"/>
          <w:lang w:val="zh-TW" w:eastAsia="zh-TW" w:bidi="zh-TW"/>
        </w:rPr>
        <w:t>其他事项</w:t>
      </w:r>
    </w:p>
    <w:p w14:paraId="0E115B5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一</w:t>
      </w: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西安市财政局在合同的履行期间以及履行期后，可以随时检查项目的执行情况，对采购标准、采购内容进行调查核实，并对发现的问题进行处理。</w:t>
      </w:r>
    </w:p>
    <w:p w14:paraId="5E443917">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pP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（二）竞争性</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磋商文件、响应文件、澄清表（函）、成交通知书、合同</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附件均为合同</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不可分割的部分。</w:t>
      </w:r>
    </w:p>
    <w:p w14:paraId="2B59D52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480" w:firstLineChars="200"/>
        <w:jc w:val="left"/>
        <w:textAlignment w:val="auto"/>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三</w:t>
      </w:r>
      <w:r>
        <w:rPr>
          <w:rFonts w:hint="eastAsia" w:ascii="宋体" w:hAnsi="宋体" w:eastAsia="宋体" w:cs="宋体"/>
          <w:b w:val="0"/>
          <w:bCs/>
          <w:color w:val="auto"/>
          <w:spacing w:val="0"/>
          <w:w w:val="100"/>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甲乙</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双方因不可抗力导致本合同全部或部分不能履行时，发生</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不可抗力的一方应当</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在不可抗力发生后</w:t>
      </w:r>
      <w:r>
        <w:rPr>
          <w:rFonts w:hint="eastAsia" w:ascii="宋体" w:hAnsi="宋体" w:eastAsia="宋体" w:cs="宋体"/>
          <w:b w:val="0"/>
          <w:bCs/>
          <w:color w:val="auto"/>
          <w:spacing w:val="0"/>
          <w:w w:val="100"/>
          <w:position w:val="0"/>
          <w:sz w:val="24"/>
          <w:szCs w:val="24"/>
          <w:highlight w:val="none"/>
          <w:u w:val="single"/>
          <w:shd w:val="clear" w:color="auto" w:fill="auto"/>
          <w:lang w:val="en-US" w:eastAsia="zh-CN" w:bidi="zh-TW"/>
        </w:rPr>
        <w:t xml:space="preserve">    </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天内书面通知对方，以减轻</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可能给对方造成的损失</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。因不可抗力导致本合同全部或部分不能履行时，</w:t>
      </w:r>
      <w:r>
        <w:rPr>
          <w:rFonts w:hint="eastAsia" w:ascii="宋体" w:hAnsi="宋体" w:eastAsia="宋体" w:cs="宋体"/>
          <w:b w:val="0"/>
          <w:bCs/>
          <w:color w:val="auto"/>
          <w:spacing w:val="0"/>
          <w:w w:val="100"/>
          <w:position w:val="0"/>
          <w:sz w:val="24"/>
          <w:szCs w:val="24"/>
          <w:highlight w:val="none"/>
          <w:u w:val="none"/>
          <w:shd w:val="clear" w:color="auto" w:fill="auto"/>
          <w:lang w:val="en-US" w:eastAsia="zh-CN" w:bidi="zh-TW"/>
        </w:rPr>
        <w:t>双方各自承担其因此而造成的损失</w:t>
      </w:r>
      <w:r>
        <w:rPr>
          <w:rFonts w:hint="eastAsia" w:ascii="宋体" w:hAnsi="宋体" w:eastAsia="宋体" w:cs="宋体"/>
          <w:b w:val="0"/>
          <w:bCs/>
          <w:color w:val="auto"/>
          <w:spacing w:val="0"/>
          <w:w w:val="100"/>
          <w:position w:val="0"/>
          <w:sz w:val="24"/>
          <w:szCs w:val="24"/>
          <w:highlight w:val="none"/>
          <w:u w:val="none"/>
          <w:shd w:val="clear" w:color="auto" w:fill="auto"/>
          <w:lang w:val="zh-TW" w:eastAsia="zh-TW" w:bidi="zh-TW"/>
        </w:rPr>
        <w:t>、损害。</w:t>
      </w:r>
    </w:p>
    <w:p w14:paraId="6E027BDA">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四</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CN" w:bidi="zh-TW"/>
        </w:rPr>
        <w:t>）</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未尽事宜，由甲、乙双方协商确认后签订政府</w:t>
      </w:r>
      <w:r>
        <w:rPr>
          <w:rFonts w:hint="eastAsia" w:ascii="宋体" w:hAnsi="宋体" w:eastAsia="宋体" w:cs="宋体"/>
          <w:b w:val="0"/>
          <w:bCs/>
          <w:color w:val="auto"/>
          <w:spacing w:val="0"/>
          <w:w w:val="100"/>
          <w:kern w:val="2"/>
          <w:position w:val="0"/>
          <w:sz w:val="24"/>
          <w:szCs w:val="24"/>
          <w:highlight w:val="none"/>
          <w:u w:val="none"/>
          <w:shd w:val="clear" w:color="auto" w:fill="auto"/>
          <w:lang w:val="en-US" w:eastAsia="zh-CN" w:bidi="zh-TW"/>
        </w:rPr>
        <w:t>采购补充合同，</w:t>
      </w:r>
      <w:r>
        <w:rPr>
          <w:rFonts w:hint="eastAsia" w:ascii="宋体" w:hAnsi="宋体" w:eastAsia="宋体" w:cs="宋体"/>
          <w:b w:val="0"/>
          <w:bCs/>
          <w:color w:val="auto"/>
          <w:spacing w:val="0"/>
          <w:w w:val="100"/>
          <w:kern w:val="2"/>
          <w:position w:val="0"/>
          <w:sz w:val="24"/>
          <w:szCs w:val="24"/>
          <w:highlight w:val="none"/>
          <w:u w:val="none"/>
          <w:shd w:val="clear" w:color="auto" w:fill="auto"/>
          <w:lang w:val="zh-TW" w:eastAsia="zh-TW" w:bidi="zh-TW"/>
        </w:rPr>
        <w:t>与原合同具有同等法律效力。</w:t>
      </w:r>
    </w:p>
    <w:p w14:paraId="7CC5FE52">
      <w:pPr>
        <w:keepNext w:val="0"/>
        <w:keepLines w:val="0"/>
        <w:pageBreakBefore w:val="0"/>
        <w:widowControl w:val="0"/>
        <w:shd w:val="clear" w:color="auto" w:fill="auto"/>
        <w:kinsoku/>
        <w:wordWrap/>
        <w:overflowPunct/>
        <w:topLinePunct w:val="0"/>
        <w:autoSpaceDE/>
        <w:autoSpaceDN/>
        <w:bidi w:val="0"/>
        <w:adjustRightInd/>
        <w:snapToGrid/>
        <w:spacing w:before="0" w:after="40" w:line="360" w:lineRule="auto"/>
        <w:ind w:left="0" w:right="0" w:firstLine="480" w:firstLineChars="20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r>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br w:type="page"/>
      </w:r>
    </w:p>
    <w:p w14:paraId="7FCB0748">
      <w:pPr>
        <w:pStyle w:val="5"/>
        <w:rPr>
          <w:rFonts w:hint="eastAsia" w:asciiTheme="majorEastAsia" w:hAnsiTheme="majorEastAsia" w:eastAsiaTheme="majorEastAsia" w:cstheme="majorEastAsia"/>
          <w:sz w:val="24"/>
          <w:szCs w:val="24"/>
          <w:lang w:val="zh-TW" w:eastAsia="zh-CN"/>
        </w:rPr>
      </w:pPr>
      <w:r>
        <w:rPr>
          <w:rFonts w:hint="eastAsia" w:asciiTheme="majorEastAsia" w:hAnsiTheme="majorEastAsia" w:eastAsiaTheme="majorEastAsia" w:cstheme="majorEastAsia"/>
          <w:sz w:val="24"/>
          <w:szCs w:val="24"/>
          <w:lang w:val="zh-TW" w:eastAsia="zh-CN"/>
        </w:rPr>
        <w:t>（</w:t>
      </w:r>
      <w:r>
        <w:rPr>
          <w:rFonts w:hint="eastAsia" w:asciiTheme="majorEastAsia" w:hAnsiTheme="majorEastAsia" w:eastAsiaTheme="majorEastAsia" w:cstheme="majorEastAsia"/>
          <w:sz w:val="24"/>
          <w:szCs w:val="24"/>
          <w:lang w:val="en-US" w:eastAsia="zh-CN"/>
        </w:rPr>
        <w:t>本页无正文</w:t>
      </w:r>
      <w:r>
        <w:rPr>
          <w:rFonts w:hint="eastAsia" w:asciiTheme="majorEastAsia" w:hAnsiTheme="majorEastAsia" w:eastAsiaTheme="majorEastAsia" w:cstheme="majorEastAsia"/>
          <w:sz w:val="24"/>
          <w:szCs w:val="24"/>
          <w:lang w:val="zh-TW" w:eastAsia="zh-CN"/>
        </w:rPr>
        <w:t>）</w:t>
      </w:r>
    </w:p>
    <w:tbl>
      <w:tblPr>
        <w:tblStyle w:val="7"/>
        <w:tblW w:w="8894" w:type="dxa"/>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20"/>
        <w:gridCol w:w="3974"/>
      </w:tblGrid>
      <w:tr w14:paraId="5DF43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1EFB93FF">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甲方：</w:t>
            </w:r>
          </w:p>
        </w:tc>
        <w:tc>
          <w:tcPr>
            <w:tcW w:w="3974" w:type="dxa"/>
            <w:tcBorders>
              <w:top w:val="nil"/>
              <w:left w:val="nil"/>
              <w:bottom w:val="nil"/>
              <w:right w:val="nil"/>
            </w:tcBorders>
            <w:vAlign w:val="center"/>
          </w:tcPr>
          <w:p w14:paraId="295F0591">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乙方：</w:t>
            </w:r>
          </w:p>
        </w:tc>
      </w:tr>
      <w:tr w14:paraId="14818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exact"/>
        </w:trPr>
        <w:tc>
          <w:tcPr>
            <w:tcW w:w="4920" w:type="dxa"/>
            <w:tcBorders>
              <w:top w:val="nil"/>
              <w:left w:val="nil"/>
              <w:bottom w:val="nil"/>
              <w:right w:val="nil"/>
            </w:tcBorders>
            <w:vAlign w:val="center"/>
          </w:tcPr>
          <w:p w14:paraId="3B8F5B68">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地    址：</w:t>
            </w:r>
          </w:p>
        </w:tc>
        <w:tc>
          <w:tcPr>
            <w:tcW w:w="3974" w:type="dxa"/>
            <w:tcBorders>
              <w:top w:val="nil"/>
              <w:left w:val="nil"/>
              <w:bottom w:val="nil"/>
              <w:right w:val="nil"/>
            </w:tcBorders>
            <w:vAlign w:val="center"/>
          </w:tcPr>
          <w:p w14:paraId="137F8EF6">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地    址：</w:t>
            </w:r>
          </w:p>
        </w:tc>
      </w:tr>
      <w:tr w14:paraId="0B72C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exact"/>
        </w:trPr>
        <w:tc>
          <w:tcPr>
            <w:tcW w:w="4920" w:type="dxa"/>
            <w:tcBorders>
              <w:top w:val="nil"/>
              <w:left w:val="nil"/>
              <w:bottom w:val="nil"/>
              <w:right w:val="nil"/>
            </w:tcBorders>
            <w:vAlign w:val="center"/>
          </w:tcPr>
          <w:p w14:paraId="5DC9E003">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法定代表人或其</w:t>
            </w:r>
          </w:p>
          <w:p w14:paraId="72F77057">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授权的代理人（签字或盖章）：</w:t>
            </w:r>
          </w:p>
        </w:tc>
        <w:tc>
          <w:tcPr>
            <w:tcW w:w="3974" w:type="dxa"/>
            <w:tcBorders>
              <w:top w:val="nil"/>
              <w:left w:val="nil"/>
              <w:bottom w:val="nil"/>
              <w:right w:val="nil"/>
            </w:tcBorders>
            <w:vAlign w:val="center"/>
          </w:tcPr>
          <w:p w14:paraId="61DFDA93">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法定代表人或其</w:t>
            </w:r>
          </w:p>
          <w:p w14:paraId="300768B7">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授权的代理人（签字或盖章）：</w:t>
            </w:r>
          </w:p>
        </w:tc>
      </w:tr>
      <w:tr w14:paraId="4B9C9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A23A4A9">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开户银行</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w:t>
            </w:r>
          </w:p>
        </w:tc>
        <w:tc>
          <w:tcPr>
            <w:tcW w:w="3974" w:type="dxa"/>
            <w:tcBorders>
              <w:top w:val="nil"/>
              <w:left w:val="nil"/>
              <w:bottom w:val="nil"/>
              <w:right w:val="nil"/>
            </w:tcBorders>
            <w:vAlign w:val="center"/>
          </w:tcPr>
          <w:p w14:paraId="5AAB2D8A">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fldChar w:fldCharType="begin"/>
            </w:r>
            <w:r>
              <w:rPr>
                <w:rFonts w:hint="eastAsia" w:asciiTheme="majorEastAsia" w:hAnsiTheme="majorEastAsia" w:eastAsiaTheme="majorEastAsia" w:cstheme="majorEastAsia"/>
                <w:sz w:val="24"/>
                <w:szCs w:val="24"/>
                <w:lang w:val="en-US" w:eastAsia="zh-CN"/>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ajorEastAsia" w:hAnsiTheme="majorEastAsia" w:eastAsiaTheme="majorEastAsia" w:cstheme="majorEastAsia"/>
                <w:sz w:val="24"/>
                <w:szCs w:val="24"/>
                <w:lang w:val="en-US" w:eastAsia="zh-CN"/>
              </w:rPr>
              <w:fldChar w:fldCharType="separate"/>
            </w:r>
            <w:r>
              <w:rPr>
                <w:rFonts w:hint="eastAsia" w:asciiTheme="majorEastAsia" w:hAnsiTheme="majorEastAsia" w:eastAsiaTheme="majorEastAsia" w:cstheme="majorEastAsia"/>
                <w:sz w:val="24"/>
                <w:szCs w:val="24"/>
                <w:lang w:val="en-US" w:eastAsia="zh-CN"/>
              </w:rPr>
              <w:t>开户银行</w:t>
            </w:r>
            <w:r>
              <w:rPr>
                <w:rFonts w:hint="eastAsia" w:asciiTheme="majorEastAsia" w:hAnsiTheme="majorEastAsia" w:eastAsiaTheme="majorEastAsia" w:cstheme="majorEastAsia"/>
                <w:sz w:val="24"/>
                <w:szCs w:val="24"/>
                <w:lang w:val="en-US" w:eastAsia="zh-CN"/>
              </w:rPr>
              <w:fldChar w:fldCharType="end"/>
            </w:r>
            <w:r>
              <w:rPr>
                <w:rFonts w:hint="eastAsia" w:asciiTheme="majorEastAsia" w:hAnsiTheme="majorEastAsia" w:eastAsiaTheme="majorEastAsia" w:cstheme="majorEastAsia"/>
                <w:sz w:val="24"/>
                <w:szCs w:val="24"/>
                <w:lang w:val="en-US" w:eastAsia="zh-CN"/>
              </w:rPr>
              <w:t>：</w:t>
            </w:r>
          </w:p>
        </w:tc>
      </w:tr>
      <w:tr w14:paraId="23A8D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70C98E76">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账    号：</w:t>
            </w:r>
          </w:p>
        </w:tc>
        <w:tc>
          <w:tcPr>
            <w:tcW w:w="3974" w:type="dxa"/>
            <w:tcBorders>
              <w:top w:val="nil"/>
              <w:left w:val="nil"/>
              <w:bottom w:val="nil"/>
              <w:right w:val="nil"/>
            </w:tcBorders>
            <w:vAlign w:val="center"/>
          </w:tcPr>
          <w:p w14:paraId="6C9D6874">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账    号：</w:t>
            </w:r>
          </w:p>
        </w:tc>
      </w:tr>
      <w:tr w14:paraId="29E3F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0B41474">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电    话：</w:t>
            </w:r>
          </w:p>
        </w:tc>
        <w:tc>
          <w:tcPr>
            <w:tcW w:w="3974" w:type="dxa"/>
            <w:tcBorders>
              <w:top w:val="nil"/>
              <w:left w:val="nil"/>
              <w:bottom w:val="nil"/>
              <w:right w:val="nil"/>
            </w:tcBorders>
            <w:vAlign w:val="center"/>
          </w:tcPr>
          <w:p w14:paraId="47FECF12">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电    话：</w:t>
            </w:r>
          </w:p>
        </w:tc>
      </w:tr>
      <w:tr w14:paraId="1264B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4920" w:type="dxa"/>
            <w:tcBorders>
              <w:top w:val="nil"/>
              <w:left w:val="nil"/>
              <w:bottom w:val="nil"/>
              <w:right w:val="nil"/>
            </w:tcBorders>
            <w:vAlign w:val="center"/>
          </w:tcPr>
          <w:p w14:paraId="0BBD3B66">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日    期：</w:t>
            </w:r>
          </w:p>
        </w:tc>
        <w:tc>
          <w:tcPr>
            <w:tcW w:w="3974" w:type="dxa"/>
            <w:tcBorders>
              <w:top w:val="nil"/>
              <w:left w:val="nil"/>
              <w:bottom w:val="nil"/>
              <w:right w:val="nil"/>
            </w:tcBorders>
            <w:vAlign w:val="center"/>
          </w:tcPr>
          <w:p w14:paraId="4E674CFA">
            <w:pPr>
              <w:spacing w:line="360" w:lineRule="auto"/>
              <w:ind w:left="0" w:leftChars="0" w:firstLine="0" w:firstLineChars="0"/>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日    期：</w:t>
            </w:r>
          </w:p>
        </w:tc>
      </w:tr>
    </w:tbl>
    <w:p w14:paraId="62A190AA">
      <w:pPr>
        <w:keepNext w:val="0"/>
        <w:keepLines w:val="0"/>
        <w:pageBreakBefore w:val="0"/>
        <w:widowControl w:val="0"/>
        <w:shd w:val="clear" w:color="auto" w:fill="auto"/>
        <w:tabs>
          <w:tab w:val="left" w:pos="1598"/>
        </w:tabs>
        <w:kinsoku/>
        <w:wordWrap/>
        <w:overflowPunct/>
        <w:topLinePunct w:val="0"/>
        <w:autoSpaceDE/>
        <w:autoSpaceDN/>
        <w:bidi w:val="0"/>
        <w:adjustRightInd/>
        <w:snapToGrid/>
        <w:spacing w:before="0" w:after="380" w:line="413" w:lineRule="exact"/>
        <w:ind w:right="0"/>
        <w:jc w:val="both"/>
        <w:textAlignment w:val="auto"/>
        <w:rPr>
          <w:rFonts w:hint="eastAsia" w:asciiTheme="majorEastAsia" w:hAnsiTheme="majorEastAsia" w:eastAsiaTheme="majorEastAsia" w:cstheme="majorEastAsia"/>
          <w:color w:val="auto"/>
          <w:spacing w:val="0"/>
          <w:w w:val="100"/>
          <w:position w:val="0"/>
          <w:sz w:val="24"/>
          <w:szCs w:val="24"/>
          <w:highlight w:val="none"/>
          <w:u w:val="none"/>
          <w:shd w:val="clear" w:color="auto" w:fill="auto"/>
          <w:lang w:val="zh-TW" w:eastAsia="zh-TW" w:bidi="zh-TW"/>
        </w:rPr>
      </w:pPr>
    </w:p>
    <w:p w14:paraId="7791860C">
      <w:pPr>
        <w:pStyle w:val="9"/>
        <w:rPr>
          <w:rFonts w:hint="eastAsia" w:asciiTheme="majorEastAsia" w:hAnsiTheme="majorEastAsia" w:eastAsiaTheme="majorEastAsia" w:cstheme="majorEastAsia"/>
        </w:rPr>
      </w:pPr>
    </w:p>
    <w:p w14:paraId="1EC910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3"/>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3D2A88BD"/>
    <w:multiLevelType w:val="multilevel"/>
    <w:tmpl w:val="3D2A88BD"/>
    <w:lvl w:ilvl="0" w:tentative="0">
      <w:start w:val="1"/>
      <w:numFmt w:val="chineseCounting"/>
      <w:pStyle w:val="2"/>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0MGJlZmYzNTFlOTllYWY4YzQ5NmIzOTY0ZmUyYTMifQ=="/>
  </w:docVars>
  <w:rsids>
    <w:rsidRoot w:val="20382F2D"/>
    <w:rsid w:val="06DD0106"/>
    <w:rsid w:val="0B114B1C"/>
    <w:rsid w:val="0C05293C"/>
    <w:rsid w:val="0F024CF3"/>
    <w:rsid w:val="0F444F18"/>
    <w:rsid w:val="11EF5065"/>
    <w:rsid w:val="12503FC7"/>
    <w:rsid w:val="16BD18E1"/>
    <w:rsid w:val="172774C3"/>
    <w:rsid w:val="1A2F18F5"/>
    <w:rsid w:val="1B5829DE"/>
    <w:rsid w:val="1D6420F3"/>
    <w:rsid w:val="20382F2D"/>
    <w:rsid w:val="209E162B"/>
    <w:rsid w:val="21507B40"/>
    <w:rsid w:val="21B925F7"/>
    <w:rsid w:val="22132232"/>
    <w:rsid w:val="221C5C74"/>
    <w:rsid w:val="22B3557A"/>
    <w:rsid w:val="235224A3"/>
    <w:rsid w:val="247973AD"/>
    <w:rsid w:val="28DB5C4C"/>
    <w:rsid w:val="2C0077A0"/>
    <w:rsid w:val="2C064163"/>
    <w:rsid w:val="2F344DFD"/>
    <w:rsid w:val="306A18D9"/>
    <w:rsid w:val="31F14A27"/>
    <w:rsid w:val="34E74687"/>
    <w:rsid w:val="3B434C68"/>
    <w:rsid w:val="3C8841DA"/>
    <w:rsid w:val="3E900150"/>
    <w:rsid w:val="40B764AB"/>
    <w:rsid w:val="40FC427F"/>
    <w:rsid w:val="41A90E7A"/>
    <w:rsid w:val="421F0BF3"/>
    <w:rsid w:val="438159AA"/>
    <w:rsid w:val="442C7B41"/>
    <w:rsid w:val="45F15E2C"/>
    <w:rsid w:val="49FB155B"/>
    <w:rsid w:val="4F2C7344"/>
    <w:rsid w:val="50D21A70"/>
    <w:rsid w:val="50ED0658"/>
    <w:rsid w:val="52BA415E"/>
    <w:rsid w:val="550739C3"/>
    <w:rsid w:val="58D04AE7"/>
    <w:rsid w:val="59AF0BA0"/>
    <w:rsid w:val="5A8B5169"/>
    <w:rsid w:val="5AA77E35"/>
    <w:rsid w:val="5B3F01A2"/>
    <w:rsid w:val="5B734153"/>
    <w:rsid w:val="62F6339C"/>
    <w:rsid w:val="677C21AC"/>
    <w:rsid w:val="69124CA8"/>
    <w:rsid w:val="6B975124"/>
    <w:rsid w:val="6EDC5B3C"/>
    <w:rsid w:val="70B55F19"/>
    <w:rsid w:val="71493231"/>
    <w:rsid w:val="732F0673"/>
    <w:rsid w:val="759865F6"/>
    <w:rsid w:val="7D5D1D41"/>
    <w:rsid w:val="7E404785"/>
    <w:rsid w:val="7EE14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ind w:firstLine="0" w:firstLineChars="0"/>
      <w:jc w:val="center"/>
      <w:outlineLvl w:val="0"/>
    </w:pPr>
    <w:rPr>
      <w:b/>
      <w:kern w:val="44"/>
      <w:sz w:val="44"/>
    </w:rPr>
  </w:style>
  <w:style w:type="paragraph" w:styleId="3">
    <w:name w:val="heading 4"/>
    <w:basedOn w:val="1"/>
    <w:next w:val="1"/>
    <w:qFormat/>
    <w:uiPriority w:val="0"/>
    <w:pPr>
      <w:keepNext/>
      <w:keepLines/>
      <w:numPr>
        <w:ilvl w:val="3"/>
        <w:numId w:val="2"/>
      </w:numPr>
      <w:spacing w:before="280" w:after="290" w:line="372" w:lineRule="auto"/>
      <w:ind w:firstLine="0" w:firstLineChars="0"/>
      <w:outlineLvl w:val="3"/>
    </w:pPr>
    <w:rPr>
      <w:rFonts w:ascii="Arial" w:hAnsi="Arial" w:eastAsia="黑体"/>
      <w:b/>
      <w:sz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jc w:val="left"/>
    </w:pPr>
    <w:rPr>
      <w:rFonts w:ascii="Copperplate Gothic Bold" w:hAnsi="Copperplate Gothic Bold"/>
      <w:sz w:val="28"/>
    </w:rPr>
  </w:style>
  <w:style w:type="paragraph" w:styleId="5">
    <w:name w:val="Body Text First Indent"/>
    <w:basedOn w:val="4"/>
    <w:unhideWhenUsed/>
    <w:qFormat/>
    <w:uiPriority w:val="99"/>
    <w:pPr>
      <w:spacing w:after="120" w:line="240" w:lineRule="auto"/>
      <w:ind w:firstLine="420" w:firstLineChars="100"/>
    </w:pPr>
    <w:rPr>
      <w:rFonts w:ascii="Times New Roman" w:hAnsi="Times New Roman"/>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5519</Words>
  <Characters>5559</Characters>
  <Lines>0</Lines>
  <Paragraphs>0</Paragraphs>
  <TotalTime>0</TotalTime>
  <ScaleCrop>false</ScaleCrop>
  <LinksUpToDate>false</LinksUpToDate>
  <CharactersWithSpaces>5749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2024-09-29T08:36:00Z</dcterms:created>
  <dc:creator>Administrator</dc:creator>
  <cp:lastModifiedBy>潘乐</cp:lastModifiedBy>
  <dcterms:modified xsi:type="dcterms:W3CDTF">2026-09-07T08:15:53Z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F89786A479FB4C6DBAC0D39A89D95D3F_11</vt:lpwstr>
  </property>
  <property fmtid="{D5CDD505-2E9C-101B-9397-08002B2CF9AE}" pid="4" name="KSOTemplateDocerSaveRecord">
    <vt:lpwstr>eyJoZGlkIjoiZmYxODAxNGIyZjg3ZWUxZjA2Yzk5MjYwMThlMjY3MjIiLCJ1c2VySWQiOiIxNDYyMTI5MzQyIn0=</vt:lpwstr>
  </property>
</Properties>
</file>