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版本号：HJLHZ--2026--024.1B120260623001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宁强县国有红石梁林场现代化林场建设智慧能力提升项目(二次)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HJLHZ--2026--024.1B1</w:t>
      </w:r>
      <w:r>
        <w:br/>
      </w:r>
      <w:r>
        <w:br/>
      </w:r>
      <w:r>
        <w:br/>
      </w:r>
    </w:p>
    <w:p>
      <w:pPr>
        <w:pStyle w:val="null3"/>
        <w:jc w:val="center"/>
        <w:outlineLvl w:val="2"/>
      </w:pPr>
      <w:r>
        <w:rPr>
          <w:rFonts w:ascii="仿宋_GB2312" w:hAnsi="仿宋_GB2312" w:cs="仿宋_GB2312" w:eastAsia="仿宋_GB2312"/>
          <w:sz w:val="28"/>
          <w:b/>
        </w:rPr>
        <w:t>宁强县国有红石梁林场（陕西青木川国家级自然保护区管理局）</w:t>
      </w:r>
    </w:p>
    <w:p>
      <w:pPr>
        <w:pStyle w:val="null3"/>
        <w:jc w:val="center"/>
        <w:outlineLvl w:val="2"/>
      </w:pPr>
      <w:r>
        <w:rPr>
          <w:rFonts w:ascii="仿宋_GB2312" w:hAnsi="仿宋_GB2312" w:cs="仿宋_GB2312" w:eastAsia="仿宋_GB2312"/>
          <w:sz w:val="28"/>
          <w:b/>
        </w:rPr>
        <w:t>华建联项目管理有限公司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华建联项目管理有限公司</w:t>
      </w:r>
      <w:r>
        <w:rPr>
          <w:rFonts w:ascii="仿宋_GB2312" w:hAnsi="仿宋_GB2312" w:cs="仿宋_GB2312" w:eastAsia="仿宋_GB2312"/>
        </w:rPr>
        <w:t>（以下简称“代理机构”）受</w:t>
      </w:r>
      <w:r>
        <w:rPr>
          <w:rFonts w:ascii="仿宋_GB2312" w:hAnsi="仿宋_GB2312" w:cs="仿宋_GB2312" w:eastAsia="仿宋_GB2312"/>
        </w:rPr>
        <w:t>宁强县国有红石梁林场（陕西青木川国家级自然保护区管理局）</w:t>
      </w:r>
      <w:r>
        <w:rPr>
          <w:rFonts w:ascii="仿宋_GB2312" w:hAnsi="仿宋_GB2312" w:cs="仿宋_GB2312" w:eastAsia="仿宋_GB2312"/>
        </w:rPr>
        <w:t>委托，拟对</w:t>
      </w:r>
      <w:r>
        <w:rPr>
          <w:rFonts w:ascii="仿宋_GB2312" w:hAnsi="仿宋_GB2312" w:cs="仿宋_GB2312" w:eastAsia="仿宋_GB2312"/>
        </w:rPr>
        <w:t>宁强县国有红石梁林场现代化林场建设智慧能力提升项目(二次)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HJLHZ--2026--024.1B1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宁强县国有红石梁林场现代化林场建设智慧能力提升项目(二次)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建设涵盖“线上VR全景+线下无感讲解+AI数字人互动”三位一体保护、宣教体系，通过建设初步实现： 保护、宣教无界化：打破地域限制，通过网络提升保护能力，沉浸式体验让公众对森林保护有直观认识。 体验无感化：利用科学技术让保护远程可视化、公众教育实现“即走即听”，不破坏林区静谧环境的生态保护体验。 科普智能化：借助AI大模型赋能，将林场打造成24小时不打烊的自然百科知识系统。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1、营业执照：供应商须为独⽴承担⺠事责任能⼒的法⼈或其他组织或⾃然⼈。其中企 业法⼈应提供有效的统⼀社会信⽤代码的营业执照，事业法⼈应提供事业单位法⼈证、组织机构代码证等证明⽂件，其他组织应提供合法证明⽂件，⾃然⼈提供⾝份证明⽂件。供应商需在项⽬电⼦化交易系统中按要求上传相应证明⽂件并进⾏电⼦签章。</w:t>
      </w:r>
    </w:p>
    <w:p>
      <w:pPr>
        <w:pStyle w:val="null3"/>
      </w:pPr>
      <w:r>
        <w:rPr>
          <w:rFonts w:ascii="仿宋_GB2312" w:hAnsi="仿宋_GB2312" w:cs="仿宋_GB2312" w:eastAsia="仿宋_GB2312"/>
        </w:rPr>
        <w:t>2、法定代表⼈⾝份证明或法定代表授权委托书：法定代表⼈亲⾃参与磋商的，需出具法定代表⼈⾝份证明及⾝份证复印件，并与营业执照上信息⼀致;法定代表⼈委托授权代表参与磋商的，需出具法定代表⼈授权书以及授权代表的⾝份证复印件;供应商需在项⽬电⼦化交易系统中按要求上传相应证明⽂件并进⾏电⼦签章。</w:t>
      </w:r>
    </w:p>
    <w:p>
      <w:pPr>
        <w:pStyle w:val="null3"/>
      </w:pPr>
      <w:r>
        <w:rPr>
          <w:rFonts w:ascii="仿宋_GB2312" w:hAnsi="仿宋_GB2312" w:cs="仿宋_GB2312" w:eastAsia="仿宋_GB2312"/>
        </w:rPr>
        <w:t>3、汉中市政府采购供应商资格承诺函：供应商应具有良好的商业信誉和健全的财务会计制度，具有履⾏合同所必需的设备和专业技术能⼒，具有依法缴纳税收和社会保障⾦的良好记录，参加本项⽬采购活动前三年内⽆重⼤违法活动记录，未被列⼊在信⽤中国⽹站“失信被执⾏⼈”、“重⼤税收违法案件当事⼈名单”中，也被未列⼊中国政府采购⽹“政府采购严重违法失信⾏为记录名单”中，供应商应按照汉中市财政局《关于全⾯推⾏政府采购供应商基本资格条件承诺制的通知》（汉采办采管〔2024〕20 号）⽂件要求，提供《汉中市政府采购供应商资格承诺函》。供应商需在项⽬电⼦化交易系统中按要求上传相应证明⽂件并进⾏电⼦签章。</w:t>
      </w:r>
    </w:p>
    <w:p>
      <w:pPr>
        <w:pStyle w:val="null3"/>
      </w:pPr>
      <w:r>
        <w:rPr>
          <w:rFonts w:ascii="仿宋_GB2312" w:hAnsi="仿宋_GB2312" w:cs="仿宋_GB2312" w:eastAsia="仿宋_GB2312"/>
        </w:rPr>
        <w:t>4、中⼩企业声明函：本项⽬专⻔⾯向中⼩企业采购;供应商需在项⽬电⼦化交易系统中按要求上传相应证明⽂件并进⾏电⼦签章。</w:t>
      </w:r>
    </w:p>
    <w:p>
      <w:pPr>
        <w:pStyle w:val="null3"/>
      </w:pPr>
      <w:r>
        <w:rPr>
          <w:rFonts w:ascii="仿宋_GB2312" w:hAnsi="仿宋_GB2312" w:cs="仿宋_GB2312" w:eastAsia="仿宋_GB2312"/>
        </w:rPr>
        <w:t>5、⾮联合体投标：本项⽬不接受联合体投标;供应商需在项⽬电⼦化交易系统中按要求上传相应证明⽂件并进⾏电⼦签章。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宁强县国有红石梁林场（陕西青木川国家级自然保护区管理局）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宁强县汉源镇七里坝新区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宁强县国有红石梁林场经办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13992696195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华建联项目管理有限公司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汉中市汉台区东一环路盛世国际2号写字楼1105室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游工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0916-2222662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采购包1：722,000.00元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本次不涉及</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开户名称：华建联项目管理有限公司汉中分公司</w:t>
            </w:r>
          </w:p>
          <w:p>
            <w:pPr>
              <w:pStyle w:val="null3"/>
            </w:pPr>
            <w:r>
              <w:rPr>
                <w:rFonts w:ascii="仿宋_GB2312" w:hAnsi="仿宋_GB2312" w:cs="仿宋_GB2312" w:eastAsia="仿宋_GB2312"/>
              </w:rPr>
              <w:t>开户银行：中国农业银行汉中市汉台区支行营业部</w:t>
            </w:r>
          </w:p>
          <w:p>
            <w:pPr>
              <w:pStyle w:val="null3"/>
            </w:pPr>
            <w:r>
              <w:rPr>
                <w:rFonts w:ascii="仿宋_GB2312" w:hAnsi="仿宋_GB2312" w:cs="仿宋_GB2312" w:eastAsia="仿宋_GB2312"/>
              </w:rPr>
              <w:t>银行账号：26605401040004078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计委关于印发招标代理服务费管理暂行办法的通知》（计价格〔2002〕1980号）文件及国家发改委下发的《关于降低部分建设项目收费标准规范收费行为等有关问题的通知》（发改价格〔2011〕534号）文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宁强县国有红石梁林场（陕西青木川国家级自然保护区管理局）</w:t>
      </w:r>
      <w:r>
        <w:rPr>
          <w:rFonts w:ascii="仿宋_GB2312" w:hAnsi="仿宋_GB2312" w:cs="仿宋_GB2312" w:eastAsia="仿宋_GB2312"/>
        </w:rPr>
        <w:t>和</w:t>
      </w:r>
      <w:r>
        <w:rPr>
          <w:rFonts w:ascii="仿宋_GB2312" w:hAnsi="仿宋_GB2312" w:cs="仿宋_GB2312" w:eastAsia="仿宋_GB2312"/>
        </w:rPr>
        <w:t>华建联项目管理有限公司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宁强县国有红石梁林场（陕西青木川国家级自然保护区管理局）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华建联项目管理有限公司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宁强县国有红石梁林场（陕西青木川国家级自然保护区管理局）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华建联项目管理有限公司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符合国家、行业等相关要求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联系人：游工</w:t>
      </w:r>
    </w:p>
    <w:p>
      <w:pPr>
        <w:pStyle w:val="null3"/>
      </w:pPr>
      <w:r>
        <w:rPr>
          <w:rFonts w:ascii="仿宋_GB2312" w:hAnsi="仿宋_GB2312" w:cs="仿宋_GB2312" w:eastAsia="仿宋_GB2312"/>
        </w:rPr>
        <w:t>联系电话：0916-2222662</w:t>
      </w:r>
    </w:p>
    <w:p>
      <w:pPr>
        <w:pStyle w:val="null3"/>
      </w:pPr>
      <w:r>
        <w:rPr>
          <w:rFonts w:ascii="仿宋_GB2312" w:hAnsi="仿宋_GB2312" w:cs="仿宋_GB2312" w:eastAsia="仿宋_GB2312"/>
        </w:rPr>
        <w:t>地址：汉中市汉台区东一环路盛世国际2号写字楼1105室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本次申请建设项目重点完善林场区域的智慧保护系统 。主要包括:户外护林防火知识语音讲解、珍惜动植物保护知识问答、户外LED大屏以及安全警示牌、宣教解说系统等建设，以及设施设备硬件与软件以及内容制作等的实施建设以及配套的保护体系建设等。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722,000.00</w:t>
      </w:r>
    </w:p>
    <w:p>
      <w:pPr>
        <w:pStyle w:val="null3"/>
      </w:pPr>
      <w:r>
        <w:rPr>
          <w:rFonts w:ascii="仿宋_GB2312" w:hAnsi="仿宋_GB2312" w:cs="仿宋_GB2312" w:eastAsia="仿宋_GB2312"/>
        </w:rPr>
        <w:t>采购包最高限价（元）: 722,000.00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智慧能力提升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722,000.00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标的名称：智慧能力提升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本项⽬⽴⾜秦巴林区⽣态管护转型需求，依托林业专项资⾦实施，核⼼围绕</w:t>
            </w:r>
            <w:r>
              <w:rPr>
                <w:rFonts w:ascii="仿宋_GB2312" w:hAnsi="仿宋_GB2312" w:cs="仿宋_GB2312" w:eastAsia="仿宋_GB2312"/>
                <w:sz w:val="28"/>
              </w:rPr>
              <w:t>“VR智能保护、AI数字⼈宣教、管护站硬件升级、⼾外⾃然教育设施改造”四⼤板块建设，实现林场从传统⼈⼯管护向数字化、智能化科普+防⽕管护⼀体化转型，契合森林防灭⽕智能化建设政策导向。</w:t>
            </w:r>
          </w:p>
          <w:p>
            <w:pPr>
              <w:pStyle w:val="null3"/>
              <w:ind w:firstLine="560"/>
              <w:jc w:val="both"/>
            </w:pPr>
            <w:r>
              <w:rPr>
                <w:rFonts w:ascii="仿宋_GB2312" w:hAnsi="仿宋_GB2312" w:cs="仿宋_GB2312" w:eastAsia="仿宋_GB2312"/>
                <w:sz w:val="28"/>
              </w:rPr>
              <w:t>⼀、项⽬建设背景与⽬标</w:t>
            </w:r>
          </w:p>
          <w:p>
            <w:pPr>
              <w:pStyle w:val="null3"/>
              <w:ind w:firstLine="560"/>
              <w:jc w:val="both"/>
            </w:pPr>
            <w:r>
              <w:rPr>
                <w:rFonts w:ascii="仿宋_GB2312" w:hAnsi="仿宋_GB2312" w:cs="仿宋_GB2312" w:eastAsia="仿宋_GB2312"/>
                <w:sz w:val="28"/>
              </w:rPr>
              <w:t>1.建设背景：林场地处秦巴腹地，动植物资源丰富，原有科普宣教依赖⼈⼯，存在成本⾼、全天候覆盖不⾜、互动性弱短板，依托相关林业项⽬政策⽴项，引⼊VR、物联⽹、AI技术搭建智慧管护科普体系。</w:t>
            </w:r>
          </w:p>
          <w:p>
            <w:pPr>
              <w:pStyle w:val="null3"/>
              <w:ind w:firstLine="560"/>
              <w:jc w:val="both"/>
            </w:pPr>
            <w:r>
              <w:rPr>
                <w:rFonts w:ascii="仿宋_GB2312" w:hAnsi="仿宋_GB2312" w:cs="仿宋_GB2312" w:eastAsia="仿宋_GB2312"/>
                <w:sz w:val="28"/>
              </w:rPr>
              <w:t>2.建设⽬标：</w:t>
            </w:r>
          </w:p>
          <w:p>
            <w:pPr>
              <w:pStyle w:val="null3"/>
              <w:ind w:firstLine="560"/>
              <w:jc w:val="both"/>
            </w:pPr>
            <w:r>
              <w:rPr>
                <w:rFonts w:ascii="仿宋_GB2312" w:hAnsi="仿宋_GB2312" w:cs="仿宋_GB2312" w:eastAsia="仿宋_GB2312"/>
                <w:sz w:val="28"/>
              </w:rPr>
              <w:t>建设涵盖</w:t>
            </w:r>
            <w:r>
              <w:rPr>
                <w:rFonts w:ascii="仿宋_GB2312" w:hAnsi="仿宋_GB2312" w:cs="仿宋_GB2312" w:eastAsia="仿宋_GB2312"/>
                <w:sz w:val="28"/>
              </w:rPr>
              <w:t>“线上VR全景+线下⽆感讲解+AI数字⼈互动”三位⼀体的保护、宣教体系，通过建设初步实现:</w:t>
            </w:r>
          </w:p>
          <w:p>
            <w:pPr>
              <w:pStyle w:val="null3"/>
              <w:ind w:firstLine="560"/>
              <w:jc w:val="both"/>
            </w:pPr>
            <w:r>
              <w:rPr>
                <w:rFonts w:ascii="仿宋_GB2312" w:hAnsi="仿宋_GB2312" w:cs="仿宋_GB2312" w:eastAsia="仿宋_GB2312"/>
                <w:sz w:val="28"/>
              </w:rPr>
              <w:t>保护、宣教⽆界化</w:t>
            </w:r>
            <w:r>
              <w:rPr>
                <w:rFonts w:ascii="仿宋_GB2312" w:hAnsi="仿宋_GB2312" w:cs="仿宋_GB2312" w:eastAsia="仿宋_GB2312"/>
                <w:sz w:val="28"/>
              </w:rPr>
              <w:t>:打破地域限制，通过⽹络提升保护能⼒，沉浸式体验让公众对森林保护有直观认识。</w:t>
            </w:r>
          </w:p>
          <w:p>
            <w:pPr>
              <w:pStyle w:val="null3"/>
              <w:ind w:firstLine="560"/>
              <w:jc w:val="both"/>
            </w:pPr>
            <w:r>
              <w:rPr>
                <w:rFonts w:ascii="仿宋_GB2312" w:hAnsi="仿宋_GB2312" w:cs="仿宋_GB2312" w:eastAsia="仿宋_GB2312"/>
                <w:sz w:val="28"/>
              </w:rPr>
              <w:t>体验⽆感化</w:t>
            </w:r>
            <w:r>
              <w:rPr>
                <w:rFonts w:ascii="仿宋_GB2312" w:hAnsi="仿宋_GB2312" w:cs="仿宋_GB2312" w:eastAsia="仿宋_GB2312"/>
                <w:sz w:val="28"/>
              </w:rPr>
              <w:t>:利⽤科学技术让保护远程可视化、公众教育实现“即⾛即听”，不破坏林区静谧环境的⽣态保护体验。</w:t>
            </w:r>
          </w:p>
          <w:p>
            <w:pPr>
              <w:pStyle w:val="null3"/>
              <w:ind w:firstLine="560"/>
              <w:jc w:val="both"/>
            </w:pPr>
            <w:r>
              <w:rPr>
                <w:rFonts w:ascii="仿宋_GB2312" w:hAnsi="仿宋_GB2312" w:cs="仿宋_GB2312" w:eastAsia="仿宋_GB2312"/>
                <w:sz w:val="28"/>
              </w:rPr>
              <w:t>科普智能化</w:t>
            </w:r>
            <w:r>
              <w:rPr>
                <w:rFonts w:ascii="仿宋_GB2312" w:hAnsi="仿宋_GB2312" w:cs="仿宋_GB2312" w:eastAsia="仿宋_GB2312"/>
                <w:sz w:val="28"/>
              </w:rPr>
              <w:t>:借助AI⼤模型赋能，将林场打造成24⼩时不打烂的⾃然百科知识库。</w:t>
            </w:r>
          </w:p>
          <w:p>
            <w:pPr>
              <w:pStyle w:val="null3"/>
              <w:ind w:firstLine="560"/>
              <w:jc w:val="both"/>
            </w:pPr>
            <w:r>
              <w:rPr>
                <w:rFonts w:ascii="仿宋_GB2312" w:hAnsi="仿宋_GB2312" w:cs="仿宋_GB2312" w:eastAsia="仿宋_GB2312"/>
                <w:sz w:val="28"/>
              </w:rPr>
              <w:t>二，具体采购内容</w:t>
            </w:r>
          </w:p>
          <w:tbl>
            <w:tblPr>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具体参数</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林场</w:t>
                  </w:r>
                  <w:r>
                    <w:rPr>
                      <w:rFonts w:ascii="仿宋_GB2312" w:hAnsi="仿宋_GB2312" w:cs="仿宋_GB2312" w:eastAsia="仿宋_GB2312"/>
                      <w:sz w:val="21"/>
                      <w:color w:val="000000"/>
                    </w:rPr>
                    <w:t>VR智能保护系统</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1、系统应基于B/S架构，支持通过微信小程序或H5页面访问，无需下载专用APP，兼容主流移动端及PC端浏览器。</w:t>
                  </w:r>
                </w:p>
                <w:p>
                  <w:pPr>
                    <w:pStyle w:val="null3"/>
                    <w:jc w:val="left"/>
                  </w:pPr>
                  <w:r>
                    <w:rPr>
                      <w:rFonts w:ascii="仿宋_GB2312" w:hAnsi="仿宋_GB2312" w:cs="仿宋_GB2312" w:eastAsia="仿宋_GB2312"/>
                      <w:sz w:val="21"/>
                      <w:color w:val="000000"/>
                    </w:rPr>
                    <w:t>2、支持对林场重点区域（含红外相机布设点、珍稀植物群落、核心步道等）进行720°全景数据采集与展示，全景图像分辨率不低于4K。</w:t>
                  </w:r>
                </w:p>
                <w:p>
                  <w:pPr>
                    <w:pStyle w:val="null3"/>
                    <w:jc w:val="left"/>
                  </w:pPr>
                  <w:r>
                    <w:rPr>
                      <w:rFonts w:ascii="仿宋_GB2312" w:hAnsi="仿宋_GB2312" w:cs="仿宋_GB2312" w:eastAsia="仿宋_GB2312"/>
                      <w:sz w:val="21"/>
                      <w:color w:val="000000"/>
                    </w:rPr>
                    <w:t>3、全景场景中支持添加交互热点，热点类型应包含但不限于：图文弹窗、超链接跳转、音视频播放、电话呼叫等。热点图标样式、大小及触发方式（点击/悬停/自动）应可自定义配置。</w:t>
                  </w:r>
                </w:p>
                <w:p>
                  <w:pPr>
                    <w:pStyle w:val="null3"/>
                    <w:jc w:val="left"/>
                  </w:pPr>
                  <w:r>
                    <w:rPr>
                      <w:rFonts w:ascii="仿宋_GB2312" w:hAnsi="仿宋_GB2312" w:cs="仿宋_GB2312" w:eastAsia="仿宋_GB2312"/>
                      <w:sz w:val="21"/>
                      <w:color w:val="000000"/>
                    </w:rPr>
                    <w:t>4、支持为不同全景场景独立配置背景音乐及语音讲解，音频支持循环播放，讲解内容随场景切换自动联动更新。</w:t>
                  </w:r>
                </w:p>
                <w:p>
                  <w:pPr>
                    <w:pStyle w:val="null3"/>
                    <w:jc w:val="left"/>
                  </w:pPr>
                  <w:r>
                    <w:rPr>
                      <w:rFonts w:ascii="仿宋_GB2312" w:hAnsi="仿宋_GB2312" w:cs="仿宋_GB2312" w:eastAsia="仿宋_GB2312"/>
                      <w:sz w:val="21"/>
                      <w:color w:val="000000"/>
                    </w:rPr>
                    <w:t>5、支持按预设路径或自定义顺序进行自动巡游导览，巡游速度、停留时长、视角旋转角度等参数应可自由配置，支持手动打断后自动恢复巡游。</w:t>
                  </w:r>
                </w:p>
                <w:p>
                  <w:pPr>
                    <w:pStyle w:val="null3"/>
                    <w:jc w:val="left"/>
                  </w:pPr>
                  <w:r>
                    <w:rPr>
                      <w:rFonts w:ascii="仿宋_GB2312" w:hAnsi="仿宋_GB2312" w:cs="仿宋_GB2312" w:eastAsia="仿宋_GB2312"/>
                      <w:sz w:val="21"/>
                      <w:color w:val="000000"/>
                    </w:rPr>
                    <w:t>6、支持在全景场景中添加动态氛围特效（如雪花、落叶、光晕、粒子漂浮等），特效开关及强度可调。支持在界面顶部滚动显示公告信息（如防火提示、天气预警等），滚动速度及背景色可自定义。</w:t>
                  </w:r>
                </w:p>
                <w:p>
                  <w:pPr>
                    <w:pStyle w:val="null3"/>
                    <w:jc w:val="left"/>
                  </w:pPr>
                  <w:r>
                    <w:rPr>
                      <w:rFonts w:ascii="仿宋_GB2312" w:hAnsi="仿宋_GB2312" w:cs="仿宋_GB2312" w:eastAsia="仿宋_GB2312"/>
                      <w:sz w:val="21"/>
                      <w:color w:val="000000"/>
                    </w:rPr>
                    <w:t>7、支持上传平面图、手绘地图或GIS地图作为导览沙盘，沙盘中应可标注全景场景入口并支持点击跳转，支持将沙盘设置为系统首页。</w:t>
                  </w:r>
                </w:p>
                <w:p>
                  <w:pPr>
                    <w:pStyle w:val="null3"/>
                    <w:jc w:val="left"/>
                  </w:pPr>
                  <w:r>
                    <w:rPr>
                      <w:rFonts w:ascii="仿宋_GB2312" w:hAnsi="仿宋_GB2312" w:cs="仿宋_GB2312" w:eastAsia="仿宋_GB2312"/>
                      <w:sz w:val="21"/>
                      <w:color w:val="000000"/>
                    </w:rPr>
                    <w:t>8、支持在全景画面中对特定区域进行尺寸或线段标注，标注内容应清晰可辨。</w:t>
                  </w:r>
                </w:p>
                <w:p>
                  <w:pPr>
                    <w:pStyle w:val="null3"/>
                    <w:jc w:val="left"/>
                  </w:pPr>
                  <w:r>
                    <w:rPr>
                      <w:rFonts w:ascii="仿宋_GB2312" w:hAnsi="仿宋_GB2312" w:cs="仿宋_GB2312" w:eastAsia="仿宋_GB2312"/>
                      <w:sz w:val="21"/>
                      <w:color w:val="000000"/>
                    </w:rPr>
                    <w:t>9、支持自定义系统启动封面。</w:t>
                  </w:r>
                </w:p>
                <w:p>
                  <w:pPr>
                    <w:pStyle w:val="null3"/>
                    <w:jc w:val="left"/>
                  </w:pPr>
                  <w:r>
                    <w:rPr>
                      <w:rFonts w:ascii="仿宋_GB2312" w:hAnsi="仿宋_GB2312" w:cs="仿宋_GB2312" w:eastAsia="仿宋_GB2312"/>
                      <w:sz w:val="21"/>
                      <w:color w:val="000000"/>
                    </w:rPr>
                    <w:t>10、支持按场景名称、热点标签、物种名称等关键词进行全局搜索并快速定位，支持对标记点进行多维度分类筛选。</w:t>
                  </w:r>
                </w:p>
                <w:p>
                  <w:pPr>
                    <w:pStyle w:val="null3"/>
                    <w:jc w:val="left"/>
                  </w:pPr>
                  <w:r>
                    <w:rPr>
                      <w:rFonts w:ascii="仿宋_GB2312" w:hAnsi="仿宋_GB2312" w:cs="仿宋_GB2312" w:eastAsia="仿宋_GB2312"/>
                      <w:sz w:val="21"/>
                      <w:color w:val="000000"/>
                    </w:rPr>
                    <w:t>11、系统应具备多用户并发访问能力。</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户外</w:t>
                  </w:r>
                  <w:r>
                    <w:rPr>
                      <w:rFonts w:ascii="仿宋_GB2312" w:hAnsi="仿宋_GB2312" w:cs="仿宋_GB2312" w:eastAsia="仿宋_GB2312"/>
                      <w:sz w:val="21"/>
                    </w:rPr>
                    <w:t>65寸立式交互设备</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1、65英寸立式户外交互一体机，适用于户外全天候环境，具备高亮显示、防水、防尘、防雷、防盗、防漏电、耐高温、自动亮度调节及全天候连续运行能力。</w:t>
                  </w:r>
                </w:p>
                <w:p>
                  <w:pPr>
                    <w:pStyle w:val="null3"/>
                    <w:jc w:val="both"/>
                  </w:pPr>
                  <w:r>
                    <w:rPr>
                      <w:rFonts w:ascii="仿宋_GB2312" w:hAnsi="仿宋_GB2312" w:cs="仿宋_GB2312" w:eastAsia="仿宋_GB2312"/>
                      <w:sz w:val="21"/>
                      <w:color w:val="000000"/>
                    </w:rPr>
                    <w:t>2、整机结构与防护：落地式安装，外壳采用高强度镀锌钢板（厚度≥1.5mm），表面经户外防腐蚀喷涂处理。整机防护等级≥IP65。具备防尘过滤装置。配备安全门锁，防止非授权开启。前面板采用高透防爆钢化玻璃（厚度≥6mm），具备防爆、防刮擦性能。</w:t>
                  </w:r>
                </w:p>
                <w:p>
                  <w:pPr>
                    <w:pStyle w:val="null3"/>
                    <w:jc w:val="both"/>
                  </w:pPr>
                  <w:r>
                    <w:rPr>
                      <w:rFonts w:ascii="仿宋_GB2312" w:hAnsi="仿宋_GB2312" w:cs="仿宋_GB2312" w:eastAsia="仿宋_GB2312"/>
                      <w:sz w:val="21"/>
                      <w:color w:val="000000"/>
                    </w:rPr>
                    <w:t>3、显示系统：65英寸LCD显示屏，16:9比例，分辨率不低于1920×1080（Full HD），支持4K视频解码。亮度≥2000cd/m²，对比度≥1200:1，响应时间≤8ms，全视角≥178°。具备自动感光调节功能，屏幕使用寿命≥30000小时。</w:t>
                  </w:r>
                </w:p>
                <w:p>
                  <w:pPr>
                    <w:pStyle w:val="null3"/>
                    <w:jc w:val="both"/>
                  </w:pPr>
                  <w:r>
                    <w:rPr>
                      <w:rFonts w:ascii="仿宋_GB2312" w:hAnsi="仿宋_GB2312" w:cs="仿宋_GB2312" w:eastAsia="仿宋_GB2312"/>
                      <w:sz w:val="21"/>
                      <w:color w:val="000000"/>
                    </w:rPr>
                    <w:t>4、散热与温控：采用智能温控散热系统，支持根据内部温度自动调节风扇转速，具备超温保护功能。</w:t>
                  </w:r>
                </w:p>
                <w:p>
                  <w:pPr>
                    <w:pStyle w:val="null3"/>
                    <w:jc w:val="both"/>
                  </w:pPr>
                  <w:r>
                    <w:rPr>
                      <w:rFonts w:ascii="仿宋_GB2312" w:hAnsi="仿宋_GB2312" w:cs="仿宋_GB2312" w:eastAsia="仿宋_GB2312"/>
                      <w:sz w:val="21"/>
                      <w:color w:val="000000"/>
                    </w:rPr>
                    <w:t>5、触摸系统：采用高精度触摸技术（电容式或红外式），支持不少于10点同时触控，触摸精度≥99%</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6、环境适应能力：工作温度范围不低于-10℃至+50℃，工作湿度范围不低于5%至90%RH。</w:t>
                  </w:r>
                </w:p>
                <w:p>
                  <w:pPr>
                    <w:pStyle w:val="null3"/>
                    <w:jc w:val="both"/>
                  </w:pPr>
                  <w:r>
                    <w:rPr>
                      <w:rFonts w:ascii="仿宋_GB2312" w:hAnsi="仿宋_GB2312" w:cs="仿宋_GB2312" w:eastAsia="仿宋_GB2312"/>
                      <w:sz w:val="21"/>
                      <w:color w:val="000000"/>
                    </w:rPr>
                    <w:t>7、电气参数：输入电压AC 110-220V，工作功耗≤500W，待机功耗&lt;5W。</w:t>
                  </w:r>
                </w:p>
                <w:p>
                  <w:pPr>
                    <w:pStyle w:val="null3"/>
                    <w:jc w:val="both"/>
                  </w:pPr>
                  <w:r>
                    <w:rPr>
                      <w:rFonts w:ascii="仿宋_GB2312" w:hAnsi="仿宋_GB2312" w:cs="仿宋_GB2312" w:eastAsia="仿宋_GB2312"/>
                      <w:sz w:val="21"/>
                      <w:color w:val="000000"/>
                    </w:rPr>
                    <w:t>8、拾音系统：内置麦克风阵列，具备回声消除（AEC）、语音增强、波束成形、定向拾音、噪声抑制及自动增益控制（AGC）等功能，可在户外环境噪声下实现有效拾音。</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AI 数字人</w:t>
                  </w:r>
                  <w:r>
                    <w:rPr>
                      <w:rFonts w:ascii="仿宋_GB2312" w:hAnsi="仿宋_GB2312" w:cs="仿宋_GB2312" w:eastAsia="仿宋_GB2312"/>
                      <w:sz w:val="21"/>
                    </w:rPr>
                    <w:t>知识问答系统</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1、数字人唤醒：系统应支持语音唤醒功能，游客靠近设备并通过语音指令即可唤醒虚拟数字人进行交互。</w:t>
                  </w:r>
                </w:p>
                <w:p>
                  <w:pPr>
                    <w:pStyle w:val="null3"/>
                    <w:jc w:val="both"/>
                  </w:pPr>
                  <w:r>
                    <w:rPr>
                      <w:rFonts w:ascii="仿宋_GB2312" w:hAnsi="仿宋_GB2312" w:cs="仿宋_GB2312" w:eastAsia="仿宋_GB2312"/>
                      <w:sz w:val="21"/>
                      <w:color w:val="000000"/>
                    </w:rPr>
                    <w:t>2、语音采集与降噪：系统应配备户外专用麦克风阵列，具备波束成形及风噪抑制功能，结合AI降噪算法，在典型户外环境噪声背景下（如风声、鸟鸣等），在2米距离内语音指令识别准确率不低于90%。</w:t>
                  </w:r>
                </w:p>
                <w:p>
                  <w:pPr>
                    <w:pStyle w:val="null3"/>
                    <w:jc w:val="both"/>
                  </w:pPr>
                  <w:r>
                    <w:rPr>
                      <w:rFonts w:ascii="仿宋_GB2312" w:hAnsi="仿宋_GB2312" w:cs="仿宋_GB2312" w:eastAsia="仿宋_GB2312"/>
                      <w:sz w:val="21"/>
                      <w:color w:val="000000"/>
                    </w:rPr>
                    <w:t>3、知识库构建：系统应支持基于林场官方资料（如森林防火规定、林区地理气候信息、动植物保护知识等）构建专属知识库。系统回答应基于该知识库内容，确保回答准确可靠。</w:t>
                  </w:r>
                </w:p>
                <w:p>
                  <w:pPr>
                    <w:pStyle w:val="null3"/>
                    <w:jc w:val="both"/>
                  </w:pPr>
                  <w:r>
                    <w:rPr>
                      <w:rFonts w:ascii="仿宋_GB2312" w:hAnsi="仿宋_GB2312" w:cs="仿宋_GB2312" w:eastAsia="仿宋_GB2312"/>
                      <w:sz w:val="21"/>
                      <w:color w:val="000000"/>
                    </w:rPr>
                    <w:t>4、大模型引擎：系统应基于国内合规大语言模型，具备安全过滤机制，确保交互内容合法合规。</w:t>
                  </w:r>
                </w:p>
                <w:p>
                  <w:pPr>
                    <w:pStyle w:val="null3"/>
                    <w:jc w:val="both"/>
                  </w:pPr>
                  <w:r>
                    <w:rPr>
                      <w:rFonts w:ascii="仿宋_GB2312" w:hAnsi="仿宋_GB2312" w:cs="仿宋_GB2312" w:eastAsia="仿宋_GB2312"/>
                      <w:sz w:val="21"/>
                      <w:color w:val="000000"/>
                    </w:rPr>
                    <w:t>5、交互响应性能：从用户语音输入结束到数字人语音输出的全流程响应时间应控制在1.5秒以内（在标准网络环境下）。</w:t>
                  </w:r>
                </w:p>
                <w:p>
                  <w:pPr>
                    <w:pStyle w:val="null3"/>
                    <w:jc w:val="both"/>
                  </w:pPr>
                  <w:r>
                    <w:rPr>
                      <w:rFonts w:ascii="仿宋_GB2312" w:hAnsi="仿宋_GB2312" w:cs="仿宋_GB2312" w:eastAsia="仿宋_GB2312"/>
                      <w:sz w:val="21"/>
                      <w:color w:val="000000"/>
                    </w:rPr>
                    <w:t>6、知识库管理：系统后台应提供知识库批量导入功能（如Excel表格），支持非技术人员便捷更新知识内容。</w:t>
                  </w:r>
                </w:p>
                <w:p>
                  <w:pPr>
                    <w:pStyle w:val="null3"/>
                    <w:jc w:val="both"/>
                  </w:pPr>
                  <w:r>
                    <w:rPr>
                      <w:rFonts w:ascii="仿宋_GB2312" w:hAnsi="仿宋_GB2312" w:cs="仿宋_GB2312" w:eastAsia="仿宋_GB2312"/>
                      <w:sz w:val="21"/>
                      <w:color w:val="000000"/>
                    </w:rPr>
                    <w:t>7、数字人形象与音色：系统应提供不少于50种可选数字人形象及对应音色，形象风格应适合林场科普宣教场景。</w:t>
                  </w:r>
                </w:p>
                <w:p>
                  <w:pPr>
                    <w:pStyle w:val="null3"/>
                    <w:jc w:val="both"/>
                  </w:pPr>
                  <w:r>
                    <w:rPr>
                      <w:rFonts w:ascii="仿宋_GB2312" w:hAnsi="仿宋_GB2312" w:cs="仿宋_GB2312" w:eastAsia="仿宋_GB2312"/>
                      <w:sz w:val="21"/>
                      <w:color w:val="000000"/>
                    </w:rPr>
                    <w:t>8、交互控制：系统应支持语音打断功能，并支持与导览地图等可视化内容联动展示。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香坝管护站保护</w:t>
                  </w:r>
                  <w:r>
                    <w:rPr>
                      <w:rFonts w:ascii="仿宋_GB2312" w:hAnsi="仿宋_GB2312" w:cs="仿宋_GB2312" w:eastAsia="仿宋_GB2312"/>
                      <w:sz w:val="21"/>
                    </w:rPr>
                    <w:t>LED显示屏</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显示大屏采用户外全彩</w:t>
                  </w:r>
                  <w:r>
                    <w:rPr>
                      <w:rFonts w:ascii="仿宋_GB2312" w:hAnsi="仿宋_GB2312" w:cs="仿宋_GB2312" w:eastAsia="仿宋_GB2312"/>
                      <w:sz w:val="21"/>
                      <w:color w:val="000000"/>
                    </w:rPr>
                    <w:t>LED显示屏，</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点间距</w:t>
                  </w:r>
                  <w:r>
                    <w:rPr>
                      <w:rFonts w:ascii="仿宋_GB2312" w:hAnsi="仿宋_GB2312" w:cs="仿宋_GB2312" w:eastAsia="仿宋_GB2312"/>
                      <w:sz w:val="21"/>
                      <w:color w:val="000000"/>
                    </w:rPr>
                    <w:t>≤P3.0</w:t>
                  </w:r>
                  <w:r>
                    <w:rPr>
                      <w:rFonts w:ascii="仿宋_GB2312" w:hAnsi="仿宋_GB2312" w:cs="仿宋_GB2312" w:eastAsia="仿宋_GB2312"/>
                      <w:sz w:val="21"/>
                      <w:color w:val="000000"/>
                    </w:rPr>
                    <w:t>76</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亮度</w:t>
                  </w:r>
                  <w:r>
                    <w:rPr>
                      <w:rFonts w:ascii="仿宋_GB2312" w:hAnsi="仿宋_GB2312" w:cs="仿宋_GB2312" w:eastAsia="仿宋_GB2312"/>
                      <w:sz w:val="21"/>
                      <w:color w:val="000000"/>
                    </w:rPr>
                    <w:t>≥4500cd/m²，</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亮度均匀性</w:t>
                  </w:r>
                  <w:r>
                    <w:rPr>
                      <w:rFonts w:ascii="仿宋_GB2312" w:hAnsi="仿宋_GB2312" w:cs="仿宋_GB2312" w:eastAsia="仿宋_GB2312"/>
                      <w:sz w:val="21"/>
                      <w:color w:val="000000"/>
                    </w:rPr>
                    <w:t>≥99%</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屏幕寿命</w:t>
                  </w:r>
                  <w:r>
                    <w:rPr>
                      <w:rFonts w:ascii="仿宋_GB2312" w:hAnsi="仿宋_GB2312" w:cs="仿宋_GB2312" w:eastAsia="仿宋_GB2312"/>
                      <w:sz w:val="21"/>
                      <w:color w:val="000000"/>
                    </w:rPr>
                    <w:t>≥100000小时，</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平均失效间隔工作时间（</w:t>
                  </w:r>
                  <w:r>
                    <w:rPr>
                      <w:rFonts w:ascii="仿宋_GB2312" w:hAnsi="仿宋_GB2312" w:cs="仿宋_GB2312" w:eastAsia="仿宋_GB2312"/>
                      <w:sz w:val="21"/>
                      <w:color w:val="000000"/>
                    </w:rPr>
                    <w:t>MTBF）≥100000小时，</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平均故障恢复时间（</w:t>
                  </w:r>
                  <w:r>
                    <w:rPr>
                      <w:rFonts w:ascii="仿宋_GB2312" w:hAnsi="仿宋_GB2312" w:cs="仿宋_GB2312" w:eastAsia="仿宋_GB2312"/>
                      <w:sz w:val="21"/>
                      <w:color w:val="000000"/>
                    </w:rPr>
                    <w:t>MTTR）≤5分钟。</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表面硬度</w:t>
                  </w:r>
                  <w:r>
                    <w:rPr>
                      <w:rFonts w:ascii="仿宋_GB2312" w:hAnsi="仿宋_GB2312" w:cs="仿宋_GB2312" w:eastAsia="仿宋_GB2312"/>
                      <w:sz w:val="21"/>
                      <w:color w:val="000000"/>
                    </w:rPr>
                    <w:t>≥3H（防划痕性能）。</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框体尺寸为</w:t>
                  </w:r>
                  <w:r>
                    <w:rPr>
                      <w:rFonts w:ascii="仿宋_GB2312" w:hAnsi="仿宋_GB2312" w:cs="仿宋_GB2312" w:eastAsia="仿宋_GB2312"/>
                      <w:sz w:val="21"/>
                      <w:color w:val="000000"/>
                    </w:rPr>
                    <w:t>4.32米×3.04米（含边框），</w:t>
                  </w:r>
                </w:p>
                <w:p>
                  <w:pPr>
                    <w:pStyle w:val="null3"/>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有效显示尺寸为</w:t>
                  </w:r>
                  <w:r>
                    <w:rPr>
                      <w:rFonts w:ascii="仿宋_GB2312" w:hAnsi="仿宋_GB2312" w:cs="仿宋_GB2312" w:eastAsia="仿宋_GB2312"/>
                      <w:sz w:val="21"/>
                      <w:color w:val="000000"/>
                    </w:rPr>
                    <w:t>4.16米×2.88米（允许±1%误差）。</w:t>
                  </w:r>
                </w:p>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屏体采用钢结构加防水包边处理。</w:t>
                  </w:r>
                </w:p>
                <w:p>
                  <w:pPr>
                    <w:pStyle w:val="null3"/>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rPr>
                    <w:t>大屏设置两根直径</w:t>
                  </w:r>
                  <w:r>
                    <w:rPr>
                      <w:rFonts w:ascii="仿宋_GB2312" w:hAnsi="仿宋_GB2312" w:cs="仿宋_GB2312" w:eastAsia="仿宋_GB2312"/>
                      <w:sz w:val="21"/>
                      <w:color w:val="000000"/>
                    </w:rPr>
                    <w:t>≥0.2米、高度≥2.3米的钢制立柱。</w:t>
                  </w:r>
                </w:p>
                <w:p>
                  <w:pPr>
                    <w:pStyle w:val="null3"/>
                    <w:jc w:val="both"/>
                  </w:pPr>
                  <w:r>
                    <w:rPr>
                      <w:rFonts w:ascii="仿宋_GB2312" w:hAnsi="仿宋_GB2312" w:cs="仿宋_GB2312" w:eastAsia="仿宋_GB2312"/>
                      <w:sz w:val="21"/>
                      <w:color w:val="000000"/>
                    </w:rPr>
                    <w:t>13、</w:t>
                  </w:r>
                  <w:r>
                    <w:rPr>
                      <w:rFonts w:ascii="仿宋_GB2312" w:hAnsi="仿宋_GB2312" w:cs="仿宋_GB2312" w:eastAsia="仿宋_GB2312"/>
                      <w:sz w:val="21"/>
                      <w:color w:val="000000"/>
                    </w:rPr>
                    <w:t>立柱基础为</w:t>
                  </w:r>
                  <w:r>
                    <w:rPr>
                      <w:rFonts w:ascii="仿宋_GB2312" w:hAnsi="仿宋_GB2312" w:cs="仿宋_GB2312" w:eastAsia="仿宋_GB2312"/>
                      <w:sz w:val="21"/>
                      <w:color w:val="000000"/>
                    </w:rPr>
                    <w:t>1000mm*1200mm*1000mm预埋地笼。</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平方米</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11.98</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LED显示屏一体化控制平台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1、一体化云管理平台，通过浏览器即可访问，实现对前端LED显示屏的统一管理和控制。</w:t>
                  </w:r>
                </w:p>
                <w:p>
                  <w:pPr>
                    <w:pStyle w:val="null3"/>
                    <w:jc w:val="both"/>
                  </w:pPr>
                  <w:r>
                    <w:rPr>
                      <w:rFonts w:ascii="仿宋_GB2312" w:hAnsi="仿宋_GB2312" w:cs="仿宋_GB2312" w:eastAsia="仿宋_GB2312"/>
                      <w:sz w:val="21"/>
                      <w:color w:val="000000"/>
                    </w:rPr>
                    <w:t>2、支持对所有的LED显示模块（屏体）进行远程统一管理，可设置亮度、色温、灰度等显示参数。</w:t>
                  </w:r>
                </w:p>
                <w:p>
                  <w:pPr>
                    <w:pStyle w:val="null3"/>
                    <w:jc w:val="both"/>
                  </w:pPr>
                  <w:r>
                    <w:rPr>
                      <w:rFonts w:ascii="仿宋_GB2312" w:hAnsi="仿宋_GB2312" w:cs="仿宋_GB2312" w:eastAsia="仿宋_GB2312"/>
                      <w:sz w:val="21"/>
                      <w:color w:val="000000"/>
                    </w:rPr>
                    <w:t>3、平台支持媒体管理、用户管理、角色管理、媒体审批、节目管理、播放日志管理等功能。</w:t>
                  </w:r>
                </w:p>
                <w:p>
                  <w:pPr>
                    <w:pStyle w:val="null3"/>
                    <w:jc w:val="both"/>
                  </w:pPr>
                  <w:r>
                    <w:rPr>
                      <w:rFonts w:ascii="仿宋_GB2312" w:hAnsi="仿宋_GB2312" w:cs="仿宋_GB2312" w:eastAsia="仿宋_GB2312"/>
                      <w:sz w:val="21"/>
                      <w:color w:val="000000"/>
                    </w:rPr>
                    <w:t>4、支持主流的图片、视频、音频、流媒体、Office文档（PDF/PPT/Word/Excel）、RSS、HTML等多种媒体格式，媒体支持在线预览。</w:t>
                  </w:r>
                </w:p>
                <w:p>
                  <w:pPr>
                    <w:pStyle w:val="null3"/>
                    <w:jc w:val="both"/>
                  </w:pPr>
                  <w:r>
                    <w:rPr>
                      <w:rFonts w:ascii="仿宋_GB2312" w:hAnsi="仿宋_GB2312" w:cs="仿宋_GB2312" w:eastAsia="仿宋_GB2312"/>
                      <w:sz w:val="21"/>
                      <w:color w:val="000000"/>
                    </w:rPr>
                    <w:t>5、系统支持多级用户管理及权限控制，支持将用户分配到不同工作组进行分组管理，不同工作组之间数据隔离。媒体上传须经有审批权限的用户批准后方可使用。（提供软件功能界面截图作为证明材料并加盖投标人公章）</w:t>
                  </w:r>
                </w:p>
                <w:p>
                  <w:pPr>
                    <w:pStyle w:val="null3"/>
                    <w:jc w:val="both"/>
                  </w:pPr>
                  <w:r>
                    <w:rPr>
                      <w:rFonts w:ascii="仿宋_GB2312" w:hAnsi="仿宋_GB2312" w:cs="仿宋_GB2312" w:eastAsia="仿宋_GB2312"/>
                      <w:sz w:val="21"/>
                      <w:color w:val="000000"/>
                    </w:rPr>
                    <w:t>6、支持通过浏览器进行节目在线编辑和制作，支持拖拽式布局。</w:t>
                  </w:r>
                </w:p>
                <w:p>
                  <w:pPr>
                    <w:pStyle w:val="null3"/>
                    <w:jc w:val="both"/>
                  </w:pPr>
                  <w:r>
                    <w:rPr>
                      <w:rFonts w:ascii="仿宋_GB2312" w:hAnsi="仿宋_GB2312" w:cs="仿宋_GB2312" w:eastAsia="仿宋_GB2312"/>
                      <w:sz w:val="21"/>
                      <w:color w:val="000000"/>
                    </w:rPr>
                    <w:t>7、排期内可添加多个播放清单，支持以多种周期进行播放排期（如按天、按周、按月等），播放清单支持嵌套。</w:t>
                  </w:r>
                </w:p>
                <w:p>
                  <w:pPr>
                    <w:pStyle w:val="null3"/>
                    <w:jc w:val="both"/>
                  </w:pPr>
                  <w:r>
                    <w:rPr>
                      <w:rFonts w:ascii="仿宋_GB2312" w:hAnsi="仿宋_GB2312" w:cs="仿宋_GB2312" w:eastAsia="仿宋_GB2312"/>
                      <w:sz w:val="21"/>
                      <w:color w:val="000000"/>
                    </w:rPr>
                    <w:t>8、节目清单和排期均在云端管理，可通过手机、平板、PC等可联网设备随时随地进行管理。</w:t>
                  </w:r>
                </w:p>
                <w:p>
                  <w:pPr>
                    <w:pStyle w:val="null3"/>
                    <w:jc w:val="both"/>
                  </w:pPr>
                  <w:r>
                    <w:rPr>
                      <w:rFonts w:ascii="仿宋_GB2312" w:hAnsi="仿宋_GB2312" w:cs="仿宋_GB2312" w:eastAsia="仿宋_GB2312"/>
                      <w:sz w:val="21"/>
                      <w:color w:val="000000"/>
                    </w:rPr>
                    <w:t>9、系统支持自适应分辨率，可随时监控播放器在线状态及播放状态。</w:t>
                  </w:r>
                </w:p>
                <w:p>
                  <w:pPr>
                    <w:pStyle w:val="null3"/>
                    <w:jc w:val="both"/>
                  </w:pPr>
                  <w:r>
                    <w:rPr>
                      <w:rFonts w:ascii="仿宋_GB2312" w:hAnsi="仿宋_GB2312" w:cs="仿宋_GB2312" w:eastAsia="仿宋_GB2312"/>
                      <w:sz w:val="21"/>
                      <w:color w:val="000000"/>
                    </w:rPr>
                    <w:t>10、支持媒体、天气、时钟、文本、温度等多种组件自由组合。</w:t>
                  </w:r>
                </w:p>
                <w:p>
                  <w:pPr>
                    <w:pStyle w:val="null3"/>
                    <w:jc w:val="both"/>
                  </w:pPr>
                  <w:r>
                    <w:rPr>
                      <w:rFonts w:ascii="仿宋_GB2312" w:hAnsi="仿宋_GB2312" w:cs="仿宋_GB2312" w:eastAsia="仿宋_GB2312"/>
                      <w:sz w:val="21"/>
                      <w:color w:val="000000"/>
                    </w:rPr>
                    <w:t>11、支持多窗口自定义布局播放，窗口数量不限，可任意设定窗口位置、大小及分辨率。</w:t>
                  </w:r>
                </w:p>
                <w:p>
                  <w:pPr>
                    <w:pStyle w:val="null3"/>
                    <w:jc w:val="both"/>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LED显示屏管理主机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1.设备处理器不低于4核心，每个核心处理器不低于1.8GHz</w:t>
                  </w:r>
                </w:p>
                <w:p>
                  <w:pPr>
                    <w:pStyle w:val="null3"/>
                    <w:jc w:val="both"/>
                  </w:pPr>
                  <w:r>
                    <w:rPr>
                      <w:rFonts w:ascii="仿宋_GB2312" w:hAnsi="仿宋_GB2312" w:cs="仿宋_GB2312" w:eastAsia="仿宋_GB2312"/>
                      <w:sz w:val="21"/>
                      <w:color w:val="000000"/>
                    </w:rPr>
                    <w:t>2.设备带载像素点最宽支持40</w:t>
                  </w:r>
                  <w:r>
                    <w:rPr>
                      <w:rFonts w:ascii="仿宋_GB2312" w:hAnsi="仿宋_GB2312" w:cs="仿宋_GB2312" w:eastAsia="仿宋_GB2312"/>
                      <w:sz w:val="21"/>
                    </w:rPr>
                    <w:t>96点、最高支持4096点。</w:t>
                  </w:r>
                </w:p>
                <w:p>
                  <w:pPr>
                    <w:pStyle w:val="null3"/>
                    <w:jc w:val="both"/>
                  </w:pPr>
                  <w:r>
                    <w:rPr>
                      <w:rFonts w:ascii="仿宋_GB2312" w:hAnsi="仿宋_GB2312" w:cs="仿宋_GB2312" w:eastAsia="仿宋_GB2312"/>
                      <w:sz w:val="21"/>
                      <w:color w:val="000000"/>
                    </w:rPr>
                    <w:t>3、支持主流视频格式（如MPG、AVI、MP4、MKV、MOV）、主流图片格式（如JPG、PNG、GIF、BMP）、主流文档格式（如PDF、PPT、WORD、EXCEL）。</w:t>
                  </w:r>
                </w:p>
                <w:p>
                  <w:pPr>
                    <w:pStyle w:val="null3"/>
                    <w:jc w:val="both"/>
                  </w:pPr>
                  <w:r>
                    <w:rPr>
                      <w:rFonts w:ascii="仿宋_GB2312" w:hAnsi="仿宋_GB2312" w:cs="仿宋_GB2312" w:eastAsia="仿宋_GB2312"/>
                      <w:sz w:val="21"/>
                      <w:color w:val="000000"/>
                    </w:rPr>
                    <w:t>4、支持硬件视频解码，解码能力不低于4K@60Hz，支持H.264/H.265视频编码格式。</w:t>
                  </w:r>
                </w:p>
                <w:p>
                  <w:pPr>
                    <w:pStyle w:val="null3"/>
                    <w:jc w:val="both"/>
                  </w:pPr>
                  <w:r>
                    <w:rPr>
                      <w:rFonts w:ascii="仿宋_GB2312" w:hAnsi="仿宋_GB2312" w:cs="仿宋_GB2312" w:eastAsia="仿宋_GB2312"/>
                      <w:sz w:val="21"/>
                      <w:color w:val="000000"/>
                    </w:rPr>
                    <w:t>5、支持USB3.0接口，支持U盘节目导入播放。</w:t>
                  </w:r>
                </w:p>
                <w:p>
                  <w:pPr>
                    <w:pStyle w:val="null3"/>
                    <w:jc w:val="both"/>
                  </w:pPr>
                  <w:r>
                    <w:rPr>
                      <w:rFonts w:ascii="仿宋_GB2312" w:hAnsi="仿宋_GB2312" w:cs="仿宋_GB2312" w:eastAsia="仿宋_GB2312"/>
                      <w:sz w:val="21"/>
                      <w:color w:val="000000"/>
                    </w:rPr>
                    <w:t>6、支持HDMI视频输入及HDMI环出功能（可切换内部播放内容或外部输入信号环出）。</w:t>
                  </w:r>
                </w:p>
                <w:p>
                  <w:pPr>
                    <w:pStyle w:val="null3"/>
                    <w:jc w:val="both"/>
                  </w:pPr>
                  <w:r>
                    <w:rPr>
                      <w:rFonts w:ascii="仿宋_GB2312" w:hAnsi="仿宋_GB2312" w:cs="仿宋_GB2312" w:eastAsia="仿宋_GB2312"/>
                      <w:sz w:val="21"/>
                      <w:color w:val="000000"/>
                    </w:rPr>
                    <w:t>7、具备千兆以太网接口，支持网络通信。</w:t>
                  </w:r>
                </w:p>
                <w:p>
                  <w:pPr>
                    <w:pStyle w:val="null3"/>
                    <w:jc w:val="both"/>
                  </w:pPr>
                  <w:r>
                    <w:rPr>
                      <w:rFonts w:ascii="仿宋_GB2312" w:hAnsi="仿宋_GB2312" w:cs="仿宋_GB2312" w:eastAsia="仿宋_GB2312"/>
                      <w:sz w:val="21"/>
                      <w:color w:val="000000"/>
                    </w:rPr>
                    <w:t>8、具备≥1路3.5mm音频输出接口。</w:t>
                  </w:r>
                </w:p>
                <w:p>
                  <w:pPr>
                    <w:pStyle w:val="null3"/>
                    <w:jc w:val="both"/>
                  </w:pPr>
                  <w:r>
                    <w:rPr>
                      <w:rFonts w:ascii="仿宋_GB2312" w:hAnsi="仿宋_GB2312" w:cs="仿宋_GB2312" w:eastAsia="仿宋_GB2312"/>
                      <w:sz w:val="21"/>
                      <w:color w:val="000000"/>
                    </w:rPr>
                    <w:t>9、工作环境温度：-20℃至+60℃。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音响单元</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户外防水音柱（单支</w:t>
                  </w:r>
                  <w:r>
                    <w:rPr>
                      <w:rFonts w:ascii="仿宋_GB2312" w:hAnsi="仿宋_GB2312" w:cs="仿宋_GB2312" w:eastAsia="仿宋_GB2312"/>
                      <w:sz w:val="21"/>
                      <w:color w:val="000000"/>
                    </w:rPr>
                    <w:t>40W）2台</w:t>
                  </w:r>
                </w:p>
                <w:p>
                  <w:pPr>
                    <w:pStyle w:val="null3"/>
                    <w:jc w:val="both"/>
                  </w:pPr>
                  <w:r>
                    <w:rPr>
                      <w:rFonts w:ascii="仿宋_GB2312" w:hAnsi="仿宋_GB2312" w:cs="仿宋_GB2312" w:eastAsia="仿宋_GB2312"/>
                      <w:sz w:val="21"/>
                      <w:color w:val="000000"/>
                    </w:rPr>
                    <w:t>1.额定功率：40W</w:t>
                  </w:r>
                </w:p>
                <w:p>
                  <w:pPr>
                    <w:pStyle w:val="null3"/>
                    <w:jc w:val="both"/>
                  </w:pPr>
                  <w:r>
                    <w:rPr>
                      <w:rFonts w:ascii="仿宋_GB2312" w:hAnsi="仿宋_GB2312" w:cs="仿宋_GB2312" w:eastAsia="仿宋_GB2312"/>
                      <w:sz w:val="21"/>
                      <w:color w:val="000000"/>
                    </w:rPr>
                    <w:t>2.阻抗：8Ω</w:t>
                  </w:r>
                </w:p>
                <w:p>
                  <w:pPr>
                    <w:pStyle w:val="null3"/>
                    <w:jc w:val="both"/>
                  </w:pPr>
                  <w:r>
                    <w:rPr>
                      <w:rFonts w:ascii="仿宋_GB2312" w:hAnsi="仿宋_GB2312" w:cs="仿宋_GB2312" w:eastAsia="仿宋_GB2312"/>
                      <w:sz w:val="21"/>
                      <w:color w:val="000000"/>
                    </w:rPr>
                    <w:t>3.频响范围：120Hz–16kHz</w:t>
                  </w:r>
                </w:p>
                <w:p>
                  <w:pPr>
                    <w:pStyle w:val="null3"/>
                    <w:jc w:val="both"/>
                  </w:pPr>
                  <w:r>
                    <w:rPr>
                      <w:rFonts w:ascii="仿宋_GB2312" w:hAnsi="仿宋_GB2312" w:cs="仿宋_GB2312" w:eastAsia="仿宋_GB2312"/>
                      <w:sz w:val="21"/>
                      <w:color w:val="000000"/>
                    </w:rPr>
                    <w:t>4.灵敏度：≥92dB</w:t>
                  </w:r>
                </w:p>
                <w:p>
                  <w:pPr>
                    <w:pStyle w:val="null3"/>
                    <w:jc w:val="both"/>
                  </w:pPr>
                  <w:r>
                    <w:rPr>
                      <w:rFonts w:ascii="仿宋_GB2312" w:hAnsi="仿宋_GB2312" w:cs="仿宋_GB2312" w:eastAsia="仿宋_GB2312"/>
                      <w:sz w:val="21"/>
                      <w:color w:val="000000"/>
                    </w:rPr>
                    <w:t>5.防水等级：≥IP65</w:t>
                  </w:r>
                </w:p>
                <w:p>
                  <w:pPr>
                    <w:pStyle w:val="null3"/>
                    <w:jc w:val="both"/>
                  </w:pPr>
                  <w:r>
                    <w:rPr>
                      <w:rFonts w:ascii="仿宋_GB2312" w:hAnsi="仿宋_GB2312" w:cs="仿宋_GB2312" w:eastAsia="仿宋_GB2312"/>
                      <w:sz w:val="21"/>
                      <w:color w:val="000000"/>
                    </w:rPr>
                    <w:t>6.箱体材质：铝合金一体成型，防锈抗氧化</w:t>
                  </w:r>
                </w:p>
                <w:p>
                  <w:pPr>
                    <w:pStyle w:val="null3"/>
                    <w:jc w:val="both"/>
                  </w:pPr>
                  <w:r>
                    <w:rPr>
                      <w:rFonts w:ascii="仿宋_GB2312" w:hAnsi="仿宋_GB2312" w:cs="仿宋_GB2312" w:eastAsia="仿宋_GB2312"/>
                      <w:sz w:val="21"/>
                      <w:color w:val="000000"/>
                    </w:rPr>
                    <w:t>安装：配套壁挂调节支架，室外防雨接线端子</w:t>
                  </w:r>
                </w:p>
                <w:p>
                  <w:pPr>
                    <w:pStyle w:val="null3"/>
                    <w:jc w:val="both"/>
                  </w:pPr>
                  <w:r>
                    <w:rPr>
                      <w:rFonts w:ascii="仿宋_GB2312" w:hAnsi="仿宋_GB2312" w:cs="仿宋_GB2312" w:eastAsia="仿宋_GB2312"/>
                      <w:sz w:val="21"/>
                      <w:color w:val="000000"/>
                    </w:rPr>
                    <w:t>定压功放（额定</w:t>
                  </w:r>
                  <w:r>
                    <w:rPr>
                      <w:rFonts w:ascii="仿宋_GB2312" w:hAnsi="仿宋_GB2312" w:cs="仿宋_GB2312" w:eastAsia="仿宋_GB2312"/>
                      <w:sz w:val="21"/>
                      <w:color w:val="000000"/>
                    </w:rPr>
                    <w:t>120W）1台</w:t>
                  </w:r>
                </w:p>
                <w:p>
                  <w:pPr>
                    <w:pStyle w:val="null3"/>
                    <w:jc w:val="both"/>
                  </w:pPr>
                  <w:r>
                    <w:rPr>
                      <w:rFonts w:ascii="仿宋_GB2312" w:hAnsi="仿宋_GB2312" w:cs="仿宋_GB2312" w:eastAsia="仿宋_GB2312"/>
                      <w:sz w:val="21"/>
                      <w:color w:val="000000"/>
                    </w:rPr>
                    <w:t>1.额定输出功率：≥120W</w:t>
                  </w:r>
                </w:p>
                <w:p>
                  <w:pPr>
                    <w:pStyle w:val="null3"/>
                    <w:jc w:val="both"/>
                  </w:pPr>
                  <w:r>
                    <w:rPr>
                      <w:rFonts w:ascii="仿宋_GB2312" w:hAnsi="仿宋_GB2312" w:cs="仿宋_GB2312" w:eastAsia="仿宋_GB2312"/>
                      <w:sz w:val="21"/>
                      <w:color w:val="000000"/>
                    </w:rPr>
                    <w:t>2.输出方式：100V 定压输出（适配户外音柱）</w:t>
                  </w:r>
                </w:p>
                <w:p>
                  <w:pPr>
                    <w:pStyle w:val="null3"/>
                    <w:jc w:val="both"/>
                  </w:pPr>
                  <w:r>
                    <w:rPr>
                      <w:rFonts w:ascii="仿宋_GB2312" w:hAnsi="仿宋_GB2312" w:cs="仿宋_GB2312" w:eastAsia="仿宋_GB2312"/>
                      <w:sz w:val="21"/>
                      <w:color w:val="000000"/>
                    </w:rPr>
                    <w:t>3.输出通道：单通道定压输出</w:t>
                  </w:r>
                </w:p>
                <w:p>
                  <w:pPr>
                    <w:pStyle w:val="null3"/>
                    <w:jc w:val="both"/>
                  </w:pPr>
                  <w:r>
                    <w:rPr>
                      <w:rFonts w:ascii="仿宋_GB2312" w:hAnsi="仿宋_GB2312" w:cs="仿宋_GB2312" w:eastAsia="仿宋_GB2312"/>
                      <w:sz w:val="21"/>
                      <w:color w:val="000000"/>
                    </w:rPr>
                    <w:t>4.保护功能：过流、过载、短路、过热自动保护</w:t>
                  </w:r>
                </w:p>
                <w:p>
                  <w:pPr>
                    <w:pStyle w:val="null3"/>
                    <w:jc w:val="both"/>
                  </w:pPr>
                  <w:r>
                    <w:rPr>
                      <w:rFonts w:ascii="仿宋_GB2312" w:hAnsi="仿宋_GB2312" w:cs="仿宋_GB2312" w:eastAsia="仿宋_GB2312"/>
                      <w:sz w:val="21"/>
                      <w:color w:val="000000"/>
                    </w:rPr>
                    <w:t>5.面板功能：音量独立调节、显示屏、曲目切换</w:t>
                  </w:r>
                </w:p>
                <w:p>
                  <w:pPr>
                    <w:pStyle w:val="null3"/>
                    <w:jc w:val="both"/>
                  </w:pPr>
                  <w:r>
                    <w:rPr>
                      <w:rFonts w:ascii="仿宋_GB2312" w:hAnsi="仿宋_GB2312" w:cs="仿宋_GB2312" w:eastAsia="仿宋_GB2312"/>
                      <w:sz w:val="21"/>
                      <w:color w:val="000000"/>
                    </w:rPr>
                    <w:t>6.供电：AC220V 市电</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户外自然教育设施：</w:t>
                  </w:r>
                  <w:r>
                    <w:rPr>
                      <w:rFonts w:ascii="仿宋_GB2312" w:hAnsi="仿宋_GB2312" w:cs="仿宋_GB2312" w:eastAsia="仿宋_GB2312"/>
                      <w:sz w:val="21"/>
                      <w:color w:val="000000"/>
                    </w:rPr>
                    <w:t>自然教育解说牌</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要求：以本地特色资源为核心载体，主题定位精准鲜明，内容架构科学严谨；设计形式须多元新颖，兼具创新性与互动性，充分体现自然教育与科普宣教</w:t>
                  </w:r>
                  <w:r>
                    <w:rPr>
                      <w:rFonts w:ascii="仿宋_GB2312" w:hAnsi="仿宋_GB2312" w:cs="仿宋_GB2312" w:eastAsia="仿宋_GB2312"/>
                      <w:sz w:val="21"/>
                      <w:color w:val="000000"/>
                    </w:rPr>
                    <w:t>“寓教于乐”的核</w:t>
                  </w:r>
                  <w:r>
                    <w:rPr>
                      <w:rFonts w:ascii="仿宋_GB2312" w:hAnsi="仿宋_GB2312" w:cs="仿宋_GB2312" w:eastAsia="仿宋_GB2312"/>
                      <w:sz w:val="21"/>
                    </w:rPr>
                    <w:t>心理念。</w:t>
                  </w:r>
                </w:p>
                <w:p>
                  <w:pPr>
                    <w:pStyle w:val="null3"/>
                    <w:jc w:val="both"/>
                  </w:pPr>
                  <w:r>
                    <w:rPr>
                      <w:rFonts w:ascii="仿宋_GB2312" w:hAnsi="仿宋_GB2312" w:cs="仿宋_GB2312" w:eastAsia="仿宋_GB2312"/>
                      <w:sz w:val="21"/>
                    </w:rPr>
                    <w:t>3块昆虫科普</w:t>
                  </w:r>
                  <w:r>
                    <w:rPr>
                      <w:rFonts w:ascii="仿宋_GB2312" w:hAnsi="仿宋_GB2312" w:cs="仿宋_GB2312" w:eastAsia="仿宋_GB2312"/>
                      <w:sz w:val="21"/>
                    </w:rPr>
                    <w:t>（</w:t>
                  </w:r>
                  <w:r>
                    <w:rPr>
                      <w:rFonts w:ascii="仿宋_GB2312" w:hAnsi="仿宋_GB2312" w:cs="仿宋_GB2312" w:eastAsia="仿宋_GB2312"/>
                      <w:sz w:val="21"/>
                    </w:rPr>
                    <w:t>2个平面解说牌</w:t>
                  </w:r>
                  <w:r>
                    <w:rPr>
                      <w:rFonts w:ascii="仿宋_GB2312" w:hAnsi="仿宋_GB2312" w:cs="仿宋_GB2312" w:eastAsia="仿宋_GB2312"/>
                      <w:sz w:val="21"/>
                    </w:rPr>
                    <w:t>，</w:t>
                  </w:r>
                  <w:r>
                    <w:rPr>
                      <w:rFonts w:ascii="仿宋_GB2312" w:hAnsi="仿宋_GB2312" w:cs="仿宋_GB2312" w:eastAsia="仿宋_GB2312"/>
                      <w:sz w:val="21"/>
                    </w:rPr>
                    <w:t>其中一个带转轴</w:t>
                  </w:r>
                  <w:r>
                    <w:rPr>
                      <w:rFonts w:ascii="仿宋_GB2312" w:hAnsi="仿宋_GB2312" w:cs="仿宋_GB2312" w:eastAsia="仿宋_GB2312"/>
                      <w:sz w:val="21"/>
                    </w:rPr>
                    <w:t>；</w:t>
                  </w:r>
                  <w:r>
                    <w:rPr>
                      <w:rFonts w:ascii="仿宋_GB2312" w:hAnsi="仿宋_GB2312" w:cs="仿宋_GB2312" w:eastAsia="仿宋_GB2312"/>
                      <w:sz w:val="21"/>
                    </w:rPr>
                    <w:t>1个房型讲解牌造型</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:树纹镀锌板烤漆。</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户外自然教育设施：</w:t>
                  </w:r>
                  <w:r>
                    <w:rPr>
                      <w:rFonts w:ascii="仿宋_GB2312" w:hAnsi="仿宋_GB2312" w:cs="仿宋_GB2312" w:eastAsia="仿宋_GB2312"/>
                      <w:sz w:val="21"/>
                      <w:color w:val="000000"/>
                    </w:rPr>
                    <w:t>转轴科普知识解说牌</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要求：以本地特色资源为核心载体，主题定位精准鲜明，内容架构科学严谨；设计形式须多元新颖，兼具创新性与互动性，充分体现自然教育与科普宣教</w:t>
                  </w:r>
                  <w:r>
                    <w:rPr>
                      <w:rFonts w:ascii="仿宋_GB2312" w:hAnsi="仿宋_GB2312" w:cs="仿宋_GB2312" w:eastAsia="仿宋_GB2312"/>
                      <w:sz w:val="21"/>
                    </w:rPr>
                    <w:t>“寓教于乐”的核心理念。</w:t>
                  </w:r>
                </w:p>
                <w:p>
                  <w:pPr>
                    <w:pStyle w:val="null3"/>
                    <w:jc w:val="both"/>
                  </w:pPr>
                  <w:r>
                    <w:rPr>
                      <w:rFonts w:ascii="仿宋_GB2312" w:hAnsi="仿宋_GB2312" w:cs="仿宋_GB2312" w:eastAsia="仿宋_GB2312"/>
                      <w:sz w:val="21"/>
                    </w:rPr>
                    <w:t>1块</w:t>
                  </w:r>
                </w:p>
                <w:p>
                  <w:pPr>
                    <w:pStyle w:val="null3"/>
                    <w:jc w:val="both"/>
                  </w:pPr>
                  <w:r>
                    <w:rPr>
                      <w:rFonts w:ascii="仿宋_GB2312" w:hAnsi="仿宋_GB2312" w:cs="仿宋_GB2312" w:eastAsia="仿宋_GB2312"/>
                      <w:sz w:val="21"/>
                    </w:rPr>
                    <w:t>材质</w:t>
                  </w:r>
                  <w:r>
                    <w:rPr>
                      <w:rFonts w:ascii="仿宋_GB2312" w:hAnsi="仿宋_GB2312" w:cs="仿宋_GB2312" w:eastAsia="仿宋_GB2312"/>
                      <w:sz w:val="21"/>
                    </w:rPr>
                    <w:t>:树纹镀锌板烤漆，转轴部分部分为不锈钢。</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户外自然教育设施：</w:t>
                  </w:r>
                  <w:r>
                    <w:rPr>
                      <w:rFonts w:ascii="仿宋_GB2312" w:hAnsi="仿宋_GB2312" w:cs="仿宋_GB2312" w:eastAsia="仿宋_GB2312"/>
                      <w:sz w:val="21"/>
                      <w:color w:val="000000"/>
                    </w:rPr>
                    <w:t>立式讲解牌</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要求：以本地特色资源为核心载体，主题定位精准鲜明，内容架构科学严谨；设计形式须多元新颖，兼具创新性与互动性，充分体现自然教育与科普宣教</w:t>
                  </w:r>
                  <w:r>
                    <w:rPr>
                      <w:rFonts w:ascii="仿宋_GB2312" w:hAnsi="仿宋_GB2312" w:cs="仿宋_GB2312" w:eastAsia="仿宋_GB2312"/>
                      <w:sz w:val="21"/>
                    </w:rPr>
                    <w:t>“寓教于乐”的核心理念。</w:t>
                  </w:r>
                </w:p>
                <w:p>
                  <w:pPr>
                    <w:pStyle w:val="null3"/>
                    <w:jc w:val="both"/>
                  </w:pPr>
                  <w:r>
                    <w:rPr>
                      <w:rFonts w:ascii="仿宋_GB2312" w:hAnsi="仿宋_GB2312" w:cs="仿宋_GB2312" w:eastAsia="仿宋_GB2312"/>
                      <w:sz w:val="21"/>
                    </w:rPr>
                    <w:t>2组（6块)</w:t>
                  </w:r>
                </w:p>
                <w:p>
                  <w:pPr>
                    <w:pStyle w:val="null3"/>
                    <w:jc w:val="both"/>
                  </w:pPr>
                  <w:r>
                    <w:rPr>
                      <w:rFonts w:ascii="仿宋_GB2312" w:hAnsi="仿宋_GB2312" w:cs="仿宋_GB2312" w:eastAsia="仿宋_GB2312"/>
                      <w:sz w:val="21"/>
                    </w:rPr>
                    <w:t>材质</w:t>
                  </w:r>
                  <w:r>
                    <w:rPr>
                      <w:rFonts w:ascii="仿宋_GB2312" w:hAnsi="仿宋_GB2312" w:cs="仿宋_GB2312" w:eastAsia="仿宋_GB2312"/>
                      <w:sz w:val="21"/>
                    </w:rPr>
                    <w:t>:树纹镀锌板烤漆</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户外自然教育设施：</w:t>
                  </w:r>
                  <w:r>
                    <w:rPr>
                      <w:rFonts w:ascii="仿宋_GB2312" w:hAnsi="仿宋_GB2312" w:cs="仿宋_GB2312" w:eastAsia="仿宋_GB2312"/>
                      <w:sz w:val="21"/>
                      <w:color w:val="000000"/>
                    </w:rPr>
                    <w:t>户外警示牌</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要求：以本地特色资源为核心载体，主题定位精准鲜明，内容架构科学严谨；设计形式须多元新颖，兼具创新性与互动性，充分体现自然教育与科普宣教</w:t>
                  </w:r>
                  <w:r>
                    <w:rPr>
                      <w:rFonts w:ascii="仿宋_GB2312" w:hAnsi="仿宋_GB2312" w:cs="仿宋_GB2312" w:eastAsia="仿宋_GB2312"/>
                      <w:sz w:val="21"/>
                    </w:rPr>
                    <w:t>“寓教于乐”的核心理念。</w:t>
                  </w:r>
                </w:p>
                <w:p>
                  <w:pPr>
                    <w:pStyle w:val="null3"/>
                    <w:jc w:val="both"/>
                  </w:pPr>
                  <w:r>
                    <w:rPr>
                      <w:rFonts w:ascii="仿宋_GB2312" w:hAnsi="仿宋_GB2312" w:cs="仿宋_GB2312" w:eastAsia="仿宋_GB2312"/>
                      <w:sz w:val="21"/>
                    </w:rPr>
                    <w:t>3块</w:t>
                  </w:r>
                </w:p>
                <w:p>
                  <w:pPr>
                    <w:pStyle w:val="null3"/>
                    <w:jc w:val="both"/>
                  </w:pPr>
                  <w:r>
                    <w:rPr>
                      <w:rFonts w:ascii="仿宋_GB2312" w:hAnsi="仿宋_GB2312" w:cs="仿宋_GB2312" w:eastAsia="仿宋_GB2312"/>
                      <w:sz w:val="21"/>
                    </w:rPr>
                    <w:t>材质</w:t>
                  </w:r>
                  <w:r>
                    <w:rPr>
                      <w:rFonts w:ascii="仿宋_GB2312" w:hAnsi="仿宋_GB2312" w:cs="仿宋_GB2312" w:eastAsia="仿宋_GB2312"/>
                      <w:sz w:val="21"/>
                    </w:rPr>
                    <w:t>:树纹镀锌板烤漆</w:t>
                  </w:r>
                </w:p>
                <w:p>
                  <w:pPr>
                    <w:pStyle w:val="null3"/>
                    <w:jc w:val="both"/>
                  </w:pPr>
                  <w:r>
                    <w:rPr>
                      <w:rFonts w:ascii="仿宋_GB2312" w:hAnsi="仿宋_GB2312" w:cs="仿宋_GB2312" w:eastAsia="仿宋_GB2312"/>
                      <w:sz w:val="21"/>
                    </w:rPr>
                    <w:t>为确保自然教育活动安全有序开展，沿河步道增设警示标牌</w:t>
                  </w:r>
                  <w:r>
                    <w:rPr>
                      <w:rFonts w:ascii="仿宋_GB2312" w:hAnsi="仿宋_GB2312" w:cs="仿宋_GB2312" w:eastAsia="仿宋_GB2312"/>
                      <w:sz w:val="21"/>
                    </w:rPr>
                    <w:t>3</w:t>
                  </w:r>
                  <w:r>
                    <w:rPr>
                      <w:rFonts w:ascii="仿宋_GB2312" w:hAnsi="仿宋_GB2312" w:cs="仿宋_GB2312" w:eastAsia="仿宋_GB2312"/>
                      <w:sz w:val="21"/>
                    </w:rPr>
                    <w:t>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可转动科普知识讲解牌</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要求：以本地特色资源为核心载体，主题定位精准鲜明，内容架构科学严谨；设计形式须多元新颖，兼具创新性与互动性，充分体现自然教育与科普宣教</w:t>
                  </w:r>
                  <w:r>
                    <w:rPr>
                      <w:rFonts w:ascii="仿宋_GB2312" w:hAnsi="仿宋_GB2312" w:cs="仿宋_GB2312" w:eastAsia="仿宋_GB2312"/>
                      <w:sz w:val="21"/>
                    </w:rPr>
                    <w:t>“寓教于乐”的核心理念。</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块</w:t>
                  </w:r>
                </w:p>
                <w:p>
                  <w:pPr>
                    <w:pStyle w:val="null3"/>
                    <w:jc w:val="both"/>
                  </w:pPr>
                  <w:r>
                    <w:rPr>
                      <w:rFonts w:ascii="仿宋_GB2312" w:hAnsi="仿宋_GB2312" w:cs="仿宋_GB2312" w:eastAsia="仿宋_GB2312"/>
                      <w:sz w:val="21"/>
                    </w:rPr>
                    <w:t>材质</w:t>
                  </w:r>
                  <w:r>
                    <w:rPr>
                      <w:rFonts w:ascii="仿宋_GB2312" w:hAnsi="仿宋_GB2312" w:cs="仿宋_GB2312" w:eastAsia="仿宋_GB2312"/>
                      <w:sz w:val="21"/>
                    </w:rPr>
                    <w:t>:树纹镀锌板烤漆</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户外自然教育设施：</w:t>
                  </w:r>
                  <w:r>
                    <w:rPr>
                      <w:rFonts w:ascii="仿宋_GB2312" w:hAnsi="仿宋_GB2312" w:cs="仿宋_GB2312" w:eastAsia="仿宋_GB2312"/>
                      <w:sz w:val="21"/>
                      <w:color w:val="000000"/>
                    </w:rPr>
                    <w:t>植物为主题设计互动创意造型</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要求：以本地特色资源为核心载体，主题定位精准鲜明，内容架构科学严谨；设计形式须多元新颖，兼具创新性与互动性，充分体现自然教育与科普宣教</w:t>
                  </w:r>
                  <w:r>
                    <w:rPr>
                      <w:rFonts w:ascii="仿宋_GB2312" w:hAnsi="仿宋_GB2312" w:cs="仿宋_GB2312" w:eastAsia="仿宋_GB2312"/>
                      <w:sz w:val="21"/>
                    </w:rPr>
                    <w:t>“寓教于乐”的核心理念。</w:t>
                  </w:r>
                </w:p>
                <w:p>
                  <w:pPr>
                    <w:pStyle w:val="null3"/>
                    <w:jc w:val="both"/>
                  </w:pPr>
                  <w:r>
                    <w:rPr>
                      <w:rFonts w:ascii="仿宋_GB2312" w:hAnsi="仿宋_GB2312" w:cs="仿宋_GB2312" w:eastAsia="仿宋_GB2312"/>
                      <w:sz w:val="21"/>
                    </w:rPr>
                    <w:t>1块</w:t>
                  </w:r>
                </w:p>
                <w:p>
                  <w:pPr>
                    <w:pStyle w:val="null3"/>
                    <w:jc w:val="both"/>
                  </w:pPr>
                  <w:r>
                    <w:rPr>
                      <w:rFonts w:ascii="仿宋_GB2312" w:hAnsi="仿宋_GB2312" w:cs="仿宋_GB2312" w:eastAsia="仿宋_GB2312"/>
                      <w:sz w:val="21"/>
                    </w:rPr>
                    <w:t>材质</w:t>
                  </w:r>
                  <w:r>
                    <w:rPr>
                      <w:rFonts w:ascii="仿宋_GB2312" w:hAnsi="仿宋_GB2312" w:cs="仿宋_GB2312" w:eastAsia="仿宋_GB2312"/>
                      <w:sz w:val="21"/>
                    </w:rPr>
                    <w:t>：</w:t>
                  </w:r>
                  <w:r>
                    <w:rPr>
                      <w:rFonts w:ascii="仿宋_GB2312" w:hAnsi="仿宋_GB2312" w:cs="仿宋_GB2312" w:eastAsia="仿宋_GB2312"/>
                      <w:sz w:val="21"/>
                    </w:rPr>
                    <w:t>树纹镀锌板烤漆</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项目实施期限6个月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进度款，项目完成80%，达到付款条件起10个工作日内，支付合同总金额的40.0%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进度款，竣工验收合格后，达到付款条件起10个工作日内，支付合同总金额的20.0%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投标人应提交的相关资格证明材料.pdf 中小企业声明函 残疾人福利性单位声明函 参数偏离表.docx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供应商须为独⽴承担⺠事责任能⼒的法⼈或其他组织或⾃然⼈。其中企 业法⼈应提供有效的统⼀社会信⽤代码的营业执照，事业法⼈应提供事业单位法⼈证、组织机构代码证等证明⽂件，其他组织应提供合法证明⽂件，⾃然⼈提供⾝份证明⽂件。供应商需在项⽬电⼦化交易系统中按要求上传相应证明⽂件并进⾏电⼦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法定代表⼈⾝份证明或法定代表授权委托书</w:t>
            </w:r>
          </w:p>
        </w:tc>
        <w:tc>
          <w:tcPr>
            <w:tcW w:type="dxa" w:w="3322"/>
          </w:tcPr>
          <w:p>
            <w:pPr>
              <w:pStyle w:val="null3"/>
            </w:pPr>
            <w:r>
              <w:rPr>
                <w:rFonts w:ascii="仿宋_GB2312" w:hAnsi="仿宋_GB2312" w:cs="仿宋_GB2312" w:eastAsia="仿宋_GB2312"/>
              </w:rPr>
              <w:t>法定代表⼈亲⾃参与磋商的，需出具法定代表⼈⾝份证明及⾝份证复印件，并与营业执照上信息⼀致;法定代表⼈委托授权代表参与磋商的，需出具法定代表⼈授权书以及授权代表的⾝份证复印件;供应商需在项⽬电⼦化交易系统中按要求上传相应证明⽂件并进⾏电⼦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合同所必需的设备和专业技术能⼒，具有依法缴纳税收和社会保障⾦的良好记录，参加本项⽬采购活动前三年内⽆重⼤违法活动记录，未被列⼊在信⽤中国⽹站“失信被执⾏⼈”、“重⼤税收违法案件当事⼈名单”中，也被未列⼊中国政府采购⽹“政府采购严重违法失信⾏为记录名单”中，供应商应按照汉中市财政局《关于全⾯推⾏政府采购供应商基本资格条件承诺制的通知》（汉采办采管〔2024〕20 号）⽂件要求，提供《汉中市政府采购供应商资格承诺函》。供应商需在项⽬电⼦化交易系统中按要求上传相应证明⽂件并进⾏电⼦签章。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中⼩企业声明函</w:t>
            </w:r>
          </w:p>
        </w:tc>
        <w:tc>
          <w:tcPr>
            <w:tcW w:type="dxa" w:w="3322"/>
          </w:tcPr>
          <w:p>
            <w:pPr>
              <w:pStyle w:val="null3"/>
            </w:pPr>
            <w:r>
              <w:rPr>
                <w:rFonts w:ascii="仿宋_GB2312" w:hAnsi="仿宋_GB2312" w:cs="仿宋_GB2312" w:eastAsia="仿宋_GB2312"/>
              </w:rPr>
              <w:t>本项⽬专⻔⾯向中⼩企业采购;供应商需在项⽬电⼦化交易系统中按要求上传相应证明⽂件并进⾏电⼦签章。</w:t>
            </w:r>
          </w:p>
        </w:tc>
        <w:tc>
          <w:tcPr>
            <w:tcW w:type="dxa" w:w="1661"/>
          </w:tcPr>
          <w:p>
            <w:pPr>
              <w:pStyle w:val="null3"/>
            </w:pPr>
            <w:r>
              <w:rPr>
                <w:rFonts w:ascii="仿宋_GB2312" w:hAnsi="仿宋_GB2312" w:cs="仿宋_GB2312" w:eastAsia="仿宋_GB2312"/>
              </w:rPr>
              <w:t>投标人应提交的相关资格证明材料.pdf 中小企业声明函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本项⽬不接受联合体投标;供应商需在项⽬电⼦化交易系统中按要求上传相应证明⽂件并进⾏电⼦签章。</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总体架构设计</w:t>
            </w:r>
          </w:p>
        </w:tc>
        <w:tc>
          <w:tcPr>
            <w:tcW w:type="dxa" w:w="2492"/>
          </w:tcPr>
          <w:p>
            <w:pPr>
              <w:pStyle w:val="null3"/>
            </w:pPr>
            <w:r>
              <w:rPr>
                <w:rFonts w:ascii="仿宋_GB2312" w:hAnsi="仿宋_GB2312" w:cs="仿宋_GB2312" w:eastAsia="仿宋_GB2312"/>
              </w:rPr>
              <w:t>一、评审内容： ①平台架构架设方案②数据交互设计③安全架构设计④扩展性设计等。 二、评审标准： ⽅案各部分内容全⾯详细、阐述条例清晰详尽、符合本项⽬采购需求得12分；评审内容每缺⼀项扣3分；评审内容有缺陷未完全响应评审标准的每项扣0.5分，扣完为⽌。 (“缺陷”是指：内容描述过于简单没有关键点；条理不清晰；与项⽬内容不匹配、⾮针对本项⽬或不适⽤本项⽬特性；凭空编造，存在逻辑漏洞，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参数偏离表.docx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①林场VR智能保护系统建设方案②户外AI数字人安全警示、知识库问答系统建设方案③质香坝管护站保护能力提升建设方案④户外自然教育设施改造提升方案。 二、评审标准： ⽅案各部分内容全⾯详细、阐述条例清晰详尽、符合本项⽬采购需求得8分；评审内容每缺⼀项扣2分；评审内容有缺陷未完全响应评审标准的每项扣0.5分，扣完为⽌。 (“缺陷”是指：内容描述过于简单没有关键点；条理不清晰；与项⽬内容不匹配、⾮针对本项⽬或不适⽤本项⽬特性；凭空编造，存在逻辑漏洞，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参数偏离表.docx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功能模块设计</w:t>
            </w:r>
          </w:p>
        </w:tc>
        <w:tc>
          <w:tcPr>
            <w:tcW w:type="dxa" w:w="2492"/>
          </w:tcPr>
          <w:p>
            <w:pPr>
              <w:pStyle w:val="null3"/>
            </w:pPr>
            <w:r>
              <w:rPr>
                <w:rFonts w:ascii="仿宋_GB2312" w:hAnsi="仿宋_GB2312" w:cs="仿宋_GB2312" w:eastAsia="仿宋_GB2312"/>
              </w:rPr>
              <w:t>一、评审内容： ①核心功能完整性②业务流程合理性③操作便捷性④异常处理能力等。 二、评审标准： ⽅案各部分内容全⾯详细、阐述条例清晰详尽、符合本项⽬采购需求得8分；评审内容每缺⼀项扣2分；评审内容有缺陷未完全响应评审标准的每项扣0.5分，扣完为⽌。 (“缺陷”是指：内容描述过于简单没有关键点；条理不清晰；与项⽬内容不匹配、⾮针对本项⽬或不适⽤本项⽬特性；凭空编造，存在逻辑漏洞，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参数偏离表.docx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评审内容：提供近三年（2023年6月至今）类似项目业绩，每提供一个得2.5分，满分共计5分。评审依据：供应商提供的加盖公章的合同复印件或中标通知书复印件为准。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参数偏离表.docx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①售后服务方案（体系）、②专项技术培训方案、③故障应急处置预案、④服务承诺。 二、评审标准： ⽅案各部分内容全⾯详细、阐述条例清晰详尽、符合本项⽬采购需求得12分；评审内容每缺⼀项扣3分；评审内容有缺陷未完全响应评审标准的每项扣0.5分，扣完为⽌。 (“缺陷”是指：内容描述过于简单没有关键点；条理不清晰；与项⽬内容不匹配、⾮针对本项⽬或不适⽤本项⽬特性；凭空编造，存在逻辑漏洞，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参数偏离表.docx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故障响应时效性</w:t>
            </w:r>
          </w:p>
        </w:tc>
        <w:tc>
          <w:tcPr>
            <w:tcW w:type="dxa" w:w="2492"/>
          </w:tcPr>
          <w:p>
            <w:pPr>
              <w:pStyle w:val="null3"/>
            </w:pPr>
            <w:r>
              <w:rPr>
                <w:rFonts w:ascii="仿宋_GB2312" w:hAnsi="仿宋_GB2312" w:cs="仿宋_GB2312" w:eastAsia="仿宋_GB2312"/>
              </w:rPr>
              <w:t>评审内容：供应商接到采购⼈提出的临时任务要求，能够在4个小时内到达现场并处置的得5分，每推迟⼀个小时扣1分，扣完为止。 评审依据：供应商提供的响应承诺。</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参数偏离表.docx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服务人员配置</w:t>
            </w:r>
          </w:p>
        </w:tc>
        <w:tc>
          <w:tcPr>
            <w:tcW w:type="dxa" w:w="2492"/>
          </w:tcPr>
          <w:p>
            <w:pPr>
              <w:pStyle w:val="null3"/>
            </w:pPr>
            <w:r>
              <w:rPr>
                <w:rFonts w:ascii="仿宋_GB2312" w:hAnsi="仿宋_GB2312" w:cs="仿宋_GB2312" w:eastAsia="仿宋_GB2312"/>
              </w:rPr>
              <w:t>1、项⽬管理⼈员（1⼈）：拟派1名项⽬管理⼈员得4分，；2、安装⼈员：每提供1名项⽬安装⼈员得4分，最多得16分。注：提供相关⼈员⾝份证复印件并注明相关岗位，并加盖供应商单位公章，否则相应得分项不得分注。</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参数偏离表.docx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满⾜竞争性磋商⽂件要求且最后报价最低的供应商的价格为评标基准价，其价格分为满分。其他供应商的价格分统⼀按照下列公式计算：报价得分=（评标基准价/最终投标报价）×30×100%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详见附件：参数偏离表.docx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