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版本号：KY2026-3-19320260609001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学生区基础设施修缮改造项目毕业生宿舍粉刷项目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KY2026-3-193</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学生区基础设施修缮改造项目毕业生宿舍粉刷项目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学生区基础设施修缮改造项目毕业生宿舍粉刷项目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学生区基础设施修缮改造项目毕业生宿舍粉刷项目，建设范围包括：雁塔校区300间、长安校区617间毕业生毕业生宿舍墙面普遍存在污渍、脱皮、开裂、泛黄、贴画等问题，宿舍普遍还存在纱窗破损、五金配件损坏、床桌椅损坏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采购包1（雁塔校区毕业生宿舍粉刷项目）：属于专门面向中小企业采购。</w:t>
      </w:r>
    </w:p>
    <w:p>
      <w:pPr>
        <w:pStyle w:val="null3"/>
      </w:pPr>
      <w:r>
        <w:rPr>
          <w:rFonts w:ascii="仿宋_GB2312" w:hAnsi="仿宋_GB2312" w:cs="仿宋_GB2312" w:eastAsia="仿宋_GB2312"/>
        </w:rPr>
        <w:t>采购包2（长安校区毕业生宿舍粉刷项目）：属于专门面向中小企业采购。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8、专业资质：供应商须具备建筑工程施工总承包三级及以上资质或建筑装修装饰工程专业承包二级及以上资质；同时须具备有效的安全生产许可证</w:t>
      </w:r>
    </w:p>
    <w:p>
      <w:pPr>
        <w:pStyle w:val="null3"/>
      </w:pPr>
      <w:r>
        <w:rPr>
          <w:rFonts w:ascii="仿宋_GB2312" w:hAnsi="仿宋_GB2312" w:cs="仿宋_GB2312" w:eastAsia="仿宋_GB2312"/>
        </w:rPr>
        <w:t>9、项目经理：拟派项目经理具备建筑工程专业二级以上（含二级）注册建造师资格及安全生产考核合格证(建安B证)，在本单位注册且无其他在建工程（提供无在建工程的承诺函）</w:t>
      </w:r>
    </w:p>
    <w:p>
      <w:pPr>
        <w:pStyle w:val="null3"/>
      </w:pPr>
      <w:r>
        <w:rPr>
          <w:rFonts w:ascii="仿宋_GB2312" w:hAnsi="仿宋_GB2312" w:cs="仿宋_GB2312" w:eastAsia="仿宋_GB2312"/>
        </w:rPr>
        <w:t>10、供应商及项目经理：供应商及项目经理须在“陕西省住房和城乡建设厅陕西省建筑市场监管与诚信一体化管理系统”可查询且无不良记录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8、专业资质：供应商须具备建筑工程施工总承包三级及以上资质或建筑装修装饰工程专业承包二级及以上资质；同时须具备有效的安全生产许可证</w:t>
      </w:r>
    </w:p>
    <w:p>
      <w:pPr>
        <w:pStyle w:val="null3"/>
      </w:pPr>
      <w:r>
        <w:rPr>
          <w:rFonts w:ascii="仿宋_GB2312" w:hAnsi="仿宋_GB2312" w:cs="仿宋_GB2312" w:eastAsia="仿宋_GB2312"/>
        </w:rPr>
        <w:t>9、项目经理：拟派项目经理具备建筑工程专业二级以上（含二级）注册建造师资格及安全生产考核合格证(建安B证)，在本单位注册且无其他在建工程（提供无在建工程的承诺函）</w:t>
      </w:r>
    </w:p>
    <w:p>
      <w:pPr>
        <w:pStyle w:val="null3"/>
      </w:pPr>
      <w:r>
        <w:rPr>
          <w:rFonts w:ascii="仿宋_GB2312" w:hAnsi="仿宋_GB2312" w:cs="仿宋_GB2312" w:eastAsia="仿宋_GB2312"/>
        </w:rPr>
        <w:t>10、供应商及项目经理：供应商及项目经理须在“陕西省住房和城乡建设厅陕西省建筑市场监管与诚信一体化管理系统”可查询且无不良记录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采购包2：940,000.00元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采购包1保证金金额：5,300.00元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代理服务费收费标准：依据成交金额向采购代理机构交纳成交服务费，交费金额参照国家计委颁布的《招标代理服务收费管理暂行办法》（计价格[2002]1980号）及发改办价格[2003]857号文件的规定标准按工程收取。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踏勘时间：2026-06-18 09:30:00</w:t>
            </w:r>
          </w:p>
          <w:p>
            <w:pPr>
              <w:pStyle w:val="null3"/>
              <w:ind w:firstLine="975"/>
            </w:pPr>
            <w:r>
              <w:rPr>
                <w:rFonts w:ascii="仿宋_GB2312" w:hAnsi="仿宋_GB2312" w:cs="仿宋_GB2312" w:eastAsia="仿宋_GB2312"/>
              </w:rPr>
              <w:t>踏勘地点：西北政法大学雁塔校区，踏勘须携带已获取磋商文件的回执函</w:t>
            </w:r>
          </w:p>
          <w:p>
            <w:pPr>
              <w:pStyle w:val="null3"/>
              <w:ind w:firstLine="975"/>
            </w:pPr>
            <w:r>
              <w:rPr>
                <w:rFonts w:ascii="仿宋_GB2312" w:hAnsi="仿宋_GB2312" w:cs="仿宋_GB2312" w:eastAsia="仿宋_GB2312"/>
              </w:rPr>
              <w:t>联系人：谢婷婷</w:t>
            </w:r>
          </w:p>
          <w:p>
            <w:pPr>
              <w:pStyle w:val="null3"/>
              <w:ind w:firstLine="975"/>
            </w:pPr>
            <w:r>
              <w:rPr>
                <w:rFonts w:ascii="仿宋_GB2312" w:hAnsi="仿宋_GB2312" w:cs="仿宋_GB2312" w:eastAsia="仿宋_GB2312"/>
              </w:rPr>
              <w:t>联系电话号码：029-81206622-832</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踏勘时间：2026-06-18 10:30:00</w:t>
            </w:r>
          </w:p>
          <w:p>
            <w:pPr>
              <w:pStyle w:val="null3"/>
              <w:ind w:firstLine="975"/>
            </w:pPr>
            <w:r>
              <w:rPr>
                <w:rFonts w:ascii="仿宋_GB2312" w:hAnsi="仿宋_GB2312" w:cs="仿宋_GB2312" w:eastAsia="仿宋_GB2312"/>
              </w:rPr>
              <w:t>踏勘地点：西北政法大学长安校区，踏勘须携带已获取磋商文件的回执函</w:t>
            </w:r>
          </w:p>
          <w:p>
            <w:pPr>
              <w:pStyle w:val="null3"/>
              <w:ind w:firstLine="975"/>
            </w:pPr>
            <w:r>
              <w:rPr>
                <w:rFonts w:ascii="仿宋_GB2312" w:hAnsi="仿宋_GB2312" w:cs="仿宋_GB2312" w:eastAsia="仿宋_GB2312"/>
              </w:rPr>
              <w:t>联系人：谢婷婷</w:t>
            </w:r>
          </w:p>
          <w:p>
            <w:pPr>
              <w:pStyle w:val="null3"/>
              <w:ind w:firstLine="975"/>
            </w:pPr>
            <w:r>
              <w:rPr>
                <w:rFonts w:ascii="仿宋_GB2312" w:hAnsi="仿宋_GB2312" w:cs="仿宋_GB2312" w:eastAsia="仿宋_GB2312"/>
              </w:rPr>
              <w:t>联系电话号码：029-81206622-832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雁塔校区毕业生宿舍粉刷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940,000.00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长安校区毕业生宿舍粉刷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标的名称：雁塔校区毕业生宿舍粉刷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雁塔校区300间毕业生毕业生宿舍墙面普遍存在污渍、脱皮、开裂、泛黄、贴画等问题，宿舍普遍还存在纱窗破损、五金配件损坏、床桌椅损坏等隐患。本项目通过修复毕业生宿舍硬件设施、优化宿舍居住环境，消除安全隐患，打造干净、整洁、安全、舒适的学生住宿空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二、采购要求</w:t>
            </w:r>
          </w:p>
          <w:p>
            <w:pPr>
              <w:pStyle w:val="null3"/>
            </w:pPr>
            <w:r>
              <w:rPr>
                <w:rFonts w:ascii="仿宋_GB2312" w:hAnsi="仿宋_GB2312" w:cs="仿宋_GB2312" w:eastAsia="仿宋_GB2312"/>
              </w:rPr>
              <w:t>(1)墙面翻新粉刷功能:对毕业生宿舍墙面进行全面清理、修补、粉刷，去除墙面污渍、涂鸦、霉斑，修复墙面开裂、空鼓、脱皮部位，恢复墙面整洁美观的状态，实现宿舍室内环境全面升级。</w:t>
            </w:r>
          </w:p>
          <w:p>
            <w:pPr>
              <w:pStyle w:val="null3"/>
            </w:pPr>
            <w:r>
              <w:rPr>
                <w:rFonts w:ascii="仿宋_GB2312" w:hAnsi="仿宋_GB2312" w:cs="仿宋_GB2312" w:eastAsia="仿宋_GB2312"/>
              </w:rPr>
              <w:t>(2)设施维修修复功能:针对宿舍内门窗、床具、桌椅、衣柜、插座、洗漱池等设施进行全面排查维修，紧固松动部件、更换损坏五金配件、修复破损设施，确保正常使用。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施工标准及验收要求</w:t>
            </w:r>
          </w:p>
          <w:p>
            <w:pPr>
              <w:pStyle w:val="null3"/>
            </w:pPr>
            <w:r>
              <w:rPr>
                <w:rFonts w:ascii="仿宋_GB2312" w:hAnsi="仿宋_GB2312" w:cs="仿宋_GB2312" w:eastAsia="仿宋_GB2312"/>
              </w:rPr>
              <w:t>(1)粉刷质量验收:墙面涂刷均匀，无污渍、无裂缝、无空鼓、无色差，手感光滑，符合合同约定的施工标准。(2)设施功能验收:功能完好、使用正常，结构稳固，无松动、损坏、故障问题。本项目的施工符合国家及行业验收合格标准，组织相应人员进行验收。（3）须对室内及公共区域开展全面精细保洁：彻底清除墙面、家具、电器及踢脚线等处残留的胶带印、保护膜痕迹和飞溅涂料点，踢脚线上方及周边擦拭干净，确保无积灰、无漆渍。室内地面须全面清扫并湿拖，做到无粉尘、泥沙与水渍；重点清理施工遗留的建筑垃圾、包装纸屑及滴落涂料块，床底、柜底等卫生死角必须彻底吸尘或清扫，不留杂物。所有固定家具（包括床铺护栏、爬梯、衣柜、书桌等）和电器（空调等）表面须用微湿抹布全方位擦拭，边角、抽屉内侧及五金件处不得残留飞灰或涂料斑点，保持光洁无尘。走廊公共区域由专人统筹保洁，地面及时清扫拖洗，确保无积水、无泥印；墙面与窗台同步擦拭浮灰，杜绝交叉污染，整体环境整洁明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、工程量清单编制依据：</w:t>
            </w:r>
          </w:p>
          <w:p>
            <w:pPr>
              <w:pStyle w:val="null3"/>
            </w:pPr>
            <w:r>
              <w:rPr>
                <w:rFonts w:ascii="仿宋_GB2312" w:hAnsi="仿宋_GB2312" w:cs="仿宋_GB2312" w:eastAsia="仿宋_GB2312"/>
              </w:rPr>
              <w:t>1、《陕西省建设工程工程量清单计价计算标准(2025)》</w:t>
            </w:r>
          </w:p>
          <w:p>
            <w:pPr>
              <w:pStyle w:val="null3"/>
            </w:pPr>
            <w:r>
              <w:rPr>
                <w:rFonts w:ascii="仿宋_GB2312" w:hAnsi="仿宋_GB2312" w:cs="仿宋_GB2312" w:eastAsia="仿宋_GB2312"/>
              </w:rPr>
              <w:t>2、《陕西建设工程费用规则（2025）》；</w:t>
            </w:r>
          </w:p>
          <w:p>
            <w:pPr>
              <w:pStyle w:val="null3"/>
            </w:pPr>
            <w:r>
              <w:rPr>
                <w:rFonts w:ascii="仿宋_GB2312" w:hAnsi="仿宋_GB2312" w:cs="仿宋_GB2312" w:eastAsia="仿宋_GB2312"/>
              </w:rPr>
              <w:t>3、《陕西省房屋建筑与装饰工程基价表(2025)》；</w:t>
            </w:r>
          </w:p>
          <w:p>
            <w:pPr>
              <w:pStyle w:val="null3"/>
            </w:pPr>
            <w:r>
              <w:rPr>
                <w:rFonts w:ascii="仿宋_GB2312" w:hAnsi="仿宋_GB2312" w:cs="仿宋_GB2312" w:eastAsia="仿宋_GB2312"/>
              </w:rPr>
              <w:t>4、《陕西省房屋建筑与装饰工程消耗量定额(2025)》；</w:t>
            </w:r>
          </w:p>
          <w:p>
            <w:pPr>
              <w:pStyle w:val="null3"/>
            </w:pPr>
            <w:r>
              <w:rPr>
                <w:rFonts w:ascii="仿宋_GB2312" w:hAnsi="仿宋_GB2312" w:cs="仿宋_GB2312" w:eastAsia="仿宋_GB2312"/>
              </w:rPr>
              <w:t>5、《陕西省建设工程施工机械台班费用定额(2025)》；</w:t>
            </w:r>
          </w:p>
          <w:p>
            <w:pPr>
              <w:pStyle w:val="null3"/>
            </w:pPr>
            <w:r>
              <w:rPr>
                <w:rFonts w:ascii="仿宋_GB2312" w:hAnsi="仿宋_GB2312" w:cs="仿宋_GB2312" w:eastAsia="仿宋_GB2312"/>
              </w:rPr>
              <w:t>6、本限价工程量为现场实测工程量，工程做法为甲方确定工程做法；</w:t>
            </w:r>
          </w:p>
          <w:p>
            <w:pPr>
              <w:pStyle w:val="null3"/>
            </w:pPr>
            <w:r>
              <w:rPr>
                <w:rFonts w:ascii="仿宋_GB2312" w:hAnsi="仿宋_GB2312" w:cs="仿宋_GB2312" w:eastAsia="仿宋_GB2312"/>
              </w:rPr>
              <w:t>7、相关的标准图集；</w:t>
            </w:r>
          </w:p>
          <w:p>
            <w:pPr>
              <w:pStyle w:val="null3"/>
            </w:pPr>
            <w:r>
              <w:rPr>
                <w:rFonts w:ascii="仿宋_GB2312" w:hAnsi="仿宋_GB2312" w:cs="仿宋_GB2312" w:eastAsia="仿宋_GB2312"/>
              </w:rPr>
              <w:t>8、本工程材料价格按以下规则计取：</w:t>
            </w:r>
          </w:p>
          <w:p>
            <w:pPr>
              <w:pStyle w:val="null3"/>
            </w:pPr>
            <w:r>
              <w:rPr>
                <w:rFonts w:ascii="仿宋_GB2312" w:hAnsi="仿宋_GB2312" w:cs="仿宋_GB2312" w:eastAsia="仿宋_GB2312"/>
              </w:rPr>
              <w:t>（</w:t>
            </w:r>
            <w:r>
              <w:rPr>
                <w:rFonts w:ascii="仿宋_GB2312" w:hAnsi="仿宋_GB2312" w:cs="仿宋_GB2312" w:eastAsia="仿宋_GB2312"/>
              </w:rPr>
              <w:t>1）有信息价的材料，执行《陕西工程造价信息（2026 年 4 月）》发布的材料信息价；</w:t>
            </w:r>
          </w:p>
          <w:p>
            <w:pPr>
              <w:pStyle w:val="null3"/>
            </w:pPr>
            <w:r>
              <w:rPr>
                <w:rFonts w:ascii="仿宋_GB2312" w:hAnsi="仿宋_GB2312" w:cs="仿宋_GB2312" w:eastAsia="仿宋_GB2312"/>
              </w:rPr>
              <w:t>（</w:t>
            </w:r>
            <w:r>
              <w:rPr>
                <w:rFonts w:ascii="仿宋_GB2312" w:hAnsi="仿宋_GB2312" w:cs="仿宋_GB2312" w:eastAsia="仿宋_GB2312"/>
              </w:rPr>
              <w:t>2）信息价未涵盖的材料，按市场合理询价计取；</w:t>
            </w:r>
          </w:p>
          <w:p>
            <w:pPr>
              <w:pStyle w:val="null3"/>
            </w:pPr>
            <w:r>
              <w:rPr>
                <w:rFonts w:ascii="仿宋_GB2312" w:hAnsi="仿宋_GB2312" w:cs="仿宋_GB2312" w:eastAsia="仿宋_GB2312"/>
              </w:rPr>
              <w:t>9、税率执行增值税（一般计税方法）</w:t>
            </w:r>
          </w:p>
          <w:p>
            <w:pPr>
              <w:pStyle w:val="null3"/>
            </w:pPr>
            <w:r>
              <w:rPr>
                <w:rFonts w:ascii="仿宋_GB2312" w:hAnsi="仿宋_GB2312" w:cs="仿宋_GB2312" w:eastAsia="仿宋_GB2312"/>
              </w:rPr>
              <w:t>10、计价采用广联达云计价平台GCCP7.0-7.5000.23.2。</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w:t>
            </w:r>
            <w:r>
              <w:rPr>
                <w:rFonts w:ascii="仿宋_GB2312" w:hAnsi="仿宋_GB2312" w:cs="仿宋_GB2312" w:eastAsia="仿宋_GB2312"/>
                <w:sz w:val="21"/>
              </w:rPr>
              <w:t>、工程量清单：见附件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六、其他要求</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624"/>
              <w:gridCol w:w="1533"/>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1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项目要求</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付款方式</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1、付款方式</w:t>
                  </w:r>
                </w:p>
                <w:p>
                  <w:pPr>
                    <w:pStyle w:val="null3"/>
                  </w:pPr>
                  <w:r>
                    <w:rPr>
                      <w:rFonts w:ascii="仿宋_GB2312" w:hAnsi="仿宋_GB2312" w:cs="仿宋_GB2312" w:eastAsia="仿宋_GB2312"/>
                      <w:sz w:val="19"/>
                    </w:rPr>
                    <w:t>（</w:t>
                  </w:r>
                  <w:r>
                    <w:rPr>
                      <w:rFonts w:ascii="仿宋_GB2312" w:hAnsi="仿宋_GB2312" w:cs="仿宋_GB2312" w:eastAsia="仿宋_GB2312"/>
                      <w:sz w:val="19"/>
                    </w:rPr>
                    <w:t>1）合同签订后支付合同金额的</w:t>
                  </w:r>
                  <w:r>
                    <w:rPr>
                      <w:rFonts w:ascii="仿宋_GB2312" w:hAnsi="仿宋_GB2312" w:cs="仿宋_GB2312" w:eastAsia="仿宋_GB2312"/>
                      <w:sz w:val="19"/>
                    </w:rPr>
                    <w:t>5</w:t>
                  </w:r>
                  <w:r>
                    <w:rPr>
                      <w:rFonts w:ascii="仿宋_GB2312" w:hAnsi="仿宋_GB2312" w:cs="仿宋_GB2312" w:eastAsia="仿宋_GB2312"/>
                      <w:sz w:val="19"/>
                    </w:rPr>
                    <w:t>0％作为预付工程款；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2）工程竣工验收合格后（提供全部项目资料）支付</w:t>
                  </w:r>
                  <w:r>
                    <w:rPr>
                      <w:rFonts w:ascii="仿宋_GB2312" w:hAnsi="仿宋_GB2312" w:cs="仿宋_GB2312" w:eastAsia="仿宋_GB2312"/>
                      <w:sz w:val="19"/>
                    </w:rPr>
                    <w:t>至</w:t>
                  </w:r>
                  <w:r>
                    <w:rPr>
                      <w:rFonts w:ascii="仿宋_GB2312" w:hAnsi="仿宋_GB2312" w:cs="仿宋_GB2312" w:eastAsia="仿宋_GB2312"/>
                      <w:sz w:val="19"/>
                    </w:rPr>
                    <w:t>合同金额的</w:t>
                  </w:r>
                  <w:r>
                    <w:rPr>
                      <w:rFonts w:ascii="仿宋_GB2312" w:hAnsi="仿宋_GB2312" w:cs="仿宋_GB2312" w:eastAsia="仿宋_GB2312"/>
                      <w:sz w:val="19"/>
                    </w:rPr>
                    <w:t>8</w:t>
                  </w:r>
                  <w:r>
                    <w:rPr>
                      <w:rFonts w:ascii="仿宋_GB2312" w:hAnsi="仿宋_GB2312" w:cs="仿宋_GB2312" w:eastAsia="仿宋_GB2312"/>
                      <w:sz w:val="19"/>
                    </w:rPr>
                    <w:t>0%工程款；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3）经审计部门审定后支付至审定总价款的</w:t>
                  </w:r>
                  <w:r>
                    <w:rPr>
                      <w:rFonts w:ascii="仿宋_GB2312" w:hAnsi="仿宋_GB2312" w:cs="仿宋_GB2312" w:eastAsia="仿宋_GB2312"/>
                      <w:sz w:val="19"/>
                    </w:rPr>
                    <w:t>100</w:t>
                  </w:r>
                  <w:r>
                    <w:rPr>
                      <w:rFonts w:ascii="仿宋_GB2312" w:hAnsi="仿宋_GB2312" w:cs="仿宋_GB2312" w:eastAsia="仿宋_GB2312"/>
                      <w:sz w:val="19"/>
                    </w:rPr>
                    <w:t>%。</w:t>
                  </w:r>
                </w:p>
                <w:p>
                  <w:pPr>
                    <w:pStyle w:val="null3"/>
                  </w:pPr>
                  <w:r>
                    <w:rPr>
                      <w:rFonts w:ascii="仿宋_GB2312" w:hAnsi="仿宋_GB2312" w:cs="仿宋_GB2312" w:eastAsia="仿宋_GB2312"/>
                      <w:sz w:val="19"/>
                    </w:rPr>
                    <w:t>2、本项目采用固定</w:t>
                  </w:r>
                  <w:r>
                    <w:rPr>
                      <w:rFonts w:ascii="仿宋_GB2312" w:hAnsi="仿宋_GB2312" w:cs="仿宋_GB2312" w:eastAsia="仿宋_GB2312"/>
                      <w:sz w:val="19"/>
                    </w:rPr>
                    <w:t>综合单价合同</w:t>
                  </w:r>
                  <w:r>
                    <w:rPr>
                      <w:rFonts w:ascii="仿宋_GB2312" w:hAnsi="仿宋_GB2312" w:cs="仿宋_GB2312" w:eastAsia="仿宋_GB2312"/>
                      <w:sz w:val="19"/>
                    </w:rPr>
                    <w:t>。</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项目完工期</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合同签订之日起</w:t>
                  </w:r>
                  <w:r>
                    <w:rPr>
                      <w:rFonts w:ascii="仿宋_GB2312" w:hAnsi="仿宋_GB2312" w:cs="仿宋_GB2312" w:eastAsia="仿宋_GB2312"/>
                      <w:sz w:val="19"/>
                    </w:rPr>
                    <w:t>25</w:t>
                  </w:r>
                  <w:r>
                    <w:rPr>
                      <w:rFonts w:ascii="仿宋_GB2312" w:hAnsi="仿宋_GB2312" w:cs="仿宋_GB2312" w:eastAsia="仿宋_GB2312"/>
                      <w:sz w:val="19"/>
                    </w:rPr>
                    <w:t>日历天内完成。</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质保期</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自项目竣工验收合格之日起</w:t>
                  </w:r>
                  <w:r>
                    <w:rPr>
                      <w:rFonts w:ascii="仿宋_GB2312" w:hAnsi="仿宋_GB2312" w:cs="仿宋_GB2312" w:eastAsia="仿宋_GB2312"/>
                      <w:sz w:val="19"/>
                    </w:rPr>
                    <w:t>2年。</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标的名称：长安校区毕业生宿舍粉刷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长安校区617间毕业生毕业生宿舍墙面普遍存在污渍、脱皮、开裂、泛黄、贴画等问题，宿舍普遍还存在纱窗破损、五金配件损坏、床桌椅损坏等隐患。本项目通过修复毕业生宿舍硬件设施、优化宿舍居住环境，消除安全隐患，打造干净、整洁、安全、舒适的学生住宿空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二、采购要求</w:t>
            </w:r>
          </w:p>
          <w:p>
            <w:pPr>
              <w:pStyle w:val="null3"/>
            </w:pPr>
            <w:r>
              <w:rPr>
                <w:rFonts w:ascii="仿宋_GB2312" w:hAnsi="仿宋_GB2312" w:cs="仿宋_GB2312" w:eastAsia="仿宋_GB2312"/>
              </w:rPr>
              <w:t>(1)墙面翻新粉刷功能:对毕业生宿舍墙面进行全面清理、修补、粉刷，去除墙面污渍、涂鸦、霉斑，修复墙面开裂、空鼓、脱皮部位，恢复墙面整洁美观的状态，实现宿舍室内环境全面升级。</w:t>
            </w:r>
          </w:p>
          <w:p>
            <w:pPr>
              <w:pStyle w:val="null3"/>
            </w:pPr>
            <w:r>
              <w:rPr>
                <w:rFonts w:ascii="仿宋_GB2312" w:hAnsi="仿宋_GB2312" w:cs="仿宋_GB2312" w:eastAsia="仿宋_GB2312"/>
              </w:rPr>
              <w:t>(2)设施维修修复功能:针对宿舍内门窗、床具、桌椅、衣柜、插座、洗漱池等设施进行全面排查维修，紧固松动部件、更换损坏五金配件、修复破损设施，确保正常使用。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施工标准及验收要求</w:t>
            </w:r>
          </w:p>
          <w:p>
            <w:pPr>
              <w:pStyle w:val="null3"/>
            </w:pPr>
            <w:r>
              <w:rPr>
                <w:rFonts w:ascii="仿宋_GB2312" w:hAnsi="仿宋_GB2312" w:cs="仿宋_GB2312" w:eastAsia="仿宋_GB2312"/>
              </w:rPr>
              <w:t>(1)粉刷质量验收:墙面涂刷均匀，无污渍、无裂缝、无空鼓、无色差，手感光滑，符合合同约定的施工标准。(2)设施功能验收:功能完好、使用正常，结构稳固，无松动、损坏、故障问题。本项目的施工符合国家及行业验收合格标准，组织相应人员进行验收。（3）须对室内及公共区域开展全面精细保洁：彻底清除墙面、家具、电器及踢脚线等处残留的胶带印、保护膜痕迹和飞溅涂料点，踢脚线上方及周边擦拭干净，确保无积灰、无漆渍。室内地面须全面清扫并湿拖，做到无粉尘、泥沙与水渍；重点清理施工遗留的建筑垃圾、包装纸屑及滴落涂料块，床底、柜底等卫生死角必须彻底吸尘或清扫，不留杂物。所有固定家具（包括床铺护栏、爬梯、衣柜、书桌等）和电器（空调等）表面须用微湿抹布全方位擦拭，边角、抽屉内侧及五金件处不得残留飞灰或涂料斑点，保持光洁无尘。走廊公共区域由专人统筹保洁，地面及时清扫拖洗，确保无积水、无泥印；墙面与窗台同步擦拭浮灰，杜绝交叉污染，整体环境整洁明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、工程量清单编制依据：</w:t>
            </w:r>
          </w:p>
          <w:p>
            <w:pPr>
              <w:pStyle w:val="null3"/>
            </w:pPr>
            <w:r>
              <w:rPr>
                <w:rFonts w:ascii="仿宋_GB2312" w:hAnsi="仿宋_GB2312" w:cs="仿宋_GB2312" w:eastAsia="仿宋_GB2312"/>
              </w:rPr>
              <w:t>1、《陕西省建设工程工程量清单计价计算标准(2025)》</w:t>
            </w:r>
          </w:p>
          <w:p>
            <w:pPr>
              <w:pStyle w:val="null3"/>
            </w:pPr>
            <w:r>
              <w:rPr>
                <w:rFonts w:ascii="仿宋_GB2312" w:hAnsi="仿宋_GB2312" w:cs="仿宋_GB2312" w:eastAsia="仿宋_GB2312"/>
              </w:rPr>
              <w:t>2、《陕西建设工程费用规则（2025）》；</w:t>
            </w:r>
          </w:p>
          <w:p>
            <w:pPr>
              <w:pStyle w:val="null3"/>
            </w:pPr>
            <w:r>
              <w:rPr>
                <w:rFonts w:ascii="仿宋_GB2312" w:hAnsi="仿宋_GB2312" w:cs="仿宋_GB2312" w:eastAsia="仿宋_GB2312"/>
              </w:rPr>
              <w:t>3、《陕西省房屋建筑与装饰工程基价表(2025)》；</w:t>
            </w:r>
          </w:p>
          <w:p>
            <w:pPr>
              <w:pStyle w:val="null3"/>
            </w:pPr>
            <w:r>
              <w:rPr>
                <w:rFonts w:ascii="仿宋_GB2312" w:hAnsi="仿宋_GB2312" w:cs="仿宋_GB2312" w:eastAsia="仿宋_GB2312"/>
              </w:rPr>
              <w:t>4、《陕西省房屋建筑与装饰工程消耗量定额(2025)》；</w:t>
            </w:r>
          </w:p>
          <w:p>
            <w:pPr>
              <w:pStyle w:val="null3"/>
            </w:pPr>
            <w:r>
              <w:rPr>
                <w:rFonts w:ascii="仿宋_GB2312" w:hAnsi="仿宋_GB2312" w:cs="仿宋_GB2312" w:eastAsia="仿宋_GB2312"/>
              </w:rPr>
              <w:t>5、《陕西省建设工程施工机械台班费用定额(2025)》；</w:t>
            </w:r>
          </w:p>
          <w:p>
            <w:pPr>
              <w:pStyle w:val="null3"/>
            </w:pPr>
            <w:r>
              <w:rPr>
                <w:rFonts w:ascii="仿宋_GB2312" w:hAnsi="仿宋_GB2312" w:cs="仿宋_GB2312" w:eastAsia="仿宋_GB2312"/>
              </w:rPr>
              <w:t>6、本限价工程量为现场实测工程量，工程做法为甲方确定工程做法；</w:t>
            </w:r>
          </w:p>
          <w:p>
            <w:pPr>
              <w:pStyle w:val="null3"/>
            </w:pPr>
            <w:r>
              <w:rPr>
                <w:rFonts w:ascii="仿宋_GB2312" w:hAnsi="仿宋_GB2312" w:cs="仿宋_GB2312" w:eastAsia="仿宋_GB2312"/>
              </w:rPr>
              <w:t>7、相关的标准图集；</w:t>
            </w:r>
          </w:p>
          <w:p>
            <w:pPr>
              <w:pStyle w:val="null3"/>
            </w:pPr>
            <w:r>
              <w:rPr>
                <w:rFonts w:ascii="仿宋_GB2312" w:hAnsi="仿宋_GB2312" w:cs="仿宋_GB2312" w:eastAsia="仿宋_GB2312"/>
              </w:rPr>
              <w:t>8、本工程材料价格按以下规则计取：</w:t>
            </w:r>
          </w:p>
          <w:p>
            <w:pPr>
              <w:pStyle w:val="null3"/>
            </w:pPr>
            <w:r>
              <w:rPr>
                <w:rFonts w:ascii="仿宋_GB2312" w:hAnsi="仿宋_GB2312" w:cs="仿宋_GB2312" w:eastAsia="仿宋_GB2312"/>
              </w:rPr>
              <w:t>（</w:t>
            </w:r>
            <w:r>
              <w:rPr>
                <w:rFonts w:ascii="仿宋_GB2312" w:hAnsi="仿宋_GB2312" w:cs="仿宋_GB2312" w:eastAsia="仿宋_GB2312"/>
              </w:rPr>
              <w:t>1）有信息价的材料，执行《陕西工程造价信息（2026 年 4 月）》发布的材料信息价；</w:t>
            </w:r>
          </w:p>
          <w:p>
            <w:pPr>
              <w:pStyle w:val="null3"/>
            </w:pPr>
            <w:r>
              <w:rPr>
                <w:rFonts w:ascii="仿宋_GB2312" w:hAnsi="仿宋_GB2312" w:cs="仿宋_GB2312" w:eastAsia="仿宋_GB2312"/>
              </w:rPr>
              <w:t>（</w:t>
            </w:r>
            <w:r>
              <w:rPr>
                <w:rFonts w:ascii="仿宋_GB2312" w:hAnsi="仿宋_GB2312" w:cs="仿宋_GB2312" w:eastAsia="仿宋_GB2312"/>
              </w:rPr>
              <w:t>2）信息价未涵盖的材料，按市场合理询价计取；</w:t>
            </w:r>
          </w:p>
          <w:p>
            <w:pPr>
              <w:pStyle w:val="null3"/>
            </w:pPr>
            <w:r>
              <w:rPr>
                <w:rFonts w:ascii="仿宋_GB2312" w:hAnsi="仿宋_GB2312" w:cs="仿宋_GB2312" w:eastAsia="仿宋_GB2312"/>
              </w:rPr>
              <w:t>9、税率执行增值税（一般计税方法）</w:t>
            </w:r>
          </w:p>
          <w:p>
            <w:pPr>
              <w:pStyle w:val="null3"/>
            </w:pPr>
            <w:r>
              <w:rPr>
                <w:rFonts w:ascii="仿宋_GB2312" w:hAnsi="仿宋_GB2312" w:cs="仿宋_GB2312" w:eastAsia="仿宋_GB2312"/>
              </w:rPr>
              <w:t>10、计价采用广联达云计价平台GCCP7.0-7.5000.23.2。</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w:t>
            </w:r>
            <w:r>
              <w:rPr>
                <w:rFonts w:ascii="仿宋_GB2312" w:hAnsi="仿宋_GB2312" w:cs="仿宋_GB2312" w:eastAsia="仿宋_GB2312"/>
                <w:sz w:val="21"/>
              </w:rPr>
              <w:t>、工程量清单：见附件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六、其他要求</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624"/>
              <w:gridCol w:w="1533"/>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1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项目要求</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付款方式</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1、付款方式</w:t>
                  </w:r>
                </w:p>
                <w:p>
                  <w:pPr>
                    <w:pStyle w:val="null3"/>
                  </w:pPr>
                  <w:r>
                    <w:rPr>
                      <w:rFonts w:ascii="仿宋_GB2312" w:hAnsi="仿宋_GB2312" w:cs="仿宋_GB2312" w:eastAsia="仿宋_GB2312"/>
                      <w:sz w:val="19"/>
                    </w:rPr>
                    <w:t>（</w:t>
                  </w:r>
                  <w:r>
                    <w:rPr>
                      <w:rFonts w:ascii="仿宋_GB2312" w:hAnsi="仿宋_GB2312" w:cs="仿宋_GB2312" w:eastAsia="仿宋_GB2312"/>
                      <w:sz w:val="19"/>
                    </w:rPr>
                    <w:t>1）合同签订后支付合同金额的</w:t>
                  </w:r>
                  <w:r>
                    <w:rPr>
                      <w:rFonts w:ascii="仿宋_GB2312" w:hAnsi="仿宋_GB2312" w:cs="仿宋_GB2312" w:eastAsia="仿宋_GB2312"/>
                      <w:sz w:val="19"/>
                    </w:rPr>
                    <w:t>5</w:t>
                  </w:r>
                  <w:r>
                    <w:rPr>
                      <w:rFonts w:ascii="仿宋_GB2312" w:hAnsi="仿宋_GB2312" w:cs="仿宋_GB2312" w:eastAsia="仿宋_GB2312"/>
                      <w:sz w:val="19"/>
                    </w:rPr>
                    <w:t>0％作为预付工程款；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2）工程竣工验收合格后（提供全部项目资料）支付</w:t>
                  </w:r>
                  <w:r>
                    <w:rPr>
                      <w:rFonts w:ascii="仿宋_GB2312" w:hAnsi="仿宋_GB2312" w:cs="仿宋_GB2312" w:eastAsia="仿宋_GB2312"/>
                      <w:sz w:val="19"/>
                    </w:rPr>
                    <w:t>至</w:t>
                  </w:r>
                  <w:r>
                    <w:rPr>
                      <w:rFonts w:ascii="仿宋_GB2312" w:hAnsi="仿宋_GB2312" w:cs="仿宋_GB2312" w:eastAsia="仿宋_GB2312"/>
                      <w:sz w:val="19"/>
                    </w:rPr>
                    <w:t>合同金额的</w:t>
                  </w:r>
                  <w:r>
                    <w:rPr>
                      <w:rFonts w:ascii="仿宋_GB2312" w:hAnsi="仿宋_GB2312" w:cs="仿宋_GB2312" w:eastAsia="仿宋_GB2312"/>
                      <w:sz w:val="19"/>
                    </w:rPr>
                    <w:t>8</w:t>
                  </w:r>
                  <w:r>
                    <w:rPr>
                      <w:rFonts w:ascii="仿宋_GB2312" w:hAnsi="仿宋_GB2312" w:cs="仿宋_GB2312" w:eastAsia="仿宋_GB2312"/>
                      <w:sz w:val="19"/>
                    </w:rPr>
                    <w:t>0%工程款；</w:t>
                  </w:r>
                </w:p>
                <w:p>
                  <w:pPr>
                    <w:pStyle w:val="null3"/>
                  </w:pPr>
                  <w:r>
                    <w:rPr>
                      <w:rFonts w:ascii="仿宋_GB2312" w:hAnsi="仿宋_GB2312" w:cs="仿宋_GB2312" w:eastAsia="仿宋_GB2312"/>
                      <w:sz w:val="19"/>
                    </w:rPr>
                    <w:t>（</w:t>
                  </w:r>
                  <w:r>
                    <w:rPr>
                      <w:rFonts w:ascii="仿宋_GB2312" w:hAnsi="仿宋_GB2312" w:cs="仿宋_GB2312" w:eastAsia="仿宋_GB2312"/>
                      <w:sz w:val="19"/>
                    </w:rPr>
                    <w:t>3）经审计部门审定后支付至审定总价款的</w:t>
                  </w:r>
                  <w:r>
                    <w:rPr>
                      <w:rFonts w:ascii="仿宋_GB2312" w:hAnsi="仿宋_GB2312" w:cs="仿宋_GB2312" w:eastAsia="仿宋_GB2312"/>
                      <w:sz w:val="19"/>
                    </w:rPr>
                    <w:t>100</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本项目采用固定综合单价合同。</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项目完工期</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合同签订之日起</w:t>
                  </w:r>
                  <w:r>
                    <w:rPr>
                      <w:rFonts w:ascii="仿宋_GB2312" w:hAnsi="仿宋_GB2312" w:cs="仿宋_GB2312" w:eastAsia="仿宋_GB2312"/>
                      <w:sz w:val="19"/>
                    </w:rPr>
                    <w:t>25</w:t>
                  </w:r>
                  <w:r>
                    <w:rPr>
                      <w:rFonts w:ascii="仿宋_GB2312" w:hAnsi="仿宋_GB2312" w:cs="仿宋_GB2312" w:eastAsia="仿宋_GB2312"/>
                      <w:sz w:val="19"/>
                    </w:rPr>
                    <w:t>日历天内完成。</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质保期</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自项目竣工验收合格之日起</w:t>
                  </w:r>
                  <w:r>
                    <w:rPr>
                      <w:rFonts w:ascii="仿宋_GB2312" w:hAnsi="仿宋_GB2312" w:cs="仿宋_GB2312" w:eastAsia="仿宋_GB2312"/>
                      <w:sz w:val="19"/>
                    </w:rPr>
                    <w:t>2年。</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按国家规范标准执行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（10）《关于推动解决政府采购异常低价问题的通知》； （11）《国务院办公厅关于在政府采购中实施本国产品标准及相关政策的通知》； （12）若享受以上政策优惠的企业，提供相应声明函或品目范围内产品有效认证证书。如有最新颁布的政府采购政策，按最新的文件执行。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2、保证金的退还：自成交通知书发出之日起5个工作日内退还未成交供应商的磋商保证金,自采购合同签订之日起5个工作日内退还成交供应商的投标保证金。 3、磋商文件中所有的商务要求均为实质性要求，供应商必须响应并满足。 4、为保证项目顺利实施，本项目兼投不兼中，供应商可以报名多个采购包，但只能承担一个采购包的采购内容；评审顺序为采购包1→采购包2，依次评审。（采购包1成交供应商不进入采购包2的成交候选人排序）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关于财务会计制度的证明材料｛注：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拟派项目经理具备建筑工程专业二级以上（含二级）注册建造师资格及安全生产考核合格证(建安B证)，在本单位注册且无其他在建工程（提供无在建工程的承诺函）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供应商及项目经理须在“陕西省住房和城乡建设厅陕西省建筑市场监管与诚信一体化管理系统”可查询且无不良记录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拟派项目经理具备建筑工程专业二级以上（含二级）注册建造师资格及安全生产考核合格证(建安B证)，在本单位注册且无其他在建工程（提供无在建工程的承诺函）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供应商及项目经理须在“陕西省住房和城乡建设厅陕西省建筑市场监管与诚信一体化管理系统”可查询且无不良记录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标的清单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响应文件的项目完工期、质保期、付款方式、合同等商务内容符合磋商文件要求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其他说明.docx 技术指标偏差表.docx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标的清单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响应文件的项目完工期、质保期、付款方式、合同等商务内容符合磋商文件要求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其他说明.docx 技术指标偏差表.docx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有具体的施工方案,施工方案科学合理、详细、完整，可操作性强，能有效指导施工，能满足采购人需要，包括但不限于：①墙面翻新粉刷方案；②设施维修修复方案；每有一项缺项扣5分，每有一项内容中有1处缺陷，指项目需求不匹配或不能满足项目实施要求及其他不利于项目实施的扣1分，扣完为止，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供应商针对本项目有具体的施工进度及工期保障措施，包括：①提供施工进度表或施工网络图；②关键节点、重点难点分析及工序衔接；③确保进度、保证工期的的技术组织措施；每有一项缺项扣2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供应商针对本项目制定切实可行的施工质量保证措施，包括：①总体质量控制目标；②分阶段施工的重点难点目标，且对质量控制目标进行合理分解、规划，确保本项目质量标准符合该项目质量要求；③成品保护措施；每有一项缺项扣3分，每有一项内容中有1处缺陷，指项目需求不匹配或不能满足项目实施要求及其他不利于项目实施的扣1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供应商针对本项目有安全、文明施工的技术组织措施，包括：①结合工程环境、特点分析安全隐患；②给出有针对性的安全施工管理制度、文明施工、环保施工、防尘降噪等保证防护措施方案；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劳动力、施工设备配备和材料投入</w:t>
            </w:r>
          </w:p>
        </w:tc>
        <w:tc>
          <w:tcPr>
            <w:tcW w:type="dxa" w:w="2492"/>
          </w:tcPr>
          <w:p>
            <w:pPr>
              <w:pStyle w:val="null3"/>
            </w:pPr>
            <w:r>
              <w:rPr>
                <w:rFonts w:ascii="仿宋_GB2312" w:hAnsi="仿宋_GB2312" w:cs="仿宋_GB2312" w:eastAsia="仿宋_GB2312"/>
              </w:rPr>
              <w:t>供应商针对本项目拟投入：①劳动力安排合理，能有效保证工程工期；②设备配备完善、材料投入符合采购要求；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5、详细评审---劳动力、施工设备配备和材料投入.docx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供应商拟派项目组人员岗位、专业、分工、专职安全生产管理人员、 作业人员等配置合理、针对性强，并具有相应执业资格计5分；配置较合理，基本满足项目实施要求计3分；配置基本合理，计1分，未提供不计分。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6、详细评审---项目组人员.docx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针对本项目有具体可行施工过程中的应急措施；应急措施科学合理、响应时间及时的计2分；应急措施有缺漏的计1分；未提供不计分。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7、详细评审---应急措施.docx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1.供应商针对本项目的材料清单（清单内容包括但不限于材料名称、品牌、规格、材质等），提供清单内容完整丰富，使用材料能保障工程质量的计6分；清单内容基本完整，使用材料基本能保障工程质量的计3分；清单内容有欠缺，使用材料不能完全保障工程质量的计1分； 2.涂料的合格证、检测报告完备且有效，并符合国家《室内空气质量标准》（GB/T18883），且完工后无异味。响应产品为主流产品，质量好、工艺优良、安全性高，货源渠道正规计6分；响应产品质量一般，货源渠道正规的计3分；响应产品质量一般，货源渠道不清晰的计1分； 3.如响应材料为节能环保或环境标志产品，提供相关证明材料，每提供1份计1分，满分2分。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8、详细评审---响应材料.docx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施工完成后，供应商针对：①开荒保洁；②空气治理（即除甲醛，需提供检测报告），有具体的售后方案并提供承诺。每有一项缺项扣3分，每有一项内容中有1处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提供供应商的2023年6月1日至今（以签订日期为准）同类项目业绩完整合同，每份计1分，满分6分。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有具体的施工方案,施工方案科学合理、详细、完整，可操作性强，能有效指导施工，能满足采购人需要，包括但不限于：①墙面翻新粉刷方案；②设施维修修复方案；每有一项缺项扣5分，每有一项内容中有1处缺陷，指项目需求不匹配或不能满足项目实施要求及其他不利于项目实施的扣1分，扣完为止，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供应商针对本项目有具体的施工进度及工期保障措施，包括：①提供施工进度表或施工网络图；②关键节点、重点难点分析及工序衔接；③确保进度、保证工期的的技术组织措施；每有一项缺项扣2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供应商针对本项目制定切实可行的施工质量保证措施，包括：①总体质量控制目标；②分阶段施工的重点难点目标，且对质量控制目标进行合理分解、规划，确保本项目质量标准符合该项目质量要求；③成品保护措施；每有一项缺项扣3分，每有一项内容中有1处缺陷，指项目需求不匹配或不能满足项目实施要求及其他不利于项目实施的扣1分，扣完为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3、详细评审---施工质量保证措施.docx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安全、文明施工技术组织措施</w:t>
            </w:r>
          </w:p>
        </w:tc>
        <w:tc>
          <w:tcPr>
            <w:tcW w:type="dxa" w:w="2492"/>
          </w:tcPr>
          <w:p>
            <w:pPr>
              <w:pStyle w:val="null3"/>
            </w:pPr>
            <w:r>
              <w:rPr>
                <w:rFonts w:ascii="仿宋_GB2312" w:hAnsi="仿宋_GB2312" w:cs="仿宋_GB2312" w:eastAsia="仿宋_GB2312"/>
              </w:rPr>
              <w:t>供应商针对本项目有安全、文明施工的技术组织措施，包括：①结合工程环境、特点分析安全隐患；②给出有针对性的安全施工管理制度、文明施工、环保施工、防尘降噪等保证防护措施方案；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4、详细评审---安全、文明施工技术组织措施.docx</w:t>
            </w:r>
          </w:p>
        </w:tc>
      </w:tr>
      <w:tr>
        <w:tc>
          <w:tcPr>
            <w:tcW w:type="dxa" w:w="831"/>
            <w:vMerge/>
          </w:tcPr>
          <w:p/>
        </w:tc>
        <w:tc>
          <w:tcPr>
            <w:tcW w:type="dxa" w:w="1661"/>
          </w:tcPr>
          <w:p>
            <w:pPr>
              <w:pStyle w:val="null3"/>
            </w:pPr>
            <w:r>
              <w:rPr>
                <w:rFonts w:ascii="仿宋_GB2312" w:hAnsi="仿宋_GB2312" w:cs="仿宋_GB2312" w:eastAsia="仿宋_GB2312"/>
              </w:rPr>
              <w:t>劳动力、施工设备配备和材料投入</w:t>
            </w:r>
          </w:p>
        </w:tc>
        <w:tc>
          <w:tcPr>
            <w:tcW w:type="dxa" w:w="2492"/>
          </w:tcPr>
          <w:p>
            <w:pPr>
              <w:pStyle w:val="null3"/>
            </w:pPr>
            <w:r>
              <w:rPr>
                <w:rFonts w:ascii="仿宋_GB2312" w:hAnsi="仿宋_GB2312" w:cs="仿宋_GB2312" w:eastAsia="仿宋_GB2312"/>
              </w:rPr>
              <w:t>供应商针对本项目拟投入：①劳动力安排合理，能有效保证工程工期；②设备配备完善、材料投入符合采购要求；每有一项缺项扣3分，每有一项内容中有1处缺陷，指项目需求不匹配或不能满足项目实施要求及其他不利于项目实施的扣1分，扣完为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5、详细评审---劳动力、施工设备配备和材料投入.docx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供应商拟派项目组人员岗位、专业、分工、专职安全生产管理人员、 作业人员等配置合理、针对性强，并具有相应执业资格计5分；配置较合理，基本满足项目实施要求计3分；配置基本合理，计1分，未提供不计分。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6、详细评审---项目组人员.docx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针对本项目有具体可行施工过程中的应急措施；应急措施科学合理、响应时间及时的计2分；应急措施有缺漏的计1分；未提供不计分。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7、详细评审---应急措施.docx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1.供应商针对本项目的材料清单（清单内容包括但不限于材料名称、品牌、规格、材质等），提供清单内容完整丰富，使用材料能保障工程质量的计6分；清单内容基本完整，使用材料基本能保障工程质量的计3分；清单内容有欠缺，使用材料不能完全保障工程质量的计1分； 2.涂料的合格证、检测报告完备且有效，并符合国家《室内空气质量标准》（GB/T18883），且完工后无异味。响应产品为主流产品，质量好、工艺优良、安全性高，货源渠道正规计6分；响应产品质量一般，货源渠道正规的计3分；响应产品质量一般，货源渠道不清晰的计1分； 3.如响应材料为节能环保或环境标志产品，提供相关证明材料，每提供1份计1分，满分2分。 （注：节能环保、环境标志产品以经国家确定的认证机构出具的、处于有效期内的节能产品、环境标志产品认证证书为准）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8、详细评审---响应材料.docx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施工完成后，供应商针对：①开荒保洁；②空气治理（即除甲醛，需提供检测报告），有具体的售后方案并提供承诺。每有一项缺项扣3分，每有一项内容中有1处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提供供应商的2023年6月1日至今（以签订日期为准）同类项目业绩完整合同，每份计1分，满分6分。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详见附件：1、详细评审---施工方案.docx</w:t>
      </w:r>
    </w:p>
    <w:p>
      <w:pPr>
        <w:pStyle w:val="null3"/>
        <w:ind w:firstLine="960"/>
      </w:pPr>
      <w:r>
        <w:rPr>
          <w:rFonts w:ascii="仿宋_GB2312" w:hAnsi="仿宋_GB2312" w:cs="仿宋_GB2312" w:eastAsia="仿宋_GB2312"/>
        </w:rPr>
        <w:t>详见附件：2、详细评审---施工进度及工期保障措施.docx</w:t>
      </w:r>
    </w:p>
    <w:p>
      <w:pPr>
        <w:pStyle w:val="null3"/>
        <w:ind w:firstLine="960"/>
      </w:pPr>
      <w:r>
        <w:rPr>
          <w:rFonts w:ascii="仿宋_GB2312" w:hAnsi="仿宋_GB2312" w:cs="仿宋_GB2312" w:eastAsia="仿宋_GB2312"/>
        </w:rPr>
        <w:t>详见附件：3、详细评审---施工质量保证措施.docx</w:t>
      </w:r>
    </w:p>
    <w:p>
      <w:pPr>
        <w:pStyle w:val="null3"/>
        <w:ind w:firstLine="960"/>
      </w:pPr>
      <w:r>
        <w:rPr>
          <w:rFonts w:ascii="仿宋_GB2312" w:hAnsi="仿宋_GB2312" w:cs="仿宋_GB2312" w:eastAsia="仿宋_GB2312"/>
        </w:rPr>
        <w:t>详见附件：4、详细评审---安全、文明施工技术组织措施.docx</w:t>
      </w:r>
    </w:p>
    <w:p>
      <w:pPr>
        <w:pStyle w:val="null3"/>
        <w:ind w:firstLine="960"/>
      </w:pPr>
      <w:r>
        <w:rPr>
          <w:rFonts w:ascii="仿宋_GB2312" w:hAnsi="仿宋_GB2312" w:cs="仿宋_GB2312" w:eastAsia="仿宋_GB2312"/>
        </w:rPr>
        <w:t>详见附件：5、详细评审---劳动力、施工设备配备和材料投入.docx</w:t>
      </w:r>
    </w:p>
    <w:p>
      <w:pPr>
        <w:pStyle w:val="null3"/>
        <w:ind w:firstLine="960"/>
      </w:pPr>
      <w:r>
        <w:rPr>
          <w:rFonts w:ascii="仿宋_GB2312" w:hAnsi="仿宋_GB2312" w:cs="仿宋_GB2312" w:eastAsia="仿宋_GB2312"/>
        </w:rPr>
        <w:t>详见附件：6、详细评审---项目组人员.docx</w:t>
      </w:r>
    </w:p>
    <w:p>
      <w:pPr>
        <w:pStyle w:val="null3"/>
        <w:ind w:firstLine="960"/>
      </w:pPr>
      <w:r>
        <w:rPr>
          <w:rFonts w:ascii="仿宋_GB2312" w:hAnsi="仿宋_GB2312" w:cs="仿宋_GB2312" w:eastAsia="仿宋_GB2312"/>
        </w:rPr>
        <w:t>详见附件：7、详细评审---应急措施.docx</w:t>
      </w:r>
    </w:p>
    <w:p>
      <w:pPr>
        <w:pStyle w:val="null3"/>
        <w:ind w:firstLine="960"/>
      </w:pPr>
      <w:r>
        <w:rPr>
          <w:rFonts w:ascii="仿宋_GB2312" w:hAnsi="仿宋_GB2312" w:cs="仿宋_GB2312" w:eastAsia="仿宋_GB2312"/>
        </w:rPr>
        <w:t>详见附件：8、详细评审---响应材料.docx</w:t>
      </w:r>
    </w:p>
    <w:p>
      <w:pPr>
        <w:pStyle w:val="null3"/>
        <w:ind w:firstLine="960"/>
      </w:pPr>
      <w:r>
        <w:rPr>
          <w:rFonts w:ascii="仿宋_GB2312" w:hAnsi="仿宋_GB2312" w:cs="仿宋_GB2312" w:eastAsia="仿宋_GB2312"/>
        </w:rPr>
        <w:t>详见附件：9、详细评审---售后服务.docx</w:t>
      </w:r>
    </w:p>
    <w:p>
      <w:pPr>
        <w:pStyle w:val="null3"/>
        <w:ind w:firstLine="960"/>
      </w:pPr>
      <w:r>
        <w:rPr>
          <w:rFonts w:ascii="仿宋_GB2312" w:hAnsi="仿宋_GB2312" w:cs="仿宋_GB2312" w:eastAsia="仿宋_GB2312"/>
        </w:rPr>
        <w:t>详见附件：10、详细评审---业绩.docx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详见附件：1、详细评审---施工方案.docx</w:t>
      </w:r>
    </w:p>
    <w:p>
      <w:pPr>
        <w:pStyle w:val="null3"/>
        <w:ind w:firstLine="960"/>
      </w:pPr>
      <w:r>
        <w:rPr>
          <w:rFonts w:ascii="仿宋_GB2312" w:hAnsi="仿宋_GB2312" w:cs="仿宋_GB2312" w:eastAsia="仿宋_GB2312"/>
        </w:rPr>
        <w:t>详见附件：2、详细评审---施工进度及工期保障措施.docx</w:t>
      </w:r>
    </w:p>
    <w:p>
      <w:pPr>
        <w:pStyle w:val="null3"/>
        <w:ind w:firstLine="960"/>
      </w:pPr>
      <w:r>
        <w:rPr>
          <w:rFonts w:ascii="仿宋_GB2312" w:hAnsi="仿宋_GB2312" w:cs="仿宋_GB2312" w:eastAsia="仿宋_GB2312"/>
        </w:rPr>
        <w:t>详见附件：3、详细评审---施工质量保证措施.docx</w:t>
      </w:r>
    </w:p>
    <w:p>
      <w:pPr>
        <w:pStyle w:val="null3"/>
        <w:ind w:firstLine="960"/>
      </w:pPr>
      <w:r>
        <w:rPr>
          <w:rFonts w:ascii="仿宋_GB2312" w:hAnsi="仿宋_GB2312" w:cs="仿宋_GB2312" w:eastAsia="仿宋_GB2312"/>
        </w:rPr>
        <w:t>详见附件：4、详细评审---安全、文明施工技术组织措施.docx</w:t>
      </w:r>
    </w:p>
    <w:p>
      <w:pPr>
        <w:pStyle w:val="null3"/>
        <w:ind w:firstLine="960"/>
      </w:pPr>
      <w:r>
        <w:rPr>
          <w:rFonts w:ascii="仿宋_GB2312" w:hAnsi="仿宋_GB2312" w:cs="仿宋_GB2312" w:eastAsia="仿宋_GB2312"/>
        </w:rPr>
        <w:t>详见附件：5、详细评审---劳动力、施工设备配备和材料投入.docx</w:t>
      </w:r>
    </w:p>
    <w:p>
      <w:pPr>
        <w:pStyle w:val="null3"/>
        <w:ind w:firstLine="960"/>
      </w:pPr>
      <w:r>
        <w:rPr>
          <w:rFonts w:ascii="仿宋_GB2312" w:hAnsi="仿宋_GB2312" w:cs="仿宋_GB2312" w:eastAsia="仿宋_GB2312"/>
        </w:rPr>
        <w:t>详见附件：6、详细评审---项目组人员.docx</w:t>
      </w:r>
    </w:p>
    <w:p>
      <w:pPr>
        <w:pStyle w:val="null3"/>
        <w:ind w:firstLine="960"/>
      </w:pPr>
      <w:r>
        <w:rPr>
          <w:rFonts w:ascii="仿宋_GB2312" w:hAnsi="仿宋_GB2312" w:cs="仿宋_GB2312" w:eastAsia="仿宋_GB2312"/>
        </w:rPr>
        <w:t>详见附件：7、详细评审---应急措施.docx</w:t>
      </w:r>
    </w:p>
    <w:p>
      <w:pPr>
        <w:pStyle w:val="null3"/>
        <w:ind w:firstLine="960"/>
      </w:pPr>
      <w:r>
        <w:rPr>
          <w:rFonts w:ascii="仿宋_GB2312" w:hAnsi="仿宋_GB2312" w:cs="仿宋_GB2312" w:eastAsia="仿宋_GB2312"/>
        </w:rPr>
        <w:t>详见附件：8、详细评审---响应材料.docx</w:t>
      </w:r>
    </w:p>
    <w:p>
      <w:pPr>
        <w:pStyle w:val="null3"/>
        <w:ind w:firstLine="960"/>
      </w:pPr>
      <w:r>
        <w:rPr>
          <w:rFonts w:ascii="仿宋_GB2312" w:hAnsi="仿宋_GB2312" w:cs="仿宋_GB2312" w:eastAsia="仿宋_GB2312"/>
        </w:rPr>
        <w:t>详见附件：9、详细评审---售后服务.docx</w:t>
      </w:r>
    </w:p>
    <w:p>
      <w:pPr>
        <w:pStyle w:val="null3"/>
        <w:ind w:firstLine="960"/>
      </w:pPr>
      <w:r>
        <w:rPr>
          <w:rFonts w:ascii="仿宋_GB2312" w:hAnsi="仿宋_GB2312" w:cs="仿宋_GB2312" w:eastAsia="仿宋_GB2312"/>
        </w:rPr>
        <w:t>详见附件：10、详细评审---业绩.docx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