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E78A8">
      <w:pPr>
        <w:pStyle w:val="2"/>
        <w:widowControl w:val="0"/>
        <w:spacing w:line="360" w:lineRule="auto"/>
        <w:ind w:left="0" w:leftChars="0" w:firstLine="0" w:firstLineChars="0"/>
        <w:jc w:val="cente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拟签订采购合同文本</w:t>
      </w:r>
    </w:p>
    <w:p w14:paraId="4867442B">
      <w:pPr>
        <w:pStyle w:val="2"/>
        <w:widowControl w:val="0"/>
        <w:spacing w:line="360" w:lineRule="auto"/>
        <w:ind w:left="0" w:leftChars="0" w:firstLine="0" w:firstLineChars="0"/>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一、服务条件</w:t>
      </w:r>
    </w:p>
    <w:p w14:paraId="3CAEFE1D">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（一）服务地点：甲方指定地点。</w:t>
      </w:r>
    </w:p>
    <w:p w14:paraId="205765DF">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（二）服务期：自合同签订之日起至2027年7月31日。</w:t>
      </w:r>
    </w:p>
    <w:p w14:paraId="53EBCC7D">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（三）</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val="zh-CN"/>
        </w:rPr>
        <w:t>接受委托后不得再次转包或分包给第三方。</w:t>
      </w:r>
    </w:p>
    <w:p w14:paraId="1810C542">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（四）供餐内容及要求：详见</w:t>
      </w:r>
      <w:r>
        <w:rPr>
          <w:rFonts w:hint="eastAsia" w:ascii="宋体" w:hAnsi="宋体" w:eastAsia="宋体" w:cs="宋体"/>
          <w:color w:val="auto"/>
          <w:sz w:val="24"/>
          <w:szCs w:val="24"/>
          <w:highlight w:val="none"/>
        </w:rPr>
        <w:t>采购</w:t>
      </w:r>
      <w:r>
        <w:rPr>
          <w:rFonts w:hint="eastAsia" w:ascii="宋体" w:hAnsi="宋体" w:eastAsia="宋体" w:cs="宋体"/>
          <w:color w:val="auto"/>
          <w:sz w:val="24"/>
          <w:szCs w:val="24"/>
          <w:highlight w:val="none"/>
          <w:lang w:val="zh-CN"/>
        </w:rPr>
        <w:t>文件。</w:t>
      </w:r>
    </w:p>
    <w:p w14:paraId="566C3364">
      <w:pPr>
        <w:pStyle w:val="2"/>
        <w:widowControl w:val="0"/>
        <w:spacing w:line="360" w:lineRule="auto"/>
        <w:ind w:left="0" w:leftChars="0" w:firstLine="0" w:firstLineChars="0"/>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二、合同价款及款项结算</w:t>
      </w:r>
    </w:p>
    <w:p w14:paraId="0FFC68EF">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（一）合同总价为人民币（大写）_________小写：¥_________元。</w:t>
      </w:r>
    </w:p>
    <w:p w14:paraId="615257FD">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（二）费用结算：</w:t>
      </w:r>
    </w:p>
    <w:p w14:paraId="0D8774F0">
      <w:pPr>
        <w:pStyle w:val="2"/>
        <w:widowControl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1</w:t>
      </w:r>
      <w:r>
        <w:rPr>
          <w:rFonts w:hint="eastAsia" w:ascii="宋体" w:hAnsi="宋体" w:eastAsia="宋体" w:cs="宋体"/>
          <w:color w:val="auto"/>
          <w:sz w:val="24"/>
          <w:szCs w:val="24"/>
          <w:highlight w:val="none"/>
          <w:lang w:val="en-US" w:eastAsia="zh-CN"/>
        </w:rPr>
        <w:t>.按月支付，具体内容详见支付进度</w:t>
      </w:r>
    </w:p>
    <w:p w14:paraId="57594D77">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zh-CN"/>
        </w:rPr>
        <w:t>乙方根据每月考勤与就餐情况核算当月餐补金额。</w:t>
      </w:r>
    </w:p>
    <w:p w14:paraId="413417D0">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（三）支付进度：</w:t>
      </w:r>
    </w:p>
    <w:p w14:paraId="2D0B238F">
      <w:pPr>
        <w:pStyle w:val="2"/>
        <w:widowControl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每月费用=合同总价款/服务月数*90+上月度考核费用</w:t>
      </w:r>
    </w:p>
    <w:p w14:paraId="02937151">
      <w:pPr>
        <w:pStyle w:val="2"/>
        <w:widowControl w:val="0"/>
        <w:spacing w:line="360" w:lineRule="auto"/>
        <w:ind w:firstLine="480" w:firstLineChars="200"/>
        <w:rPr>
          <w:rFonts w:hint="eastAsia" w:ascii="宋体" w:hAnsi="宋体" w:eastAsia="宋体" w:cs="宋体"/>
          <w:color w:val="auto"/>
          <w:sz w:val="24"/>
          <w:szCs w:val="24"/>
          <w:highlight w:val="none"/>
          <w:lang w:val="zh-CN" w:eastAsia="zh-Hans"/>
        </w:rPr>
      </w:pPr>
      <w:r>
        <w:rPr>
          <w:rFonts w:hint="eastAsia" w:ascii="宋体" w:hAnsi="宋体" w:eastAsia="宋体" w:cs="宋体"/>
          <w:color w:val="auto"/>
          <w:sz w:val="24"/>
          <w:szCs w:val="24"/>
          <w:highlight w:val="none"/>
          <w:lang w:val="en-US" w:eastAsia="zh-Hans"/>
        </w:rPr>
        <w:t>月度考核费用的支付标准:服务期内每月度考评分数达到95以上，月度考核费用于次月全额支付:月度考评分数在85-95时，扣除月度考核费用的20%;月度考评分数在80-90时，扣除月度考核费用的50%;月度考评分数达到80以下时，扣除全部月度考核费</w:t>
      </w:r>
      <w:r>
        <w:rPr>
          <w:rFonts w:hint="eastAsia" w:ascii="宋体" w:hAnsi="宋体" w:eastAsia="宋体" w:cs="宋体"/>
          <w:color w:val="auto"/>
          <w:sz w:val="24"/>
          <w:szCs w:val="24"/>
          <w:highlight w:val="none"/>
          <w:lang w:val="en-US" w:eastAsia="zh-Hans"/>
        </w:rPr>
        <w:t>用</w:t>
      </w:r>
    </w:p>
    <w:p w14:paraId="235AD220">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（四）支付方式：银行转账。</w:t>
      </w:r>
    </w:p>
    <w:p w14:paraId="6E3BE9B1">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（五）结算方式：</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lang w:val="zh-CN"/>
        </w:rPr>
        <w:t>填写政府采购项目验收单（一式伍份），发票（按合同总价直开甲方），乙方持中标通知书、服务合同、正式发票、政府采购项目验收单，与甲方结算。</w:t>
      </w:r>
    </w:p>
    <w:p w14:paraId="0B8123DD">
      <w:pPr>
        <w:pStyle w:val="2"/>
        <w:widowControl w:val="0"/>
        <w:spacing w:line="360" w:lineRule="auto"/>
        <w:ind w:left="0" w:leftChars="0" w:firstLine="0" w:firstLineChars="0"/>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三、费用承担</w:t>
      </w:r>
    </w:p>
    <w:p w14:paraId="744992CC">
      <w:pPr>
        <w:pStyle w:val="2"/>
        <w:widowControl w:val="0"/>
        <w:spacing w:line="360" w:lineRule="auto"/>
        <w:ind w:left="0" w:leftChars="0" w:firstLine="0" w:firstLineChars="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（一）甲方承担费用</w:t>
      </w:r>
    </w:p>
    <w:p w14:paraId="4591A12F">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1．甲方临时性</w:t>
      </w:r>
      <w:r>
        <w:rPr>
          <w:rFonts w:hint="eastAsia" w:ascii="宋体" w:hAnsi="宋体" w:eastAsia="宋体" w:cs="宋体"/>
          <w:color w:val="auto"/>
          <w:sz w:val="24"/>
          <w:szCs w:val="24"/>
          <w:highlight w:val="none"/>
        </w:rPr>
        <w:t>活动产生的餐食费用</w:t>
      </w:r>
      <w:r>
        <w:rPr>
          <w:rFonts w:hint="eastAsia" w:ascii="宋体" w:hAnsi="宋体" w:eastAsia="宋体" w:cs="宋体"/>
          <w:color w:val="auto"/>
          <w:sz w:val="24"/>
          <w:szCs w:val="24"/>
          <w:highlight w:val="none"/>
          <w:lang w:val="zh-CN"/>
        </w:rPr>
        <w:t>用由甲方承担。</w:t>
      </w:r>
    </w:p>
    <w:p w14:paraId="7EE15253">
      <w:pPr>
        <w:pStyle w:val="2"/>
        <w:widowControl w:val="0"/>
        <w:spacing w:line="360" w:lineRule="auto"/>
        <w:ind w:left="0" w:leftChars="0" w:firstLine="0" w:firstLineChars="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（二）乙方承担费用</w:t>
      </w:r>
    </w:p>
    <w:p w14:paraId="25203A95">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1．乙方承担</w:t>
      </w:r>
      <w:r>
        <w:rPr>
          <w:rFonts w:hint="eastAsia" w:ascii="宋体" w:hAnsi="宋体" w:eastAsia="宋体" w:cs="宋体"/>
          <w:color w:val="auto"/>
          <w:sz w:val="24"/>
          <w:szCs w:val="24"/>
          <w:highlight w:val="none"/>
        </w:rPr>
        <w:t>西安市航天城第一中学</w:t>
      </w:r>
      <w:r>
        <w:rPr>
          <w:rFonts w:hint="eastAsia" w:ascii="宋体" w:hAnsi="宋体" w:eastAsia="宋体" w:cs="宋体"/>
          <w:color w:val="auto"/>
          <w:sz w:val="24"/>
          <w:szCs w:val="24"/>
          <w:highlight w:val="none"/>
          <w:lang w:val="zh-CN"/>
        </w:rPr>
        <w:t>餐厅米、面、油、肉类、冻货、蔬菜及调味品等原材料采购费用。</w:t>
      </w:r>
    </w:p>
    <w:p w14:paraId="6074267E">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2．乙方承担</w:t>
      </w:r>
      <w:r>
        <w:rPr>
          <w:rFonts w:hint="eastAsia" w:ascii="宋体" w:hAnsi="宋体" w:eastAsia="宋体" w:cs="宋体"/>
          <w:color w:val="auto"/>
          <w:sz w:val="24"/>
          <w:szCs w:val="24"/>
          <w:highlight w:val="none"/>
        </w:rPr>
        <w:t>西安市航天城第一中学</w:t>
      </w:r>
      <w:r>
        <w:rPr>
          <w:rFonts w:hint="eastAsia" w:ascii="宋体" w:hAnsi="宋体" w:eastAsia="宋体" w:cs="宋体"/>
          <w:color w:val="auto"/>
          <w:sz w:val="24"/>
          <w:szCs w:val="24"/>
          <w:highlight w:val="none"/>
          <w:lang w:val="zh-CN"/>
        </w:rPr>
        <w:t>餐厅工作人员劳务费用。</w:t>
      </w:r>
    </w:p>
    <w:p w14:paraId="62F58ABC">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3．乙方自行解决服务人员住宿问题。</w:t>
      </w:r>
    </w:p>
    <w:p w14:paraId="00D83BC5">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4．甲方免费提供现有餐厨设备，服务期内的设备维修、报废更新、设备添置及餐具小件购置均由乙方承担。</w:t>
      </w:r>
    </w:p>
    <w:p w14:paraId="0279B682">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5．冷（冻）库设施维修维保费用由乙方承担。</w:t>
      </w:r>
    </w:p>
    <w:p w14:paraId="125B46B6">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6．外卖和就餐者所需一次性打包餐具及餐厅低值易耗品配备费用由乙方承担。</w:t>
      </w:r>
    </w:p>
    <w:p w14:paraId="52B47CE8">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7．餐厅病媒防治工作由乙方聘请具有专业资质的公司实施，费用由乙方承担。</w:t>
      </w:r>
    </w:p>
    <w:p w14:paraId="7128B817">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8．餐厅工作人员业务培训费用由乙方承担。</w:t>
      </w:r>
    </w:p>
    <w:p w14:paraId="422B50C7">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9．乙方自我宣传的相关费用由乙方承担。</w:t>
      </w:r>
    </w:p>
    <w:p w14:paraId="12C6B70A">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zh-CN"/>
        </w:rPr>
        <w:t>．甲方要求制作的餐厅宣传展板及标识等所产生的费用由乙方承担。</w:t>
      </w:r>
    </w:p>
    <w:p w14:paraId="6C68BED1">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11.垃圾清运费用由</w:t>
      </w:r>
      <w:r>
        <w:rPr>
          <w:rFonts w:hint="eastAsia" w:ascii="宋体" w:hAnsi="宋体" w:eastAsia="宋体" w:cs="宋体"/>
          <w:color w:val="auto"/>
          <w:sz w:val="24"/>
          <w:szCs w:val="24"/>
          <w:highlight w:val="none"/>
          <w:lang w:val="zh-CN"/>
        </w:rPr>
        <w:t>乙方承担。</w:t>
      </w:r>
    </w:p>
    <w:p w14:paraId="096D3D02">
      <w:pPr>
        <w:pStyle w:val="2"/>
        <w:widowControl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12.水、电、燃气费用由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承担。</w:t>
      </w:r>
    </w:p>
    <w:p w14:paraId="3ECA2A8D">
      <w:pPr>
        <w:pStyle w:val="2"/>
        <w:widowControl w:val="0"/>
        <w:spacing w:line="360" w:lineRule="auto"/>
        <w:ind w:left="0" w:leftChars="0" w:firstLine="0" w:firstLineChars="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四、安全生产</w:t>
      </w:r>
    </w:p>
    <w:p w14:paraId="6CCF3F3B">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为确保双方签订的《业务承包合同》安全、高效的履行，切实搞好</w:t>
      </w:r>
      <w:r>
        <w:rPr>
          <w:rFonts w:hint="eastAsia" w:ascii="宋体" w:hAnsi="宋体" w:eastAsia="宋体" w:cs="宋体"/>
          <w:color w:val="auto"/>
          <w:sz w:val="24"/>
          <w:szCs w:val="24"/>
          <w:highlight w:val="none"/>
        </w:rPr>
        <w:t>西安市航天城第一中学</w:t>
      </w:r>
      <w:r>
        <w:rPr>
          <w:rFonts w:hint="eastAsia" w:ascii="宋体" w:hAnsi="宋体" w:eastAsia="宋体" w:cs="宋体"/>
          <w:color w:val="auto"/>
          <w:sz w:val="24"/>
          <w:szCs w:val="24"/>
          <w:highlight w:val="none"/>
          <w:lang w:val="zh-CN"/>
        </w:rPr>
        <w:t>餐厅餐饮服务工作的安全管理，</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val="zh-CN"/>
        </w:rPr>
        <w:t>乙方应与甲方签订安全生产服务合同，详见合同附件。</w:t>
      </w:r>
    </w:p>
    <w:p w14:paraId="65B9BCBB">
      <w:pPr>
        <w:pStyle w:val="2"/>
        <w:widowControl w:val="0"/>
        <w:spacing w:line="360" w:lineRule="auto"/>
        <w:ind w:left="0" w:leftChars="0" w:firstLine="0" w:firstLineChars="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五、验收</w:t>
      </w:r>
    </w:p>
    <w:p w14:paraId="218A4D58">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（一）服务期满后，甲方根据合同要求，进行验收。验收合格后，填写政府采购项目验收单（一式伍份）作为对项目的最终认可。</w:t>
      </w:r>
    </w:p>
    <w:p w14:paraId="51C5E2AA">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（二）验收依据</w:t>
      </w:r>
    </w:p>
    <w:p w14:paraId="2F95685A">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w:t>
      </w:r>
      <w:r>
        <w:rPr>
          <w:rFonts w:hint="eastAsia" w:ascii="宋体" w:hAnsi="宋体" w:eastAsia="宋体" w:cs="宋体"/>
          <w:color w:val="auto"/>
          <w:sz w:val="24"/>
          <w:szCs w:val="24"/>
          <w:highlight w:val="none"/>
        </w:rPr>
        <w:t>采购</w:t>
      </w:r>
      <w:r>
        <w:rPr>
          <w:rFonts w:hint="eastAsia" w:ascii="宋体" w:hAnsi="宋体" w:eastAsia="宋体" w:cs="宋体"/>
          <w:color w:val="auto"/>
          <w:sz w:val="24"/>
          <w:szCs w:val="24"/>
          <w:highlight w:val="none"/>
          <w:lang w:val="zh-CN"/>
        </w:rPr>
        <w:t>文件、</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文件、澄清表（函）；</w:t>
      </w:r>
    </w:p>
    <w:p w14:paraId="11D1214F">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2、本合同及附件文本；</w:t>
      </w:r>
    </w:p>
    <w:p w14:paraId="1EF79AA9">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3、国家相应的标准、规范。</w:t>
      </w:r>
    </w:p>
    <w:p w14:paraId="1BF4F966">
      <w:pPr>
        <w:pStyle w:val="2"/>
        <w:widowControl w:val="0"/>
        <w:spacing w:line="360" w:lineRule="auto"/>
        <w:ind w:left="0" w:leftChars="0" w:firstLine="0" w:firstLineChars="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六、双方的权利和义务</w:t>
      </w:r>
    </w:p>
    <w:p w14:paraId="201073C8">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（一）甲方权利与义务</w:t>
      </w:r>
    </w:p>
    <w:p w14:paraId="32367C33">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1、甲方的权利</w:t>
      </w:r>
    </w:p>
    <w:p w14:paraId="6F47815F">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①甲方有权对乙方的服务业务，按照考核标准进行监督、检查和考核，并适时对考核办法及评分细则进行修订。乙方在年度内2次综合满意率不达标或出现严重事故，甲方有权终止合同，乙方不得有任何异议。</w:t>
      </w:r>
    </w:p>
    <w:p w14:paraId="253B1957">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②甲方有权对乙方的各类采购食材质量和价格进行核审，质量不得低于大型超市同类产品，价格不得高于大型超市团购价格（含运送费）。对乙方食材采购价格超过大型超市团购价格的，甲方有权按大型超市同类产品团购价格核审执行或要求改变进货渠道，并予以相应处罚。</w:t>
      </w:r>
    </w:p>
    <w:p w14:paraId="6747F3F2">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③甲方有权对乙方服务过程中存在的问题提出整改意见和要求，并监督其执行，对执行整改不力，甲方有权进行经济处罚，处罚额度由甲方制定。</w:t>
      </w:r>
    </w:p>
    <w:p w14:paraId="4E6686D8">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④甲方有权要求乙方严格执行安全生产标准，遵守安全操作规章制度、并对乙方履行安全操作职责情况进行监督、考核，并根据考核结果减扣包厨费用的权利。</w:t>
      </w:r>
    </w:p>
    <w:p w14:paraId="4E4FF6F1">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⑤发生事故后，甲方有权根据有关规定组织、参与事故的调查，有权对乙方事故进行统计上报，对隐情不报或弄虚作假的，甲方有减扣包厨费用的权利。</w:t>
      </w:r>
    </w:p>
    <w:p w14:paraId="6CC159A9">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⑥按照国家的有关规定,甲方有权要求乙方员工持证上岗，如有违反，甲方有权减扣乙方包厨费用。甲方有权检查监督乙方员工配备数量和厨师等级证等,并根据考核办法对违反情况做出相应经济处罚，处罚额度由甲方制定。</w:t>
      </w:r>
    </w:p>
    <w:p w14:paraId="509987A1">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⑦甲方有权对乙方员工随时进行身体健康证检查，对乙方违反规定无证上岗人员有权责成立即辞退，并对乙方进行经济处罚，处罚额度由甲方制定。</w:t>
      </w:r>
    </w:p>
    <w:p w14:paraId="2CF5003C">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⑧甲方有权对乙方使用宿舍进行安全检查和人员住宿情况进行核实，乙方须提供个人入住名单报甲方审核，按甲方分配方案进行入住，不得私自随意乱调配。对违反住宿管理规定的，甲方有权取消居住权，并进行相应经济处罚，处罚额度由甲方制定。</w:t>
      </w:r>
    </w:p>
    <w:p w14:paraId="4E16C1FB">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⑨甲方有权根据对乙方配备人员进行考勤登记检查。</w:t>
      </w:r>
    </w:p>
    <w:p w14:paraId="5A1C9F43">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⑩甲方有权对配属给乙方的各种库房、办公室、宿舍等保障用房安全情况、办公环境、住宿环境、库房管理、物品摆放等进行检查。乙方须按甲方管理规定和要求，做好使用管理，确保秩序正规。违反规定的甲方有权限期责令整改。</w:t>
      </w:r>
    </w:p>
    <w:p w14:paraId="1716A875">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2、甲方的义务</w:t>
      </w:r>
    </w:p>
    <w:p w14:paraId="5B493F2F">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①为乙方派遣人员提供符合国家安全、卫生标准的住宿、办公及工作场所。</w:t>
      </w:r>
    </w:p>
    <w:p w14:paraId="2409CE22">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②负责按照结算方式、结算时间、考核结果向乙方支付乙方相关服务费用。</w:t>
      </w:r>
    </w:p>
    <w:p w14:paraId="2735C2F3">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③协助乙方处理紧急、突发事件。</w:t>
      </w:r>
    </w:p>
    <w:p w14:paraId="54849A86">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（二）乙方的权利和义务</w:t>
      </w:r>
    </w:p>
    <w:p w14:paraId="7E28F3FF">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1、乙方的权利</w:t>
      </w:r>
    </w:p>
    <w:p w14:paraId="04257E5E">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①乙方有权要求甲方按合同约定和考核结果，及时支付相关服务费用。</w:t>
      </w:r>
    </w:p>
    <w:p w14:paraId="2D6D9206">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②对甲方的违规指挥、强令冒险作业，有权拒绝执行。对由此而产生的打击报复行为，有权向上级或有关部门举报。</w:t>
      </w:r>
    </w:p>
    <w:p w14:paraId="5F87BAA8">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③乙方有权按照合同约定，要求甲方提供可保证正常工作的条件和环境。有权要求甲方提供必要的办公室及员工生活住宿条件。</w:t>
      </w:r>
    </w:p>
    <w:p w14:paraId="7510ADFF">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2、乙方的义务</w:t>
      </w:r>
    </w:p>
    <w:p w14:paraId="1BF01037">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①乙方要严格遵守甲方的各项规章制度和其它行为规范。</w:t>
      </w:r>
    </w:p>
    <w:p w14:paraId="63AADC21">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②乙方须按合同要求足额配齐各级厨师等服务保障人员，向甲方提交相关证件复印件备查。</w:t>
      </w:r>
    </w:p>
    <w:p w14:paraId="2CCBC923">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③乙方应爱惜厨灶、厨具、餐具和各类设施设备，认真做好好日常维护保养，严格操作规程，不得违规操作。设施设备维修实行责任制，做到谁使用、谁负责，谁损坏、谁维修。</w:t>
      </w:r>
    </w:p>
    <w:p w14:paraId="20F013D1">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④乙方应依法用工，及时足额支付劳动报酬，并独立承担由此引发的劳资纠纷，甲方不承担任何责任。</w:t>
      </w:r>
    </w:p>
    <w:p w14:paraId="3534F312">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⑤乙方负责餐厅病媒防治所产生的全部费用，具体实施由甲方监督执行，凡不符合病媒防治工作标准要求或达不到病媒防治效果的，甲方有权终止乙方进行病媒防治工作。</w:t>
      </w:r>
    </w:p>
    <w:p w14:paraId="4B5DD194">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⑥乙方必须制定安全生产事故应急预案、急救预案和紧急事故处置预案并报甲方留存备案。</w:t>
      </w:r>
    </w:p>
    <w:p w14:paraId="693E0503">
      <w:pPr>
        <w:pStyle w:val="2"/>
        <w:widowControl w:val="0"/>
        <w:spacing w:line="360" w:lineRule="auto"/>
        <w:ind w:left="0" w:leftChars="0" w:firstLine="0" w:firstLineChars="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七、争议的解决</w:t>
      </w:r>
    </w:p>
    <w:p w14:paraId="0B5333A9">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本合同履行过程中发生争议时，双方应协商解决。协商不成的，按下列第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lang w:val="zh-CN"/>
        </w:rPr>
        <w:t>种方式解决。</w:t>
      </w:r>
    </w:p>
    <w:p w14:paraId="11F19FA2">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1、提交西安仲裁委员会仲裁；</w:t>
      </w:r>
    </w:p>
    <w:p w14:paraId="7D85B708">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2、依法向甲方所在地人民法院起诉。</w:t>
      </w:r>
    </w:p>
    <w:p w14:paraId="0DCB9C0E">
      <w:pPr>
        <w:pStyle w:val="2"/>
        <w:widowControl w:val="0"/>
        <w:spacing w:line="360" w:lineRule="auto"/>
        <w:ind w:left="0" w:leftChars="0" w:firstLine="0" w:firstLineChars="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八、违约责任</w:t>
      </w:r>
    </w:p>
    <w:p w14:paraId="572E7929">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1、本合同期限未满，一方要求终止合同的，应按照合同约定和国家有关规定解除合同，并赔偿由此给对方造成的经济损失。</w:t>
      </w:r>
    </w:p>
    <w:p w14:paraId="2CEAFCF4">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2、当事人一方不履行或不完全按合同约定履行其义务的，视为违约，应承担违约责任，并支付合同总额5%的违约金。</w:t>
      </w:r>
    </w:p>
    <w:p w14:paraId="4DF6D510">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3、由于一方违反合同约定，违章指挥（操作）导致责任事故，给对方造成经济损失的，应赔偿对方全部直接经济损失。</w:t>
      </w:r>
    </w:p>
    <w:p w14:paraId="1158980A">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4、因国家建设或不可抗力因素导致设施损坏或造成损失时，双方互不承担责任。</w:t>
      </w:r>
    </w:p>
    <w:p w14:paraId="0ECD6737">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5、除本合同约定外，双方任何一方不得提前解除或终止本合同，否则应支付对方合同金额的5%作为违约金。</w:t>
      </w:r>
    </w:p>
    <w:p w14:paraId="78FD6991">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6、其他违约责任由双方在签订合同时另行商定。</w:t>
      </w:r>
    </w:p>
    <w:p w14:paraId="2CC7CF8C">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0871E8AF">
      <w:pPr>
        <w:pStyle w:val="2"/>
        <w:widowControl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乙方不能按照管理制度完成管理目标，甲方有权要求乙方限期整改，经甲方书面函告逾期未整改的，每逾1日甲方将扣除乙方2000元的违约金，并在当月餐饮管理服务费用中扣除；且因此造成甲方经济损失，由乙方承担；情形严重时，甲方有权终止合同。</w:t>
      </w:r>
    </w:p>
    <w:p w14:paraId="14F8253E">
      <w:pPr>
        <w:pStyle w:val="2"/>
        <w:widowControl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制定质量保证体系，切实做好项目餐饮管理服务工作，餐饮人员必须各尽其职，保证符合各项工作质量要求，如安排不当、人员不能到位严重影响甲方正常工作的，且经过甲方书面函告仍未改正的，按2000元/次给予经济处罚，并在当月餐饮管理服务费用中扣除。</w:t>
      </w:r>
    </w:p>
    <w:p w14:paraId="0EB980B0">
      <w:pPr>
        <w:pStyle w:val="2"/>
        <w:widowControl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甲方对乙方提供的餐饮服务工作进行质量检查、考核。对工作表现差的员工提出更换（包括项目内各级管理员和员工），乙方须于及时调换人员。项目经理必须服从采购单位提出的合理要求。</w:t>
      </w:r>
    </w:p>
    <w:p w14:paraId="7D8A8626">
      <w:pPr>
        <w:pStyle w:val="2"/>
        <w:widowControl w:val="0"/>
        <w:spacing w:line="360" w:lineRule="auto"/>
        <w:ind w:left="0" w:leftChars="0" w:firstLine="0" w:firstLineChars="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九、合同的终止、变更和解除</w:t>
      </w:r>
    </w:p>
    <w:p w14:paraId="46495212">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1、本合同期满后，自行终止。</w:t>
      </w:r>
    </w:p>
    <w:p w14:paraId="05DE5688">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2、本合同有效期内，双方应认真履行合同内容。确因形势发生变化，一方需要变更或终止合同，须提前30日以书面形式向对方提出请求，经双方协商同意后，可以变更或解除合同。</w:t>
      </w:r>
    </w:p>
    <w:p w14:paraId="3DAA58A7">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3、在合同执行期，因发生不可抗力致使合同无法继续履行，双方可协商处理。</w:t>
      </w:r>
    </w:p>
    <w:p w14:paraId="4B17CFD1">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4、因一方不履行合同义务给对方造成损失的，责任方应向对方赔偿损失。</w:t>
      </w:r>
    </w:p>
    <w:p w14:paraId="6B8C53E6">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5、下列情形之一的，本合同的权利、义务终止：</w:t>
      </w:r>
    </w:p>
    <w:p w14:paraId="017B89A2">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（1）合同已经按约定履行完毕的；</w:t>
      </w:r>
    </w:p>
    <w:p w14:paraId="7B5BAEB1">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（2）双方协商一致解除合同的；</w:t>
      </w:r>
    </w:p>
    <w:p w14:paraId="0749A7E7">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（3）其他约定的终止条件出现的。</w:t>
      </w:r>
    </w:p>
    <w:p w14:paraId="2FBB01A4">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6、有下列情形之一的，双方可解除本合同：</w:t>
      </w:r>
    </w:p>
    <w:p w14:paraId="343AB750">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（1）因不可抗力，致使不能实现合同目的；</w:t>
      </w:r>
    </w:p>
    <w:p w14:paraId="4B973D85">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（2）因一方原因致使合同不能继续履行；</w:t>
      </w:r>
    </w:p>
    <w:p w14:paraId="041FFFC5">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（3）双方协商一致。</w:t>
      </w:r>
    </w:p>
    <w:p w14:paraId="5AA3E3FC">
      <w:pPr>
        <w:pStyle w:val="2"/>
        <w:widowControl w:val="0"/>
        <w:spacing w:line="360" w:lineRule="auto"/>
        <w:ind w:left="0" w:leftChars="0" w:firstLine="0" w:firstLineChars="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十、合同生效及其他</w:t>
      </w:r>
    </w:p>
    <w:p w14:paraId="5C6E15F5">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1、本合同自签订之日起生效。</w:t>
      </w:r>
    </w:p>
    <w:p w14:paraId="064D48ED">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2、合同一式</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zh-CN"/>
        </w:rPr>
        <w:t>份，甲方、</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各执</w:t>
      </w:r>
      <w:r>
        <w:rPr>
          <w:rFonts w:hint="eastAsia" w:ascii="宋体" w:hAnsi="宋体" w:eastAsia="宋体" w:cs="宋体"/>
          <w:color w:val="auto"/>
          <w:sz w:val="24"/>
          <w:szCs w:val="24"/>
          <w:highlight w:val="none"/>
          <w:lang w:val="zh-CN"/>
        </w:rPr>
        <w:t>2份。</w:t>
      </w:r>
    </w:p>
    <w:p w14:paraId="5DF3554F">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3、本合同内容与国家新颁布的法律、法规和政策规定发生冲突时，以新的法律、法规和政策规定为准。</w:t>
      </w:r>
    </w:p>
    <w:p w14:paraId="5B1C8DCA">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4、本合同未尽事宜，经双方协商一致后，可另行签订补充协议，补充协议与本合同不一致处，以补充协议为准。</w:t>
      </w:r>
    </w:p>
    <w:p w14:paraId="71787345">
      <w:pPr>
        <w:pStyle w:val="2"/>
        <w:widowControl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5、合同附件是合同的组成部分，具有同等法律效</w:t>
      </w:r>
      <w:bookmarkStart w:id="0" w:name="_GoBack"/>
      <w:bookmarkEnd w:id="0"/>
      <w:r>
        <w:rPr>
          <w:rFonts w:hint="eastAsia" w:ascii="宋体" w:hAnsi="宋体" w:eastAsia="宋体" w:cs="宋体"/>
          <w:color w:val="auto"/>
          <w:sz w:val="24"/>
          <w:szCs w:val="24"/>
          <w:highlight w:val="none"/>
          <w:lang w:val="zh-CN"/>
        </w:rPr>
        <w:t>力。</w:t>
      </w:r>
    </w:p>
    <w:p w14:paraId="34EB05B1">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w:t>
      </w:r>
    </w:p>
    <w:p w14:paraId="3746393C">
      <w:pPr>
        <w:snapToGrid w:val="0"/>
        <w:spacing w:line="360" w:lineRule="auto"/>
        <w:ind w:firstLine="480" w:firstLineChars="200"/>
        <w:rPr>
          <w:rFonts w:hint="eastAsia" w:ascii="宋体" w:hAnsi="宋体" w:eastAsia="宋体" w:cs="宋体"/>
          <w:color w:val="auto"/>
          <w:sz w:val="24"/>
          <w:szCs w:val="24"/>
          <w:highlight w:val="none"/>
        </w:rPr>
      </w:pPr>
    </w:p>
    <w:tbl>
      <w:tblPr>
        <w:tblStyle w:val="3"/>
        <w:tblW w:w="86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03"/>
        <w:gridCol w:w="4719"/>
      </w:tblGrid>
      <w:tr w14:paraId="55CE27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3903" w:type="dxa"/>
            <w:vAlign w:val="center"/>
          </w:tcPr>
          <w:p w14:paraId="1C0E75C9">
            <w:pPr>
              <w:pStyle w:val="5"/>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pacing w:val="-19"/>
                <w:sz w:val="24"/>
                <w:szCs w:val="24"/>
                <w:highlight w:val="none"/>
              </w:rPr>
              <w:t>甲</w:t>
            </w: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19"/>
                <w:sz w:val="24"/>
                <w:szCs w:val="24"/>
                <w:highlight w:val="none"/>
              </w:rPr>
              <w:t>方</w:t>
            </w:r>
          </w:p>
        </w:tc>
        <w:tc>
          <w:tcPr>
            <w:tcW w:w="4719" w:type="dxa"/>
            <w:vAlign w:val="center"/>
          </w:tcPr>
          <w:p w14:paraId="71C96254">
            <w:pPr>
              <w:pStyle w:val="5"/>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pacing w:val="-13"/>
                <w:sz w:val="24"/>
                <w:szCs w:val="24"/>
                <w:highlight w:val="none"/>
              </w:rPr>
              <w:t>乙</w:t>
            </w:r>
            <w:r>
              <w:rPr>
                <w:rFonts w:hint="eastAsia" w:ascii="宋体" w:hAnsi="宋体" w:eastAsia="宋体" w:cs="宋体"/>
                <w:color w:val="auto"/>
                <w:spacing w:val="3"/>
                <w:sz w:val="24"/>
                <w:szCs w:val="24"/>
                <w:highlight w:val="none"/>
              </w:rPr>
              <w:t xml:space="preserve">  </w:t>
            </w:r>
            <w:r>
              <w:rPr>
                <w:rFonts w:hint="eastAsia" w:ascii="宋体" w:hAnsi="宋体" w:eastAsia="宋体" w:cs="宋体"/>
                <w:color w:val="auto"/>
                <w:spacing w:val="-13"/>
                <w:sz w:val="24"/>
                <w:szCs w:val="24"/>
                <w:highlight w:val="none"/>
              </w:rPr>
              <w:t>方</w:t>
            </w:r>
          </w:p>
        </w:tc>
      </w:tr>
      <w:tr w14:paraId="1C1C2B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8" w:hRule="atLeast"/>
        </w:trPr>
        <w:tc>
          <w:tcPr>
            <w:tcW w:w="3903" w:type="dxa"/>
            <w:vAlign w:val="center"/>
          </w:tcPr>
          <w:p w14:paraId="60C2C4F0">
            <w:pPr>
              <w:pStyle w:val="5"/>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名称</w:t>
            </w:r>
          </w:p>
          <w:p w14:paraId="2B0A1D3B">
            <w:pPr>
              <w:pStyle w:val="5"/>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（西安市航天城第一中学）</w:t>
            </w:r>
          </w:p>
          <w:p w14:paraId="3E102571">
            <w:pPr>
              <w:pStyle w:val="5"/>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4"/>
                <w:sz w:val="24"/>
                <w:szCs w:val="24"/>
                <w:highlight w:val="none"/>
                <w:lang w:eastAsia="zh-CN"/>
              </w:rPr>
              <w:t>（盖章）</w:t>
            </w:r>
          </w:p>
        </w:tc>
        <w:tc>
          <w:tcPr>
            <w:tcW w:w="4719" w:type="dxa"/>
            <w:vAlign w:val="center"/>
          </w:tcPr>
          <w:p w14:paraId="0C79450F">
            <w:pPr>
              <w:pStyle w:val="5"/>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全称</w:t>
            </w:r>
          </w:p>
          <w:p w14:paraId="235AFE3C">
            <w:pPr>
              <w:pStyle w:val="5"/>
              <w:spacing w:line="360" w:lineRule="auto"/>
              <w:jc w:val="center"/>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w:t>
            </w:r>
          </w:p>
          <w:p w14:paraId="74D7F698">
            <w:pPr>
              <w:pStyle w:val="5"/>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4"/>
                <w:sz w:val="24"/>
                <w:szCs w:val="24"/>
                <w:highlight w:val="none"/>
                <w:lang w:eastAsia="zh-CN"/>
              </w:rPr>
              <w:t>（盖章）</w:t>
            </w:r>
          </w:p>
        </w:tc>
      </w:tr>
      <w:tr w14:paraId="378130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3903" w:type="dxa"/>
            <w:vAlign w:val="center"/>
          </w:tcPr>
          <w:p w14:paraId="7FB4A7E4">
            <w:pPr>
              <w:pStyle w:val="5"/>
              <w:spacing w:line="360" w:lineRule="auto"/>
              <w:ind w:left="117"/>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3"/>
                <w:sz w:val="24"/>
                <w:szCs w:val="24"/>
                <w:highlight w:val="none"/>
                <w:lang w:eastAsia="zh-CN"/>
              </w:rPr>
              <w:t>地址：西安市航天基地航拓路1666号</w:t>
            </w:r>
          </w:p>
        </w:tc>
        <w:tc>
          <w:tcPr>
            <w:tcW w:w="4719" w:type="dxa"/>
            <w:vAlign w:val="center"/>
          </w:tcPr>
          <w:p w14:paraId="5099CE03">
            <w:pPr>
              <w:pStyle w:val="5"/>
              <w:spacing w:line="360" w:lineRule="auto"/>
              <w:ind w:left="114"/>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3"/>
                <w:sz w:val="24"/>
                <w:szCs w:val="24"/>
                <w:highlight w:val="none"/>
                <w:lang w:eastAsia="zh-CN"/>
              </w:rPr>
              <w:t>地址：</w:t>
            </w:r>
          </w:p>
        </w:tc>
      </w:tr>
      <w:tr w14:paraId="12CF3E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3903" w:type="dxa"/>
            <w:vAlign w:val="center"/>
          </w:tcPr>
          <w:p w14:paraId="722B3EDA">
            <w:pPr>
              <w:pStyle w:val="5"/>
              <w:spacing w:line="360" w:lineRule="auto"/>
              <w:ind w:left="133"/>
              <w:jc w:val="both"/>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邮编：</w:t>
            </w:r>
          </w:p>
        </w:tc>
        <w:tc>
          <w:tcPr>
            <w:tcW w:w="4719" w:type="dxa"/>
            <w:vAlign w:val="center"/>
          </w:tcPr>
          <w:p w14:paraId="00172411">
            <w:pPr>
              <w:pStyle w:val="5"/>
              <w:spacing w:line="360" w:lineRule="auto"/>
              <w:ind w:left="13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8"/>
                <w:sz w:val="24"/>
                <w:szCs w:val="24"/>
                <w:highlight w:val="none"/>
              </w:rPr>
              <w:t>邮编：</w:t>
            </w:r>
          </w:p>
        </w:tc>
      </w:tr>
      <w:tr w14:paraId="61661D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3903" w:type="dxa"/>
            <w:vAlign w:val="center"/>
          </w:tcPr>
          <w:p w14:paraId="33A9E34B">
            <w:pPr>
              <w:pStyle w:val="5"/>
              <w:spacing w:line="360" w:lineRule="auto"/>
              <w:ind w:left="118"/>
              <w:jc w:val="both"/>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法定代表人：</w:t>
            </w:r>
          </w:p>
        </w:tc>
        <w:tc>
          <w:tcPr>
            <w:tcW w:w="4719" w:type="dxa"/>
            <w:vAlign w:val="center"/>
          </w:tcPr>
          <w:p w14:paraId="1781960D">
            <w:pPr>
              <w:pStyle w:val="5"/>
              <w:spacing w:line="360" w:lineRule="auto"/>
              <w:ind w:left="114"/>
              <w:jc w:val="both"/>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法定代表人：</w:t>
            </w:r>
          </w:p>
        </w:tc>
      </w:tr>
      <w:tr w14:paraId="2E7277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3903" w:type="dxa"/>
            <w:vAlign w:val="center"/>
          </w:tcPr>
          <w:p w14:paraId="25961511">
            <w:pPr>
              <w:pStyle w:val="5"/>
              <w:spacing w:line="360" w:lineRule="auto"/>
              <w:ind w:left="117"/>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3"/>
                <w:sz w:val="24"/>
                <w:szCs w:val="24"/>
                <w:highlight w:val="none"/>
                <w:lang w:eastAsia="zh-CN"/>
              </w:rPr>
              <w:t>被授权代表</w:t>
            </w:r>
            <w:r>
              <w:rPr>
                <w:rFonts w:hint="eastAsia" w:ascii="宋体" w:hAnsi="宋体" w:eastAsia="宋体" w:cs="宋体"/>
                <w:color w:val="auto"/>
                <w:spacing w:val="-17"/>
                <w:sz w:val="24"/>
                <w:szCs w:val="24"/>
                <w:highlight w:val="none"/>
                <w:lang w:eastAsia="zh-CN"/>
              </w:rPr>
              <w:t>：（</w:t>
            </w:r>
            <w:r>
              <w:rPr>
                <w:rFonts w:hint="eastAsia" w:ascii="宋体" w:hAnsi="宋体" w:eastAsia="宋体" w:cs="宋体"/>
                <w:color w:val="auto"/>
                <w:spacing w:val="3"/>
                <w:sz w:val="24"/>
                <w:szCs w:val="24"/>
                <w:highlight w:val="none"/>
                <w:lang w:eastAsia="zh-CN"/>
              </w:rPr>
              <w:t>签字）</w:t>
            </w:r>
          </w:p>
        </w:tc>
        <w:tc>
          <w:tcPr>
            <w:tcW w:w="4719" w:type="dxa"/>
            <w:vAlign w:val="center"/>
          </w:tcPr>
          <w:p w14:paraId="09B2E11B">
            <w:pPr>
              <w:pStyle w:val="5"/>
              <w:spacing w:line="360" w:lineRule="auto"/>
              <w:ind w:left="114"/>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3"/>
                <w:sz w:val="24"/>
                <w:szCs w:val="24"/>
                <w:highlight w:val="none"/>
                <w:lang w:eastAsia="zh-CN"/>
              </w:rPr>
              <w:t>被授权代表</w:t>
            </w:r>
            <w:r>
              <w:rPr>
                <w:rFonts w:hint="eastAsia" w:ascii="宋体" w:hAnsi="宋体" w:eastAsia="宋体" w:cs="宋体"/>
                <w:color w:val="auto"/>
                <w:spacing w:val="-17"/>
                <w:sz w:val="24"/>
                <w:szCs w:val="24"/>
                <w:highlight w:val="none"/>
                <w:lang w:eastAsia="zh-CN"/>
              </w:rPr>
              <w:t>：（</w:t>
            </w:r>
            <w:r>
              <w:rPr>
                <w:rFonts w:hint="eastAsia" w:ascii="宋体" w:hAnsi="宋体" w:eastAsia="宋体" w:cs="宋体"/>
                <w:color w:val="auto"/>
                <w:spacing w:val="3"/>
                <w:sz w:val="24"/>
                <w:szCs w:val="24"/>
                <w:highlight w:val="none"/>
                <w:lang w:eastAsia="zh-CN"/>
              </w:rPr>
              <w:t>签字）</w:t>
            </w:r>
          </w:p>
        </w:tc>
      </w:tr>
      <w:tr w14:paraId="3BE5F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3903" w:type="dxa"/>
            <w:vAlign w:val="center"/>
          </w:tcPr>
          <w:p w14:paraId="7861B656">
            <w:pPr>
              <w:pStyle w:val="5"/>
              <w:spacing w:line="360" w:lineRule="auto"/>
              <w:ind w:left="143"/>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11"/>
                <w:sz w:val="24"/>
                <w:szCs w:val="24"/>
                <w:highlight w:val="none"/>
              </w:rPr>
              <w:t>电话：</w:t>
            </w:r>
            <w:r>
              <w:rPr>
                <w:rFonts w:hint="eastAsia" w:ascii="宋体" w:hAnsi="宋体" w:eastAsia="宋体" w:cs="宋体"/>
                <w:color w:val="auto"/>
                <w:spacing w:val="-11"/>
                <w:sz w:val="24"/>
                <w:szCs w:val="24"/>
                <w:highlight w:val="none"/>
                <w:lang w:eastAsia="zh-CN"/>
              </w:rPr>
              <w:t>0298</w:t>
            </w:r>
            <w:r>
              <w:rPr>
                <w:rFonts w:hint="eastAsia" w:ascii="宋体" w:hAnsi="宋体" w:eastAsia="宋体" w:cs="宋体"/>
                <w:color w:val="auto"/>
                <w:spacing w:val="-11"/>
                <w:sz w:val="24"/>
                <w:szCs w:val="24"/>
                <w:highlight w:val="none"/>
                <w:lang w:val="en-US" w:eastAsia="zh-CN"/>
              </w:rPr>
              <w:t>-</w:t>
            </w:r>
            <w:r>
              <w:rPr>
                <w:rFonts w:hint="eastAsia" w:ascii="宋体" w:hAnsi="宋体" w:eastAsia="宋体" w:cs="宋体"/>
                <w:color w:val="auto"/>
                <w:spacing w:val="-11"/>
                <w:sz w:val="24"/>
                <w:szCs w:val="24"/>
                <w:highlight w:val="none"/>
                <w:lang w:eastAsia="zh-CN"/>
              </w:rPr>
              <w:t>5831666</w:t>
            </w:r>
          </w:p>
        </w:tc>
        <w:tc>
          <w:tcPr>
            <w:tcW w:w="4719" w:type="dxa"/>
            <w:vAlign w:val="center"/>
          </w:tcPr>
          <w:p w14:paraId="579CF814">
            <w:pPr>
              <w:pStyle w:val="5"/>
              <w:spacing w:line="360" w:lineRule="auto"/>
              <w:ind w:left="139"/>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11"/>
                <w:sz w:val="24"/>
                <w:szCs w:val="24"/>
                <w:highlight w:val="none"/>
              </w:rPr>
              <w:t>电话：</w:t>
            </w:r>
          </w:p>
        </w:tc>
      </w:tr>
      <w:tr w14:paraId="3466D2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3903" w:type="dxa"/>
            <w:vAlign w:val="center"/>
          </w:tcPr>
          <w:p w14:paraId="7FDDE4C9">
            <w:pPr>
              <w:pStyle w:val="5"/>
              <w:spacing w:line="360" w:lineRule="auto"/>
              <w:ind w:left="115"/>
              <w:jc w:val="both"/>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传真：</w:t>
            </w:r>
          </w:p>
        </w:tc>
        <w:tc>
          <w:tcPr>
            <w:tcW w:w="4719" w:type="dxa"/>
            <w:vAlign w:val="center"/>
          </w:tcPr>
          <w:p w14:paraId="7E9EFD42">
            <w:pPr>
              <w:pStyle w:val="5"/>
              <w:spacing w:line="360" w:lineRule="auto"/>
              <w:ind w:left="112"/>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rPr>
              <w:t>传真：</w:t>
            </w:r>
          </w:p>
        </w:tc>
      </w:tr>
      <w:tr w14:paraId="395844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3903" w:type="dxa"/>
            <w:vAlign w:val="center"/>
          </w:tcPr>
          <w:p w14:paraId="6797E6EC">
            <w:pPr>
              <w:snapToGrid w:val="0"/>
              <w:spacing w:line="360" w:lineRule="auto"/>
              <w:jc w:val="center"/>
              <w:rPr>
                <w:rFonts w:hint="eastAsia" w:ascii="宋体" w:hAnsi="宋体" w:eastAsia="宋体" w:cs="宋体"/>
                <w:color w:val="auto"/>
                <w:sz w:val="24"/>
                <w:szCs w:val="24"/>
                <w:highlight w:val="none"/>
              </w:rPr>
            </w:pPr>
          </w:p>
        </w:tc>
        <w:tc>
          <w:tcPr>
            <w:tcW w:w="4719" w:type="dxa"/>
            <w:vAlign w:val="center"/>
          </w:tcPr>
          <w:p w14:paraId="4982C8A5">
            <w:pPr>
              <w:pStyle w:val="5"/>
              <w:spacing w:line="360" w:lineRule="auto"/>
              <w:ind w:left="114"/>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开户银行：</w:t>
            </w:r>
          </w:p>
        </w:tc>
      </w:tr>
      <w:tr w14:paraId="15383E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3903" w:type="dxa"/>
            <w:vAlign w:val="center"/>
          </w:tcPr>
          <w:p w14:paraId="0A5329D0">
            <w:pPr>
              <w:snapToGrid w:val="0"/>
              <w:spacing w:line="360" w:lineRule="auto"/>
              <w:jc w:val="center"/>
              <w:rPr>
                <w:rFonts w:hint="eastAsia" w:ascii="宋体" w:hAnsi="宋体" w:eastAsia="宋体" w:cs="宋体"/>
                <w:color w:val="auto"/>
                <w:sz w:val="24"/>
                <w:szCs w:val="24"/>
                <w:highlight w:val="none"/>
              </w:rPr>
            </w:pPr>
          </w:p>
        </w:tc>
        <w:tc>
          <w:tcPr>
            <w:tcW w:w="4719" w:type="dxa"/>
            <w:vAlign w:val="center"/>
          </w:tcPr>
          <w:p w14:paraId="3377C7C9">
            <w:pPr>
              <w:pStyle w:val="5"/>
              <w:spacing w:line="360" w:lineRule="auto"/>
              <w:ind w:left="122"/>
              <w:jc w:val="both"/>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帐号：</w:t>
            </w:r>
          </w:p>
        </w:tc>
      </w:tr>
      <w:tr w14:paraId="16A57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3903" w:type="dxa"/>
            <w:vAlign w:val="center"/>
          </w:tcPr>
          <w:p w14:paraId="29CF8943">
            <w:pPr>
              <w:pStyle w:val="5"/>
              <w:spacing w:line="360" w:lineRule="auto"/>
              <w:ind w:left="155"/>
              <w:jc w:val="both"/>
              <w:rPr>
                <w:rFonts w:hint="eastAsia" w:ascii="宋体" w:hAnsi="宋体" w:eastAsia="宋体" w:cs="宋体"/>
                <w:color w:val="auto"/>
                <w:sz w:val="24"/>
                <w:szCs w:val="24"/>
                <w:highlight w:val="none"/>
              </w:rPr>
            </w:pPr>
            <w:r>
              <w:rPr>
                <w:rFonts w:hint="eastAsia" w:ascii="宋体" w:hAnsi="宋体" w:eastAsia="宋体" w:cs="宋体"/>
                <w:color w:val="auto"/>
                <w:spacing w:val="-12"/>
                <w:sz w:val="24"/>
                <w:szCs w:val="24"/>
                <w:highlight w:val="none"/>
              </w:rPr>
              <w:t>日期：</w:t>
            </w:r>
            <w:r>
              <w:rPr>
                <w:rFonts w:hint="eastAsia" w:ascii="宋体" w:hAnsi="宋体" w:eastAsia="宋体" w:cs="宋体"/>
                <w:color w:val="auto"/>
                <w:spacing w:val="3"/>
                <w:sz w:val="24"/>
                <w:szCs w:val="24"/>
                <w:highlight w:val="none"/>
              </w:rPr>
              <w:t xml:space="preserve">   </w:t>
            </w:r>
            <w:r>
              <w:rPr>
                <w:rFonts w:hint="eastAsia" w:ascii="宋体" w:hAnsi="宋体" w:eastAsia="宋体" w:cs="宋体"/>
                <w:color w:val="auto"/>
                <w:spacing w:val="-12"/>
                <w:sz w:val="24"/>
                <w:szCs w:val="24"/>
                <w:highlight w:val="none"/>
              </w:rPr>
              <w:t>年</w:t>
            </w: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12"/>
                <w:sz w:val="24"/>
                <w:szCs w:val="24"/>
                <w:highlight w:val="none"/>
              </w:rPr>
              <w:t>月</w:t>
            </w:r>
            <w:r>
              <w:rPr>
                <w:rFonts w:hint="eastAsia" w:ascii="宋体" w:hAnsi="宋体" w:eastAsia="宋体" w:cs="宋体"/>
                <w:color w:val="auto"/>
                <w:spacing w:val="15"/>
                <w:sz w:val="24"/>
                <w:szCs w:val="24"/>
                <w:highlight w:val="none"/>
              </w:rPr>
              <w:t xml:space="preserve">   </w:t>
            </w:r>
            <w:r>
              <w:rPr>
                <w:rFonts w:hint="eastAsia" w:ascii="宋体" w:hAnsi="宋体" w:eastAsia="宋体" w:cs="宋体"/>
                <w:color w:val="auto"/>
                <w:spacing w:val="-12"/>
                <w:sz w:val="24"/>
                <w:szCs w:val="24"/>
                <w:highlight w:val="none"/>
              </w:rPr>
              <w:t>日</w:t>
            </w:r>
          </w:p>
        </w:tc>
        <w:tc>
          <w:tcPr>
            <w:tcW w:w="4719" w:type="dxa"/>
            <w:vAlign w:val="center"/>
          </w:tcPr>
          <w:p w14:paraId="19D189F0">
            <w:pPr>
              <w:pStyle w:val="5"/>
              <w:spacing w:line="360" w:lineRule="auto"/>
              <w:ind w:left="152"/>
              <w:jc w:val="both"/>
              <w:rPr>
                <w:rFonts w:hint="eastAsia" w:ascii="宋体" w:hAnsi="宋体" w:eastAsia="宋体" w:cs="宋体"/>
                <w:color w:val="auto"/>
                <w:sz w:val="24"/>
                <w:szCs w:val="24"/>
                <w:highlight w:val="none"/>
              </w:rPr>
            </w:pPr>
            <w:r>
              <w:rPr>
                <w:rFonts w:hint="eastAsia" w:ascii="宋体" w:hAnsi="宋体" w:eastAsia="宋体" w:cs="宋体"/>
                <w:color w:val="auto"/>
                <w:spacing w:val="-12"/>
                <w:sz w:val="24"/>
                <w:szCs w:val="24"/>
                <w:highlight w:val="none"/>
              </w:rPr>
              <w:t>日期：</w:t>
            </w:r>
            <w:r>
              <w:rPr>
                <w:rFonts w:hint="eastAsia" w:ascii="宋体" w:hAnsi="宋体" w:eastAsia="宋体" w:cs="宋体"/>
                <w:color w:val="auto"/>
                <w:spacing w:val="3"/>
                <w:sz w:val="24"/>
                <w:szCs w:val="24"/>
                <w:highlight w:val="none"/>
              </w:rPr>
              <w:t xml:space="preserve">   </w:t>
            </w:r>
            <w:r>
              <w:rPr>
                <w:rFonts w:hint="eastAsia" w:ascii="宋体" w:hAnsi="宋体" w:eastAsia="宋体" w:cs="宋体"/>
                <w:color w:val="auto"/>
                <w:spacing w:val="-12"/>
                <w:sz w:val="24"/>
                <w:szCs w:val="24"/>
                <w:highlight w:val="none"/>
              </w:rPr>
              <w:t>年</w:t>
            </w: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12"/>
                <w:sz w:val="24"/>
                <w:szCs w:val="24"/>
                <w:highlight w:val="none"/>
              </w:rPr>
              <w:t>月</w:t>
            </w:r>
            <w:r>
              <w:rPr>
                <w:rFonts w:hint="eastAsia" w:ascii="宋体" w:hAnsi="宋体" w:eastAsia="宋体" w:cs="宋体"/>
                <w:color w:val="auto"/>
                <w:spacing w:val="16"/>
                <w:sz w:val="24"/>
                <w:szCs w:val="24"/>
                <w:highlight w:val="none"/>
              </w:rPr>
              <w:t xml:space="preserve">   </w:t>
            </w:r>
            <w:r>
              <w:rPr>
                <w:rFonts w:hint="eastAsia" w:ascii="宋体" w:hAnsi="宋体" w:eastAsia="宋体" w:cs="宋体"/>
                <w:color w:val="auto"/>
                <w:spacing w:val="-12"/>
                <w:sz w:val="24"/>
                <w:szCs w:val="24"/>
                <w:highlight w:val="none"/>
              </w:rPr>
              <w:t>日</w:t>
            </w:r>
          </w:p>
        </w:tc>
      </w:tr>
    </w:tbl>
    <w:p w14:paraId="79B91374">
      <w:pPr>
        <w:pStyle w:val="6"/>
        <w:rPr>
          <w:rFonts w:hint="eastAsia" w:ascii="宋体" w:hAnsi="宋体" w:eastAsia="宋体" w:cs="宋体"/>
          <w:color w:val="auto"/>
          <w:highlight w:val="none"/>
          <w:lang w:val="en-US" w:eastAsia="zh-Hans"/>
        </w:rPr>
      </w:pPr>
    </w:p>
    <w:p w14:paraId="4C57E94F">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442ECF"/>
    <w:rsid w:val="3F284337"/>
    <w:rsid w:val="629833C5"/>
    <w:rsid w:val="76442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30"/>
    </w:pPr>
    <w:rPr>
      <w:sz w:val="32"/>
      <w:szCs w:val="20"/>
    </w:rPr>
  </w:style>
  <w:style w:type="paragraph" w:customStyle="1" w:styleId="5">
    <w:name w:val="Table Text"/>
    <w:basedOn w:val="1"/>
    <w:semiHidden/>
    <w:qFormat/>
    <w:uiPriority w:val="0"/>
    <w:pPr>
      <w:kinsoku w:val="0"/>
      <w:autoSpaceDE w:val="0"/>
      <w:autoSpaceDN w:val="0"/>
      <w:adjustRightInd w:val="0"/>
      <w:snapToGrid w:val="0"/>
      <w:textAlignment w:val="baseline"/>
    </w:pPr>
    <w:rPr>
      <w:rFonts w:eastAsia="宋体"/>
      <w:snapToGrid w:val="0"/>
      <w:color w:val="000000"/>
      <w:sz w:val="28"/>
      <w:szCs w:val="28"/>
      <w:lang w:eastAsia="en-US"/>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3790</Words>
  <Characters>3870</Characters>
  <Lines>0</Lines>
  <Paragraphs>0</Paragraphs>
  <TotalTime>0</TotalTime>
  <ScaleCrop>false</ScaleCrop>
  <LinksUpToDate>false</LinksUpToDate>
  <CharactersWithSpaces>3895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2026-06-09T07:34:00Z</dcterms:created>
  <dc:creator>Patton</dc:creator>
  <cp:lastModifiedBy>Patton</cp:lastModifiedBy>
  <dcterms:modified xsi:type="dcterms:W3CDTF">2026-06-09T08:14:26Z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B5A94C7634C34D7C84BD67954C73AA13_11</vt:lpwstr>
  </property>
  <property fmtid="{D5CDD505-2E9C-101B-9397-08002B2CF9AE}" pid="4" name="KSOTemplateDocerSaveRecord">
    <vt:lpwstr>eyJoZGlkIjoiNjllMjU4NjNjOWJiNDI1NjZkZDc5NDJiOTVmODQzZmQiLCJ1c2VySWQiOiIxMDYzMTcxMDUxIn0=</vt:lpwstr>
  </property>
</Properties>
</file>