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版本号：ZTZLZC-HY2026-061720260707001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张大有故居保护修缮工程施工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ZTZLZC-HY2026-0617</w:t>
      </w:r>
      <w:r>
        <w:br/>
      </w:r>
      <w:r>
        <w:br/>
      </w:r>
      <w:r>
        <w:br/>
      </w:r>
    </w:p>
    <w:p>
      <w:pPr>
        <w:pStyle w:val="null3"/>
        <w:jc w:val="center"/>
        <w:outlineLvl w:val="2"/>
      </w:pPr>
      <w:r>
        <w:rPr>
          <w:rFonts w:ascii="仿宋_GB2312" w:hAnsi="仿宋_GB2312" w:cs="仿宋_GB2312" w:eastAsia="仿宋_GB2312"/>
          <w:sz w:val="28"/>
          <w:b/>
        </w:rPr>
        <w:t>合阳县文化和旅游局</w:t>
      </w:r>
    </w:p>
    <w:p>
      <w:pPr>
        <w:pStyle w:val="null3"/>
        <w:jc w:val="center"/>
        <w:outlineLvl w:val="2"/>
      </w:pPr>
      <w:r>
        <w:rPr>
          <w:rFonts w:ascii="仿宋_GB2312" w:hAnsi="仿宋_GB2312" w:cs="仿宋_GB2312" w:eastAsia="仿宋_GB2312"/>
          <w:sz w:val="28"/>
          <w:b/>
        </w:rPr>
        <w:t>陕西中天正略企业运营发展有限公司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合阳县文化和旅游局</w:t>
      </w:r>
      <w:r>
        <w:rPr>
          <w:rFonts w:ascii="仿宋_GB2312" w:hAnsi="仿宋_GB2312" w:cs="仿宋_GB2312" w:eastAsia="仿宋_GB2312"/>
        </w:rPr>
        <w:t>委托，拟对</w:t>
      </w:r>
      <w:r>
        <w:rPr>
          <w:rFonts w:ascii="仿宋_GB2312" w:hAnsi="仿宋_GB2312" w:cs="仿宋_GB2312" w:eastAsia="仿宋_GB2312"/>
        </w:rPr>
        <w:t>张大有故居保护修缮工程施工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ZTZLZC-HY2026-0617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张大有故居保护修缮工程施工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通过对张大有故居进行保护修缮，确保文物安全有效得到保护。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采购包1（张大有故居保护修缮工程施工）：属于专门面向中小企业采购。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3、特定资质：供应商须具备国家文物局颁发的文物保护工程施工二级企业资质（业务范围包含古建筑）且具备有效的安全生产许可证 ；</w:t>
      </w:r>
    </w:p>
    <w:p>
      <w:pPr>
        <w:pStyle w:val="null3"/>
      </w:pPr>
      <w:r>
        <w:rPr>
          <w:rFonts w:ascii="仿宋_GB2312" w:hAnsi="仿宋_GB2312" w:cs="仿宋_GB2312" w:eastAsia="仿宋_GB2312"/>
        </w:rPr>
        <w:t>4、拟派项目负责人：供应商拟派项目负责人须具备文物保护工程责任工程师证，项目负责人无在建项目（提供证明材料或无在建项目承诺书）；</w:t>
      </w:r>
    </w:p>
    <w:p>
      <w:pPr>
        <w:pStyle w:val="null3"/>
      </w:pPr>
      <w:r>
        <w:rPr>
          <w:rFonts w:ascii="仿宋_GB2312" w:hAnsi="仿宋_GB2312" w:cs="仿宋_GB2312" w:eastAsia="仿宋_GB2312"/>
        </w:rPr>
        <w:t>5、财务状况报告：提供2024年度或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p>
      <w:pPr>
        <w:pStyle w:val="null3"/>
      </w:pPr>
      <w:r>
        <w:rPr>
          <w:rFonts w:ascii="仿宋_GB2312" w:hAnsi="仿宋_GB2312" w:cs="仿宋_GB2312" w:eastAsia="仿宋_GB2312"/>
        </w:rPr>
        <w:t>6、税收缴纳证明：供应商提供投标截止时间前六个月内任意一个月的依法缴纳税收的完税证明（或缴纳凭证），依法免税的供应商应提供相关文件证明；</w:t>
      </w:r>
    </w:p>
    <w:p>
      <w:pPr>
        <w:pStyle w:val="null3"/>
      </w:pPr>
      <w:r>
        <w:rPr>
          <w:rFonts w:ascii="仿宋_GB2312" w:hAnsi="仿宋_GB2312" w:cs="仿宋_GB2312" w:eastAsia="仿宋_GB2312"/>
        </w:rPr>
        <w:t>7、社保缴纳证明：供应商提供投标截止时间前六个月内任意一个月的依法缴纳社会保险的证明（或缴费凭证），依法不需要缴纳社会保障资金的供应商应提供相关文件证明；</w:t>
      </w:r>
    </w:p>
    <w:p>
      <w:pPr>
        <w:pStyle w:val="null3"/>
      </w:pPr>
      <w:r>
        <w:rPr>
          <w:rFonts w:ascii="仿宋_GB2312" w:hAnsi="仿宋_GB2312" w:cs="仿宋_GB2312" w:eastAsia="仿宋_GB2312"/>
        </w:rPr>
        <w:t>8、信誉要求：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p>
    <w:p>
      <w:pPr>
        <w:pStyle w:val="null3"/>
      </w:pPr>
      <w:r>
        <w:rPr>
          <w:rFonts w:ascii="仿宋_GB2312" w:hAnsi="仿宋_GB2312" w:cs="仿宋_GB2312" w:eastAsia="仿宋_GB2312"/>
        </w:rPr>
        <w:t>9、书面声明：参加本次政府采购活动前3年内在经营活动中没有重大违纪的书面声明；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10、控股、管理关系：单位负责人为同一人或者存在直接控股、管理关系的不同供应商，不得参加同一合同项下的政府采购活动（提供声明）；</w:t>
      </w:r>
    </w:p>
    <w:p>
      <w:pPr>
        <w:pStyle w:val="null3"/>
      </w:pPr>
      <w:r>
        <w:rPr>
          <w:rFonts w:ascii="仿宋_GB2312" w:hAnsi="仿宋_GB2312" w:cs="仿宋_GB2312" w:eastAsia="仿宋_GB2312"/>
        </w:rPr>
        <w:t>11、具有履行合同所必需的设备和专业技术能力：提供具备履行合同所必需的人员、资金和专业技术能力的证明材料或书面声明；</w:t>
      </w:r>
    </w:p>
    <w:p>
      <w:pPr>
        <w:pStyle w:val="null3"/>
      </w:pPr>
      <w:r>
        <w:rPr>
          <w:rFonts w:ascii="仿宋_GB2312" w:hAnsi="仿宋_GB2312" w:cs="仿宋_GB2312" w:eastAsia="仿宋_GB2312"/>
        </w:rPr>
        <w:t>12、是否接受联合体：本项目不接受联合体投标（提供声明）。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合阳县文旅大厦9楼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13379444544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采购包1：1,846,965.43元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代理服务费收费标准：参照发改价格[2011]534号文件及《国家发展改革委关于进一步放开建设项目专业服务价格的通知》（发改价格〔2015〕299号）文的规定标准收取。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合阳县文化和旅游局</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工程的质量达到国家施工验收规范合格标准，采购内容满足采购人要求。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联系人：刘钰</w:t>
      </w:r>
    </w:p>
    <w:p>
      <w:pPr>
        <w:pStyle w:val="null3"/>
      </w:pPr>
      <w:r>
        <w:rPr>
          <w:rFonts w:ascii="仿宋_GB2312" w:hAnsi="仿宋_GB2312" w:cs="仿宋_GB2312" w:eastAsia="仿宋_GB2312"/>
        </w:rPr>
        <w:t>联系电话：029-89660303</w:t>
      </w:r>
    </w:p>
    <w:p>
      <w:pPr>
        <w:pStyle w:val="null3"/>
      </w:pPr>
      <w:r>
        <w:rPr>
          <w:rFonts w:ascii="仿宋_GB2312" w:hAnsi="仿宋_GB2312" w:cs="仿宋_GB2312" w:eastAsia="仿宋_GB2312"/>
        </w:rPr>
        <w:t>地址：西安曲江新区翠华路500号佳和中心B座26层3号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1,846,965.43</w:t>
      </w:r>
    </w:p>
    <w:p>
      <w:pPr>
        <w:pStyle w:val="null3"/>
      </w:pPr>
      <w:r>
        <w:rPr>
          <w:rFonts w:ascii="仿宋_GB2312" w:hAnsi="仿宋_GB2312" w:cs="仿宋_GB2312" w:eastAsia="仿宋_GB2312"/>
        </w:rPr>
        <w:t>采购包最高限价（元）: 1,846,965.43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张大有故居保护修缮工程施工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1,846,965.43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标的名称：张大有故居保护修缮工程施工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具体技术参数详见工程量清单。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1、中标单位在中标结果公示发出后3日内，提交纸质投标文件正本壹份、副本壹份、电子版壹份。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供应商须具备国家文物局颁发的文物保护工程施工二级企业资质（业务范围包含古建筑）且具备有效的安全生产许可证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供应商拟派项目负责人须具备文物保护工程责任工程师证，项目负责人无在建项目（提供证明材料或无在建项目承诺书）；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供应商提供投标截止时间前六个月内任意一个月的依法缴纳税收的完税证明（或缴纳凭证），依法免税的供应商应提供相关文件证明；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供应商提供投标截止时间前六个月内任意一个月的依法缴纳社会保险的证明（或缴费凭证），依法不需要缴纳社会保障资金的供应商应提供相关文件证明；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提供具备履行合同所必需的人员、资金和专业技术能力的证明材料或书面声明；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报价函 技术、商务应答表.docx 标的清单 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自开标之日起不少于90日历天；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1、供应商针对本项目编制完善的实施方案，内容包含：①施工准备；②施工方法；③相关技术措施；④施工总平面布置图、施工进度表或施工网络图。 2、赋分标准4项内容均符合本项目采购需求且描述详细得满分；每缺一项内容，扣3分；每项内容每存在一处缺陷或瑕疵扣0.5分，12分扣完为止；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确保工程质量技术组织措施</w:t>
            </w:r>
          </w:p>
        </w:tc>
        <w:tc>
          <w:tcPr>
            <w:tcW w:type="dxa" w:w="2492"/>
          </w:tcPr>
          <w:p>
            <w:pPr>
              <w:pStyle w:val="null3"/>
            </w:pPr>
            <w:r>
              <w:rPr>
                <w:rFonts w:ascii="仿宋_GB2312" w:hAnsi="仿宋_GB2312" w:cs="仿宋_GB2312" w:eastAsia="仿宋_GB2312"/>
              </w:rPr>
              <w:t>1、供应商针对本项目编制完善的工程质量技术组织措施，内容包含：①质量管理流程；②工程质量保障方案；③工程质量控制体系；④材料和构配件的质量控制等； 2、赋分标准4项内容均符合本项目采购需求且描述详细得满分；每缺一项内容，扣2.5分；每项内容每存在一处缺陷或瑕疵扣0.5分，10分扣完为止；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1、供应商针对本项目编制完善的安全生产的技术组织措施，内容包含：①安全管理体系；②安全责任归属划分；③安全标识：安全警戒标语、施工人员安全警示服和安全帽穿配要求；④安全教育培训。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项目进度计划及保障方案</w:t>
            </w:r>
          </w:p>
        </w:tc>
        <w:tc>
          <w:tcPr>
            <w:tcW w:type="dxa" w:w="2492"/>
          </w:tcPr>
          <w:p>
            <w:pPr>
              <w:pStyle w:val="null3"/>
            </w:pPr>
            <w:r>
              <w:rPr>
                <w:rFonts w:ascii="仿宋_GB2312" w:hAnsi="仿宋_GB2312" w:cs="仿宋_GB2312" w:eastAsia="仿宋_GB2312"/>
              </w:rPr>
              <w:t>1、供应商针对本项目编制完善的项目进度计划及保障方案，内容包含：①施工进度安排；②工期目标控制和保证措施；③材料供应措施；④影响正常施工外在因素分析及对应预案等。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确保文明施工和环境保护的技术组织措施</w:t>
            </w:r>
          </w:p>
        </w:tc>
        <w:tc>
          <w:tcPr>
            <w:tcW w:type="dxa" w:w="2492"/>
          </w:tcPr>
          <w:p>
            <w:pPr>
              <w:pStyle w:val="null3"/>
            </w:pPr>
            <w:r>
              <w:rPr>
                <w:rFonts w:ascii="仿宋_GB2312" w:hAnsi="仿宋_GB2312" w:cs="仿宋_GB2312" w:eastAsia="仿宋_GB2312"/>
              </w:rPr>
              <w:t>1、供应商针对本项目编制完善的文明施工及环境保护措施，内容包含：①安全文明施工目标及施工现场的临时管理措施；②文明施工保障措施；③环境保护管理体系；④环保控制措施：污染物及废弃物处理的排放、噪音控制、防尘及扬尘的控制措施。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供应商针对本项目编制完善的人员配备方案，内容包含：①项目成员配置清单及人员架构；②项目组配备人员的资质证书及经验；③项目成员的主要职责及工作内容；④相应的协调措施。 注：以上人员需提供本人身份证、劳动合同或在职证明等相关证明资料复印件加盖公章。 2、赋分标准4项内容均符合本项目采购需求且描述详细得满分；每缺一项内容，扣1.5分；每项内容每存在一处缺陷或瑕疵扣0.5分，6分扣完为止；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1、供应商针对本项目编制完善的施工机械及材料投入计划，内容包含：①拟投入的主要施工机械设备计划；②主要材料进场计划；③施工机械的维护保养和材料的贮存； 2、赋分标准3项内容均符合本项目采购需求且描述详细得满分；每缺一项内容，扣2分；每项内容每存在一处缺陷或瑕疵扣0.5分，6分扣完为止；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难点、重点分析</w:t>
            </w:r>
          </w:p>
        </w:tc>
        <w:tc>
          <w:tcPr>
            <w:tcW w:type="dxa" w:w="2492"/>
          </w:tcPr>
          <w:p>
            <w:pPr>
              <w:pStyle w:val="null3"/>
            </w:pPr>
            <w:r>
              <w:rPr>
                <w:rFonts w:ascii="仿宋_GB2312" w:hAnsi="仿宋_GB2312" w:cs="仿宋_GB2312" w:eastAsia="仿宋_GB2312"/>
              </w:rPr>
              <w:t>1、供应商针对本项目实施难点、重点分析，内容包含但不限于：①重难点识别的准确性；②针对识别的重难点，制定具体、可操作的解决措施。 2、赋分标准2项内容均符合本项目采购需求且描述详细得满分；每缺一项内容，扣2分；每项内容每存在一处缺陷或瑕疵扣0.5分，4分扣完为止；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1、供应商针对本项目编制完善的应急预案，内容包含但不限于：①应急响应时效；②应急响应保障方案和人员；③紧急救援；④应对突发事件的处理措施。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技术、商务应答表.docx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