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9A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pacing w:val="4"/>
          <w:sz w:val="30"/>
          <w:szCs w:val="30"/>
        </w:rPr>
      </w:pPr>
      <w:r>
        <w:rPr>
          <w:rFonts w:hint="eastAsia" w:ascii="宋体" w:hAnsi="宋体" w:cs="宋体"/>
          <w:b/>
          <w:color w:val="auto"/>
          <w:spacing w:val="4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对完成整个项目提出相应的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方案。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zh-CN"/>
        </w:rPr>
        <w:t>（包括但不限于）</w:t>
      </w:r>
    </w:p>
    <w:p w14:paraId="00EDF5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实施方案</w:t>
      </w:r>
    </w:p>
    <w:p w14:paraId="7809D0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确保工程质量的技术组织措施</w:t>
      </w:r>
    </w:p>
    <w:p w14:paraId="23DF18C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确保安全生产的技术组织措施</w:t>
      </w:r>
    </w:p>
    <w:p w14:paraId="562226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确保工期的技术组织措施</w:t>
      </w:r>
    </w:p>
    <w:p w14:paraId="70F67F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确保文明施工和环境保护的技术组织措施</w:t>
      </w:r>
    </w:p>
    <w:p w14:paraId="5575B8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人员配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备</w:t>
      </w:r>
    </w:p>
    <w:p w14:paraId="30D3FD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施工机械配备和材料投入计划</w:t>
      </w:r>
    </w:p>
    <w:p w14:paraId="0405DE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难点、重点分析</w:t>
      </w:r>
    </w:p>
    <w:p w14:paraId="2AC8D73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应急预案</w:t>
      </w:r>
      <w:bookmarkStart w:id="0" w:name="_GoBack"/>
      <w:bookmarkEnd w:id="0"/>
    </w:p>
    <w:p w14:paraId="542D2641">
      <w:pPr>
        <w:numPr>
          <w:numId w:val="0"/>
        </w:numP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B715B8"/>
    <w:multiLevelType w:val="singleLevel"/>
    <w:tmpl w:val="C5B715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0E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2026-07-07T09:34:59Z</dcterms:created>
  <dc:creator>Administrator</dc:creator>
  <cp:lastModifiedBy>傑。</cp:lastModifiedBy>
  <dcterms:modified xsi:type="dcterms:W3CDTF">2026-07-07T09:36:40Z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eyJoZGlkIjoiMjU3OGJjZWFlZmI1MjkxNmQ4OWE0NjFiOGJlNDg3YmEiLCJ1c2VySWQiOiI2NDk3MDkwMjIifQ==</vt:lpwstr>
  </property>
  <property fmtid="{D5CDD505-2E9C-101B-9397-08002B2CF9AE}" pid="4" name="ICV">
    <vt:lpwstr>DCB11BDCFCA7416EABD68AB6CF0B68B7_12</vt:lpwstr>
  </property>
</Properties>
</file>