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5837B">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jc w:val="center"/>
        <w:textAlignment w:val="auto"/>
        <w:rPr>
          <w:rFonts w:hint="eastAsia" w:ascii="仿宋_GB2312" w:hAnsi="仿宋_GB2312" w:eastAsia="仿宋_GB2312" w:cs="仿宋_GB2312"/>
          <w:b/>
          <w:bCs/>
          <w:color w:val="000000"/>
          <w:sz w:val="32"/>
          <w:szCs w:val="32"/>
          <w:highlight w:val="none"/>
          <w:lang w:val="en-US" w:eastAsia="zh-CN"/>
        </w:rPr>
      </w:pPr>
      <w:r>
        <w:rPr>
          <w:rFonts w:hint="eastAsia" w:ascii="仿宋_GB2312" w:hAnsi="仿宋_GB2312" w:eastAsia="仿宋_GB2312" w:cs="仿宋_GB2312"/>
          <w:b/>
          <w:bCs/>
          <w:color w:val="000000"/>
          <w:sz w:val="32"/>
          <w:szCs w:val="32"/>
          <w:highlight w:val="none"/>
          <w:lang w:val="en-US" w:eastAsia="zh-CN"/>
        </w:rPr>
        <w:t>采购需求</w:t>
      </w:r>
    </w:p>
    <w:p w14:paraId="57A9F760">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val="en-US" w:eastAsia="zh-CN"/>
        </w:rPr>
        <w:t>为促进市政设施完好，水平不断提高，优化市民出行环境、完善城市交通功能，进一步提升城市品质。按照《西安高新区市政道路验收移交及临时工程管理办法（暂行）的通知》相关文件要求，拟对采购人养护范围内城市道路及附属设施进行日常管理养护。根据项目养护区域范围及</w:t>
      </w:r>
      <w:r>
        <w:rPr>
          <w:rFonts w:hint="eastAsia" w:ascii="仿宋_GB2312" w:hAnsi="仿宋_GB2312" w:eastAsia="仿宋_GB2312" w:cs="仿宋_GB2312"/>
          <w:color w:val="000000"/>
          <w:sz w:val="20"/>
          <w:szCs w:val="20"/>
          <w:lang w:val="en-US" w:eastAsia="zh-CN"/>
        </w:rPr>
        <w:t>实际需求</w:t>
      </w:r>
      <w:r>
        <w:rPr>
          <w:rFonts w:hint="eastAsia" w:ascii="仿宋_GB2312" w:hAnsi="仿宋_GB2312" w:eastAsia="仿宋_GB2312" w:cs="仿宋_GB2312"/>
          <w:color w:val="000000"/>
          <w:sz w:val="20"/>
          <w:szCs w:val="20"/>
          <w:highlight w:val="none"/>
          <w:lang w:val="en-US" w:eastAsia="zh-CN"/>
        </w:rPr>
        <w:t>类型划分为两个标段，具体采购需求如下：</w:t>
      </w:r>
    </w:p>
    <w:p w14:paraId="4472BA2A">
      <w:pPr>
        <w:pStyle w:val="5"/>
        <w:keepNext w:val="0"/>
        <w:keepLines w:val="0"/>
        <w:pageBreakBefore w:val="0"/>
        <w:widowControl w:val="0"/>
        <w:kinsoku/>
        <w:wordWrap/>
        <w:overflowPunct/>
        <w:topLinePunct w:val="0"/>
        <w:autoSpaceDE/>
        <w:autoSpaceDN/>
        <w:bidi w:val="0"/>
        <w:adjustRightInd w:val="0"/>
        <w:snapToGrid w:val="0"/>
        <w:spacing w:line="360" w:lineRule="auto"/>
        <w:ind w:right="0" w:firstLine="402" w:firstLineChars="200"/>
        <w:textAlignment w:val="auto"/>
        <w:rPr>
          <w:rFonts w:hint="eastAsia" w:ascii="仿宋_GB2312" w:hAnsi="仿宋_GB2312" w:eastAsia="仿宋_GB2312" w:cs="仿宋_GB2312"/>
          <w:b/>
          <w:bCs/>
          <w:color w:val="000000"/>
          <w:kern w:val="2"/>
          <w:sz w:val="20"/>
          <w:szCs w:val="20"/>
          <w:lang w:val="en-US" w:eastAsia="zh-CN" w:bidi="ar-SA"/>
        </w:rPr>
      </w:pPr>
      <w:r>
        <w:rPr>
          <w:rFonts w:hint="eastAsia" w:ascii="仿宋_GB2312" w:hAnsi="仿宋_GB2312" w:eastAsia="仿宋_GB2312" w:cs="仿宋_GB2312"/>
          <w:b/>
          <w:bCs/>
          <w:color w:val="000000"/>
          <w:kern w:val="2"/>
          <w:sz w:val="20"/>
          <w:szCs w:val="20"/>
          <w:lang w:val="en-US" w:eastAsia="zh-CN" w:bidi="ar-SA"/>
        </w:rPr>
        <w:t>一、道路及市政设施养护基本要求</w:t>
      </w:r>
    </w:p>
    <w:p w14:paraId="543F5DDD">
      <w:pPr>
        <w:pStyle w:val="6"/>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right="0" w:firstLineChars="0"/>
        <w:textAlignment w:val="auto"/>
        <w:rPr>
          <w:rFonts w:hint="eastAsia" w:ascii="仿宋_GB2312" w:hAnsi="仿宋_GB2312" w:eastAsia="仿宋_GB2312" w:cs="仿宋_GB2312"/>
          <w:color w:val="000000"/>
          <w:sz w:val="20"/>
          <w:szCs w:val="20"/>
        </w:rPr>
      </w:pPr>
      <w:r>
        <w:rPr>
          <w:rFonts w:hint="eastAsia" w:ascii="仿宋_GB2312" w:hAnsi="仿宋_GB2312" w:eastAsia="仿宋_GB2312" w:cs="仿宋_GB2312"/>
          <w:bCs/>
          <w:color w:val="000000"/>
          <w:sz w:val="20"/>
          <w:szCs w:val="20"/>
        </w:rPr>
        <w:t>项目</w:t>
      </w:r>
      <w:r>
        <w:rPr>
          <w:rFonts w:hint="eastAsia" w:ascii="仿宋_GB2312" w:hAnsi="仿宋_GB2312" w:eastAsia="仿宋_GB2312" w:cs="仿宋_GB2312"/>
          <w:color w:val="000000"/>
          <w:sz w:val="20"/>
          <w:szCs w:val="20"/>
        </w:rPr>
        <w:t>范围</w:t>
      </w:r>
    </w:p>
    <w:p w14:paraId="63C3D997">
      <w:pPr>
        <w:spacing w:line="300" w:lineRule="auto"/>
        <w:ind w:firstLine="400"/>
        <w:rPr>
          <w:rFonts w:hint="eastAsia" w:ascii="仿宋_GB2312" w:hAnsi="仿宋_GB2312" w:eastAsia="仿宋_GB2312" w:cs="仿宋_GB2312"/>
          <w:color w:val="000000"/>
          <w:sz w:val="20"/>
          <w:szCs w:val="20"/>
          <w:lang w:eastAsia="zh-CN"/>
        </w:rPr>
      </w:pPr>
      <w:r>
        <w:rPr>
          <w:rFonts w:hint="eastAsia" w:ascii="仿宋_GB2312" w:hAnsi="仿宋_GB2312" w:eastAsia="仿宋_GB2312" w:cs="仿宋_GB2312"/>
          <w:color w:val="000000"/>
          <w:sz w:val="20"/>
          <w:szCs w:val="20"/>
          <w:highlight w:val="none"/>
          <w:lang w:eastAsia="zh-CN"/>
        </w:rPr>
        <w:t>对采购人</w:t>
      </w:r>
      <w:r>
        <w:rPr>
          <w:rFonts w:hint="eastAsia" w:ascii="仿宋_GB2312" w:hAnsi="仿宋_GB2312" w:eastAsia="仿宋_GB2312" w:cs="仿宋_GB2312"/>
          <w:color w:val="000000"/>
          <w:sz w:val="20"/>
          <w:szCs w:val="20"/>
          <w:highlight w:val="none"/>
          <w:lang w:val="en-US" w:eastAsia="zh-CN"/>
        </w:rPr>
        <w:t>养护范围内城市道路及附属设施进行日常管理养护，包含道路、人行道、桥梁、涵洞、照明等各类市政基础设施。</w:t>
      </w:r>
    </w:p>
    <w:p w14:paraId="3DF59B3F">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right="0" w:firstLine="400" w:firstLineChars="200"/>
        <w:textAlignment w:val="auto"/>
        <w:rPr>
          <w:rFonts w:hint="eastAsia" w:ascii="仿宋_GB2312" w:hAnsi="仿宋_GB2312" w:eastAsia="仿宋_GB2312" w:cs="仿宋_GB2312"/>
          <w:bCs/>
          <w:color w:val="000000"/>
          <w:sz w:val="20"/>
          <w:szCs w:val="20"/>
          <w:highlight w:val="none"/>
        </w:rPr>
      </w:pPr>
      <w:r>
        <w:rPr>
          <w:rFonts w:hint="eastAsia" w:ascii="仿宋_GB2312" w:hAnsi="仿宋_GB2312" w:eastAsia="仿宋_GB2312" w:cs="仿宋_GB2312"/>
          <w:bCs/>
          <w:color w:val="000000"/>
          <w:sz w:val="20"/>
          <w:szCs w:val="20"/>
          <w:highlight w:val="none"/>
        </w:rPr>
        <w:t>工作要求</w:t>
      </w:r>
    </w:p>
    <w:p w14:paraId="670A8A74">
      <w:pPr>
        <w:keepNext w:val="0"/>
        <w:keepLines w:val="0"/>
        <w:pageBreakBefore w:val="0"/>
        <w:widowControl w:val="0"/>
        <w:kinsoku/>
        <w:wordWrap/>
        <w:overflowPunct/>
        <w:topLinePunct w:val="0"/>
        <w:autoSpaceDE/>
        <w:autoSpaceDN/>
        <w:bidi w:val="0"/>
        <w:adjustRightInd w:val="0"/>
        <w:snapToGrid w:val="0"/>
        <w:spacing w:line="360" w:lineRule="auto"/>
        <w:ind w:right="0" w:firstLine="400" w:firstLineChars="200"/>
        <w:textAlignment w:val="auto"/>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val="en-US" w:eastAsia="zh-CN"/>
        </w:rPr>
        <w:t xml:space="preserve">1.配备足额的巡查队伍，实行365天*24小时巡查制度，巡查内容为城市管理局所管辖范围内道路、人行道、桥梁、涵洞、排水、照明等各类市政基础设施，建立健全日常养护巡查制度、管理制度、应急处理制度及自查自检制度，并做好养护计划。在巡查过程中要完成发现的力所能及的防撞桶、球歪斜、硬质隔离的整理、雨污水井盖、雨水箅子管理等工作。    </w:t>
      </w:r>
    </w:p>
    <w:p w14:paraId="16663E93">
      <w:pPr>
        <w:keepNext w:val="0"/>
        <w:keepLines w:val="0"/>
        <w:pageBreakBefore w:val="0"/>
        <w:widowControl w:val="0"/>
        <w:kinsoku/>
        <w:wordWrap/>
        <w:overflowPunct/>
        <w:topLinePunct w:val="0"/>
        <w:autoSpaceDE/>
        <w:autoSpaceDN/>
        <w:bidi w:val="0"/>
        <w:adjustRightInd w:val="0"/>
        <w:snapToGrid w:val="0"/>
        <w:spacing w:line="360" w:lineRule="auto"/>
        <w:ind w:right="0" w:firstLine="400" w:firstLineChars="200"/>
        <w:textAlignment w:val="auto"/>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val="en-US" w:eastAsia="zh-CN"/>
        </w:rPr>
        <w:t>2.具备健全的日常养护制度、管理制度、应急处理制度及自查自检制度，中标人根据相关程序，接受第三方监督机构监督检查、过程核量、验收等工作。</w:t>
      </w:r>
    </w:p>
    <w:p w14:paraId="6611C855">
      <w:pPr>
        <w:keepNext w:val="0"/>
        <w:keepLines w:val="0"/>
        <w:pageBreakBefore w:val="0"/>
        <w:widowControl w:val="0"/>
        <w:kinsoku/>
        <w:wordWrap/>
        <w:overflowPunct/>
        <w:topLinePunct w:val="0"/>
        <w:autoSpaceDE/>
        <w:autoSpaceDN/>
        <w:bidi w:val="0"/>
        <w:adjustRightInd w:val="0"/>
        <w:snapToGrid w:val="0"/>
        <w:spacing w:line="360" w:lineRule="auto"/>
        <w:ind w:right="0" w:firstLine="400" w:firstLineChars="200"/>
        <w:textAlignment w:val="auto"/>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val="en-US" w:eastAsia="zh-CN"/>
        </w:rPr>
        <w:t>3.中标人负责养护作业现场的市政设施及人员的安全，并与采购人签订“安全生产目标责任书”。在现场作业施工时，文明施工，车体统一喷涂标识、措施到位、人员仪容仪表整洁，服装统一穿戴整齐。</w:t>
      </w:r>
    </w:p>
    <w:p w14:paraId="267328A5">
      <w:pPr>
        <w:keepNext w:val="0"/>
        <w:keepLines w:val="0"/>
        <w:pageBreakBefore w:val="0"/>
        <w:widowControl w:val="0"/>
        <w:kinsoku/>
        <w:wordWrap/>
        <w:overflowPunct/>
        <w:topLinePunct w:val="0"/>
        <w:autoSpaceDE/>
        <w:autoSpaceDN/>
        <w:bidi w:val="0"/>
        <w:adjustRightInd w:val="0"/>
        <w:snapToGrid w:val="0"/>
        <w:spacing w:line="360" w:lineRule="auto"/>
        <w:ind w:right="0" w:firstLine="400" w:firstLineChars="200"/>
        <w:textAlignment w:val="auto"/>
        <w:rPr>
          <w:rFonts w:hint="default"/>
          <w:sz w:val="20"/>
          <w:szCs w:val="20"/>
          <w:lang w:val="en-US" w:eastAsia="zh-CN"/>
        </w:rPr>
      </w:pPr>
      <w:r>
        <w:rPr>
          <w:rFonts w:hint="eastAsia" w:ascii="仿宋_GB2312" w:hAnsi="仿宋_GB2312" w:eastAsia="仿宋_GB2312" w:cs="仿宋_GB2312"/>
          <w:color w:val="000000"/>
          <w:sz w:val="20"/>
          <w:szCs w:val="20"/>
          <w:highlight w:val="none"/>
          <w:lang w:val="en-US" w:eastAsia="zh-CN"/>
        </w:rPr>
        <w:t>4.中标人在养护期间内自觉接受采购人、群众及有关部门监督。接受采购人现场代表的监督检查。突击性任务、重大活动组织和迎检活动须无条件配合，所产生的相关费用据实结算。</w:t>
      </w:r>
    </w:p>
    <w:p w14:paraId="7B779E62">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firstLine="400" w:firstLineChars="200"/>
        <w:jc w:val="both"/>
        <w:textAlignment w:val="auto"/>
        <w:outlineLvl w:val="9"/>
        <w:rPr>
          <w:rFonts w:hint="eastAsia" w:ascii="仿宋_GB2312" w:hAnsi="仿宋_GB2312" w:eastAsia="仿宋_GB2312" w:cs="仿宋_GB2312"/>
          <w:color w:val="000000"/>
          <w:sz w:val="20"/>
          <w:szCs w:val="20"/>
          <w:lang w:eastAsia="zh-CN"/>
        </w:rPr>
      </w:pPr>
      <w:r>
        <w:rPr>
          <w:rFonts w:hint="eastAsia" w:ascii="仿宋_GB2312" w:hAnsi="仿宋_GB2312" w:eastAsia="仿宋_GB2312" w:cs="仿宋_GB2312"/>
          <w:color w:val="000000"/>
          <w:sz w:val="20"/>
          <w:szCs w:val="20"/>
          <w:lang w:eastAsia="zh-CN"/>
        </w:rPr>
        <w:t>（三）</w:t>
      </w:r>
      <w:r>
        <w:rPr>
          <w:rFonts w:hint="eastAsia" w:ascii="仿宋_GB2312" w:hAnsi="仿宋_GB2312" w:eastAsia="仿宋_GB2312" w:cs="仿宋_GB2312"/>
          <w:color w:val="000000"/>
          <w:sz w:val="20"/>
          <w:szCs w:val="20"/>
          <w:lang w:val="en-US" w:eastAsia="zh-CN"/>
        </w:rPr>
        <w:t>养护</w:t>
      </w:r>
      <w:r>
        <w:rPr>
          <w:rFonts w:hint="eastAsia" w:ascii="仿宋_GB2312" w:hAnsi="仿宋_GB2312" w:eastAsia="仿宋_GB2312" w:cs="仿宋_GB2312"/>
          <w:color w:val="000000"/>
          <w:sz w:val="20"/>
          <w:szCs w:val="20"/>
          <w:lang w:eastAsia="zh-CN"/>
        </w:rPr>
        <w:t>的技术标准</w:t>
      </w:r>
    </w:p>
    <w:p w14:paraId="00201CAD">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firstLine="400" w:firstLineChars="200"/>
        <w:jc w:val="both"/>
        <w:textAlignment w:val="auto"/>
        <w:outlineLvl w:val="9"/>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1.《城镇道路养护技术规范》（CJJ36-2016）；</w:t>
      </w:r>
    </w:p>
    <w:p w14:paraId="42314E31">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firstLine="400" w:firstLineChars="200"/>
        <w:jc w:val="both"/>
        <w:textAlignment w:val="auto"/>
        <w:outlineLvl w:val="9"/>
        <w:rPr>
          <w:rFonts w:hint="eastAsia" w:ascii="仿宋_GB2312" w:hAnsi="仿宋_GB2312" w:eastAsia="仿宋_GB2312" w:cs="仿宋_GB2312"/>
          <w:color w:val="000000"/>
          <w:sz w:val="20"/>
          <w:szCs w:val="20"/>
          <w:highlight w:val="yellow"/>
          <w:lang w:val="en-US" w:eastAsia="zh-CN"/>
        </w:rPr>
      </w:pPr>
      <w:r>
        <w:rPr>
          <w:rFonts w:hint="eastAsia" w:ascii="仿宋_GB2312" w:hAnsi="仿宋_GB2312" w:eastAsia="仿宋_GB2312" w:cs="仿宋_GB2312"/>
          <w:color w:val="000000"/>
          <w:sz w:val="20"/>
          <w:szCs w:val="20"/>
          <w:lang w:val="en-US" w:eastAsia="zh-CN"/>
        </w:rPr>
        <w:t>2.《城市桥梁养护技术标准</w:t>
      </w:r>
      <w:r>
        <w:rPr>
          <w:rFonts w:hint="eastAsia" w:ascii="仿宋_GB2312" w:hAnsi="仿宋_GB2312" w:eastAsia="仿宋_GB2312" w:cs="仿宋_GB2312"/>
          <w:color w:val="000000"/>
          <w:sz w:val="20"/>
          <w:szCs w:val="20"/>
          <w:highlight w:val="none"/>
          <w:lang w:val="en-US" w:eastAsia="zh-CN"/>
        </w:rPr>
        <w:t>》（CJJ99-2017）；</w:t>
      </w:r>
    </w:p>
    <w:p w14:paraId="7E1DA0A7">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firstLine="400" w:firstLineChars="200"/>
        <w:jc w:val="both"/>
        <w:textAlignment w:val="auto"/>
        <w:outlineLvl w:val="9"/>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3.《西安市市政工程设施管理条例》；</w:t>
      </w:r>
    </w:p>
    <w:p w14:paraId="2CB1C6A1">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firstLine="400" w:firstLineChars="200"/>
        <w:jc w:val="both"/>
        <w:textAlignment w:val="auto"/>
        <w:outlineLvl w:val="9"/>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4.《西安市城市夜景照明管理办法》;</w:t>
      </w:r>
    </w:p>
    <w:p w14:paraId="53D4558C">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firstLine="400" w:firstLineChars="200"/>
        <w:jc w:val="both"/>
        <w:textAlignment w:val="auto"/>
        <w:outlineLvl w:val="9"/>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5. 其他省市或行业的相关技术标准和相关文件要求；</w:t>
      </w:r>
    </w:p>
    <w:p w14:paraId="06CCDDC5">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firstLine="400" w:firstLineChars="200"/>
        <w:jc w:val="both"/>
        <w:textAlignment w:val="auto"/>
        <w:outlineLvl w:val="9"/>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6. 采购人其他关于检测技术标准的要求。</w:t>
      </w:r>
    </w:p>
    <w:p w14:paraId="2AC379C2">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firstLine="400" w:firstLineChars="200"/>
        <w:jc w:val="both"/>
        <w:textAlignment w:val="auto"/>
        <w:outlineLvl w:val="9"/>
        <w:rPr>
          <w:rFonts w:hint="eastAsia" w:ascii="仿宋_GB2312" w:hAnsi="仿宋_GB2312" w:eastAsia="仿宋_GB2312" w:cs="仿宋_GB2312"/>
          <w:bCs/>
          <w:color w:val="000000"/>
          <w:kern w:val="2"/>
          <w:sz w:val="20"/>
          <w:szCs w:val="20"/>
          <w:lang w:val="en-US" w:eastAsia="zh-CN" w:bidi="ar-SA"/>
        </w:rPr>
      </w:pPr>
      <w:r>
        <w:rPr>
          <w:rFonts w:hint="eastAsia" w:ascii="仿宋_GB2312" w:hAnsi="仿宋_GB2312" w:eastAsia="仿宋_GB2312" w:cs="仿宋_GB2312"/>
          <w:color w:val="000000"/>
          <w:sz w:val="20"/>
          <w:szCs w:val="20"/>
          <w:lang w:val="en-US" w:eastAsia="zh-CN"/>
        </w:rPr>
        <w:t>注：养护过程中如遇调整或最新规范时，以调整后或最新规范内容为准。</w:t>
      </w:r>
    </w:p>
    <w:p w14:paraId="3A47B76F">
      <w:pPr>
        <w:pStyle w:val="5"/>
        <w:keepNext w:val="0"/>
        <w:keepLines w:val="0"/>
        <w:pageBreakBefore w:val="0"/>
        <w:widowControl w:val="0"/>
        <w:kinsoku/>
        <w:wordWrap/>
        <w:overflowPunct/>
        <w:topLinePunct w:val="0"/>
        <w:autoSpaceDE/>
        <w:autoSpaceDN/>
        <w:bidi w:val="0"/>
        <w:adjustRightInd w:val="0"/>
        <w:snapToGrid w:val="0"/>
        <w:spacing w:line="360" w:lineRule="auto"/>
        <w:ind w:right="0" w:firstLine="402" w:firstLineChars="200"/>
        <w:textAlignment w:val="auto"/>
        <w:rPr>
          <w:rFonts w:hint="eastAsia" w:ascii="仿宋_GB2312" w:hAnsi="仿宋_GB2312" w:eastAsia="仿宋_GB2312" w:cs="仿宋_GB2312"/>
          <w:b/>
          <w:bCs/>
          <w:color w:val="000000"/>
          <w:kern w:val="2"/>
          <w:sz w:val="20"/>
          <w:szCs w:val="20"/>
          <w:lang w:val="en-US" w:eastAsia="zh-CN" w:bidi="ar-SA"/>
        </w:rPr>
      </w:pPr>
      <w:r>
        <w:rPr>
          <w:rFonts w:hint="eastAsia" w:ascii="仿宋_GB2312" w:hAnsi="仿宋_GB2312" w:eastAsia="仿宋_GB2312" w:cs="仿宋_GB2312"/>
          <w:b/>
          <w:bCs/>
          <w:color w:val="000000"/>
          <w:kern w:val="2"/>
          <w:sz w:val="20"/>
          <w:szCs w:val="20"/>
          <w:lang w:val="en-US" w:eastAsia="zh-CN" w:bidi="ar-SA"/>
        </w:rPr>
        <w:t>二、服务周期及其它要求</w:t>
      </w:r>
    </w:p>
    <w:p w14:paraId="75E5469B">
      <w:pPr>
        <w:pStyle w:val="5"/>
        <w:keepNext w:val="0"/>
        <w:keepLines w:val="0"/>
        <w:pageBreakBefore w:val="0"/>
        <w:widowControl w:val="0"/>
        <w:kinsoku/>
        <w:wordWrap/>
        <w:overflowPunct/>
        <w:topLinePunct w:val="0"/>
        <w:autoSpaceDE/>
        <w:autoSpaceDN/>
        <w:bidi w:val="0"/>
        <w:adjustRightInd w:val="0"/>
        <w:snapToGrid w:val="0"/>
        <w:spacing w:line="360" w:lineRule="auto"/>
        <w:ind w:right="0" w:firstLine="480"/>
        <w:textAlignment w:val="auto"/>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（一）</w:t>
      </w:r>
      <w:r>
        <w:rPr>
          <w:rFonts w:hint="eastAsia" w:ascii="仿宋_GB2312" w:hAnsi="仿宋_GB2312" w:eastAsia="仿宋_GB2312" w:cs="仿宋_GB2312"/>
          <w:color w:val="000000"/>
          <w:sz w:val="20"/>
          <w:szCs w:val="20"/>
          <w:lang w:val="en-US" w:eastAsia="zh-CN"/>
        </w:rPr>
        <w:t>本项目</w:t>
      </w:r>
      <w:r>
        <w:rPr>
          <w:rFonts w:hint="eastAsia" w:ascii="仿宋_GB2312" w:hAnsi="仿宋_GB2312" w:eastAsia="仿宋_GB2312" w:cs="仿宋_GB2312"/>
          <w:color w:val="000000"/>
          <w:sz w:val="20"/>
          <w:szCs w:val="20"/>
        </w:rPr>
        <w:t>服务</w:t>
      </w:r>
      <w:r>
        <w:rPr>
          <w:rFonts w:hint="eastAsia" w:ascii="仿宋_GB2312" w:hAnsi="仿宋_GB2312" w:eastAsia="仿宋_GB2312" w:cs="仿宋_GB2312"/>
          <w:color w:val="000000"/>
          <w:sz w:val="20"/>
          <w:szCs w:val="20"/>
          <w:lang w:val="en-US" w:eastAsia="zh-CN"/>
        </w:rPr>
        <w:t>周</w:t>
      </w:r>
      <w:r>
        <w:rPr>
          <w:rFonts w:hint="eastAsia" w:ascii="仿宋_GB2312" w:hAnsi="仿宋_GB2312" w:eastAsia="仿宋_GB2312" w:cs="仿宋_GB2312"/>
          <w:color w:val="000000"/>
          <w:sz w:val="20"/>
          <w:szCs w:val="20"/>
        </w:rPr>
        <w:t>期</w:t>
      </w:r>
      <w:r>
        <w:rPr>
          <w:rFonts w:hint="eastAsia" w:ascii="仿宋_GB2312" w:hAnsi="仿宋_GB2312" w:eastAsia="仿宋_GB2312" w:cs="仿宋_GB2312"/>
          <w:color w:val="000000"/>
          <w:sz w:val="20"/>
          <w:szCs w:val="20"/>
          <w:lang w:val="en-US" w:eastAsia="zh-CN"/>
        </w:rPr>
        <w:t>为</w:t>
      </w:r>
      <w:r>
        <w:rPr>
          <w:rFonts w:ascii="仿宋_GB2312" w:hAnsi="仿宋_GB2312" w:eastAsia="仿宋_GB2312" w:cs="仿宋_GB2312"/>
        </w:rPr>
        <w:t>1年</w:t>
      </w:r>
      <w:r>
        <w:rPr>
          <w:rFonts w:hint="eastAsia" w:ascii="仿宋_GB2312" w:hAnsi="仿宋_GB2312" w:eastAsia="仿宋_GB2312" w:cs="仿宋_GB2312"/>
          <w:highlight w:val="none"/>
          <w:lang w:val="en-US" w:eastAsia="zh-CN"/>
        </w:rPr>
        <w:t>（自合同签订之日起计算）</w:t>
      </w:r>
      <w:r>
        <w:rPr>
          <w:rFonts w:hint="eastAsia" w:ascii="仿宋_GB2312" w:hAnsi="仿宋_GB2312" w:eastAsia="仿宋_GB2312" w:cs="仿宋_GB2312"/>
          <w:color w:val="000000"/>
          <w:sz w:val="20"/>
          <w:szCs w:val="20"/>
        </w:rPr>
        <w:t>。</w:t>
      </w:r>
    </w:p>
    <w:p w14:paraId="02647CF8">
      <w:pPr>
        <w:pStyle w:val="5"/>
        <w:keepNext w:val="0"/>
        <w:keepLines w:val="0"/>
        <w:pageBreakBefore w:val="0"/>
        <w:widowControl w:val="0"/>
        <w:kinsoku/>
        <w:wordWrap/>
        <w:overflowPunct/>
        <w:topLinePunct w:val="0"/>
        <w:autoSpaceDE/>
        <w:autoSpaceDN/>
        <w:bidi w:val="0"/>
        <w:adjustRightInd w:val="0"/>
        <w:snapToGrid w:val="0"/>
        <w:spacing w:line="360" w:lineRule="auto"/>
        <w:ind w:right="0" w:firstLine="480"/>
        <w:textAlignment w:val="auto"/>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（二）</w:t>
      </w:r>
      <w:r>
        <w:rPr>
          <w:rFonts w:hint="eastAsia" w:ascii="仿宋_GB2312" w:hAnsi="仿宋_GB2312" w:eastAsia="仿宋_GB2312" w:cs="仿宋_GB2312"/>
          <w:color w:val="000000"/>
          <w:sz w:val="20"/>
          <w:szCs w:val="20"/>
          <w:highlight w:val="none"/>
          <w:lang w:eastAsia="zh-CN"/>
        </w:rPr>
        <w:t>中标人</w:t>
      </w:r>
      <w:r>
        <w:rPr>
          <w:rFonts w:hint="eastAsia" w:ascii="仿宋_GB2312" w:hAnsi="仿宋_GB2312" w:eastAsia="仿宋_GB2312" w:cs="仿宋_GB2312"/>
          <w:color w:val="000000"/>
          <w:sz w:val="20"/>
          <w:szCs w:val="20"/>
          <w:highlight w:val="none"/>
        </w:rPr>
        <w:t>配备专业管理人员团队，指定本项目专职负责人，自行配备库房及办公场所。</w:t>
      </w:r>
    </w:p>
    <w:p w14:paraId="159D458C">
      <w:pPr>
        <w:pStyle w:val="5"/>
        <w:keepNext w:val="0"/>
        <w:keepLines w:val="0"/>
        <w:pageBreakBefore w:val="0"/>
        <w:widowControl w:val="0"/>
        <w:kinsoku/>
        <w:wordWrap/>
        <w:overflowPunct/>
        <w:topLinePunct w:val="0"/>
        <w:autoSpaceDE/>
        <w:autoSpaceDN/>
        <w:bidi w:val="0"/>
        <w:adjustRightInd w:val="0"/>
        <w:snapToGrid w:val="0"/>
        <w:spacing w:line="360" w:lineRule="auto"/>
        <w:ind w:right="0" w:firstLine="480"/>
        <w:textAlignment w:val="auto"/>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eastAsia="zh-CN"/>
        </w:rPr>
        <w:t>（</w:t>
      </w:r>
      <w:r>
        <w:rPr>
          <w:rFonts w:hint="eastAsia" w:ascii="仿宋_GB2312" w:hAnsi="仿宋_GB2312" w:eastAsia="仿宋_GB2312" w:cs="仿宋_GB2312"/>
          <w:color w:val="000000"/>
          <w:sz w:val="20"/>
          <w:szCs w:val="20"/>
          <w:highlight w:val="none"/>
          <w:lang w:val="en-US" w:eastAsia="zh-CN"/>
        </w:rPr>
        <w:t>三</w:t>
      </w:r>
      <w:r>
        <w:rPr>
          <w:rFonts w:hint="eastAsia" w:ascii="仿宋_GB2312" w:hAnsi="仿宋_GB2312" w:eastAsia="仿宋_GB2312" w:cs="仿宋_GB2312"/>
          <w:color w:val="000000"/>
          <w:sz w:val="20"/>
          <w:szCs w:val="20"/>
          <w:highlight w:val="none"/>
          <w:lang w:eastAsia="zh-CN"/>
        </w:rPr>
        <w:t>）</w:t>
      </w:r>
      <w:r>
        <w:rPr>
          <w:rFonts w:hint="eastAsia" w:ascii="仿宋_GB2312" w:hAnsi="仿宋_GB2312" w:eastAsia="仿宋_GB2312" w:cs="仿宋_GB2312"/>
          <w:color w:val="000000"/>
          <w:sz w:val="20"/>
          <w:szCs w:val="20"/>
          <w:highlight w:val="none"/>
        </w:rPr>
        <w:t>日常养护工作。</w:t>
      </w:r>
      <w:r>
        <w:rPr>
          <w:rFonts w:hint="eastAsia" w:ascii="仿宋_GB2312" w:hAnsi="仿宋_GB2312" w:eastAsia="仿宋_GB2312" w:cs="仿宋_GB2312"/>
          <w:color w:val="000000"/>
          <w:sz w:val="20"/>
          <w:szCs w:val="20"/>
          <w:highlight w:val="none"/>
          <w:lang w:eastAsia="zh-CN"/>
        </w:rPr>
        <w:t>中标人</w:t>
      </w:r>
      <w:r>
        <w:rPr>
          <w:rFonts w:hint="eastAsia" w:ascii="仿宋_GB2312" w:hAnsi="仿宋_GB2312" w:eastAsia="仿宋_GB2312" w:cs="仿宋_GB2312"/>
          <w:color w:val="000000"/>
          <w:sz w:val="20"/>
          <w:szCs w:val="20"/>
          <w:highlight w:val="none"/>
        </w:rPr>
        <w:t>根据提供的养护范围、养护标准、养护要求制定每月日常养护工作计划于上月25日前报采购人，经采购人审核同意后，制定任务单，下发给养护管理企业，养护企业按照任务单按时按质完成本月的工作任务。次月月初采购人工作人员对上月日常养护工作进行考核，按照考核结果给</w:t>
      </w:r>
      <w:r>
        <w:rPr>
          <w:rFonts w:hint="eastAsia" w:ascii="仿宋_GB2312" w:hAnsi="仿宋_GB2312" w:eastAsia="仿宋_GB2312" w:cs="仿宋_GB2312"/>
          <w:color w:val="000000"/>
          <w:sz w:val="20"/>
          <w:szCs w:val="20"/>
          <w:highlight w:val="none"/>
          <w:lang w:eastAsia="zh-CN"/>
        </w:rPr>
        <w:t>中标人</w:t>
      </w:r>
      <w:r>
        <w:rPr>
          <w:rFonts w:hint="eastAsia" w:ascii="仿宋_GB2312" w:hAnsi="仿宋_GB2312" w:eastAsia="仿宋_GB2312" w:cs="仿宋_GB2312"/>
          <w:color w:val="000000"/>
          <w:sz w:val="20"/>
          <w:szCs w:val="20"/>
          <w:highlight w:val="none"/>
        </w:rPr>
        <w:t>核算相应的养护经费。</w:t>
      </w:r>
    </w:p>
    <w:p w14:paraId="4A6786E3">
      <w:pPr>
        <w:pStyle w:val="5"/>
        <w:keepNext w:val="0"/>
        <w:keepLines w:val="0"/>
        <w:pageBreakBefore w:val="0"/>
        <w:widowControl w:val="0"/>
        <w:kinsoku/>
        <w:wordWrap/>
        <w:overflowPunct/>
        <w:topLinePunct w:val="0"/>
        <w:autoSpaceDE/>
        <w:autoSpaceDN/>
        <w:bidi w:val="0"/>
        <w:adjustRightInd w:val="0"/>
        <w:snapToGrid w:val="0"/>
        <w:spacing w:line="360" w:lineRule="auto"/>
        <w:ind w:right="0" w:firstLine="480"/>
        <w:textAlignment w:val="auto"/>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eastAsia="zh-CN"/>
        </w:rPr>
        <w:t>（</w:t>
      </w:r>
      <w:r>
        <w:rPr>
          <w:rFonts w:hint="eastAsia" w:ascii="仿宋_GB2312" w:hAnsi="仿宋_GB2312" w:eastAsia="仿宋_GB2312" w:cs="仿宋_GB2312"/>
          <w:color w:val="000000"/>
          <w:sz w:val="20"/>
          <w:szCs w:val="20"/>
          <w:highlight w:val="none"/>
          <w:lang w:val="en-US" w:eastAsia="zh-CN"/>
        </w:rPr>
        <w:t>四</w:t>
      </w:r>
      <w:r>
        <w:rPr>
          <w:rFonts w:hint="eastAsia" w:ascii="仿宋_GB2312" w:hAnsi="仿宋_GB2312" w:eastAsia="仿宋_GB2312" w:cs="仿宋_GB2312"/>
          <w:color w:val="000000"/>
          <w:sz w:val="20"/>
          <w:szCs w:val="20"/>
          <w:highlight w:val="none"/>
          <w:lang w:eastAsia="zh-CN"/>
        </w:rPr>
        <w:t>）</w:t>
      </w:r>
      <w:r>
        <w:rPr>
          <w:rFonts w:hint="eastAsia" w:ascii="仿宋_GB2312" w:hAnsi="仿宋_GB2312" w:eastAsia="仿宋_GB2312" w:cs="仿宋_GB2312"/>
          <w:color w:val="000000"/>
          <w:sz w:val="20"/>
          <w:szCs w:val="20"/>
          <w:highlight w:val="none"/>
        </w:rPr>
        <w:t>指派性养护工作。采购人根据上级有关部门反映、媒体曝光、巡查人员发现等下派给</w:t>
      </w:r>
      <w:r>
        <w:rPr>
          <w:rFonts w:hint="eastAsia" w:ascii="仿宋_GB2312" w:hAnsi="仿宋_GB2312" w:eastAsia="仿宋_GB2312" w:cs="仿宋_GB2312"/>
          <w:color w:val="000000"/>
          <w:sz w:val="20"/>
          <w:szCs w:val="20"/>
          <w:highlight w:val="none"/>
          <w:lang w:eastAsia="zh-CN"/>
        </w:rPr>
        <w:t>中标人</w:t>
      </w:r>
      <w:r>
        <w:rPr>
          <w:rFonts w:hint="eastAsia" w:ascii="仿宋_GB2312" w:hAnsi="仿宋_GB2312" w:eastAsia="仿宋_GB2312" w:cs="仿宋_GB2312"/>
          <w:color w:val="000000"/>
          <w:sz w:val="20"/>
          <w:szCs w:val="20"/>
          <w:highlight w:val="none"/>
        </w:rPr>
        <w:t>的任务单，要求</w:t>
      </w:r>
      <w:r>
        <w:rPr>
          <w:rFonts w:hint="eastAsia" w:ascii="仿宋_GB2312" w:hAnsi="仿宋_GB2312" w:eastAsia="仿宋_GB2312" w:cs="仿宋_GB2312"/>
          <w:color w:val="000000"/>
          <w:sz w:val="20"/>
          <w:szCs w:val="20"/>
          <w:highlight w:val="none"/>
          <w:lang w:eastAsia="zh-CN"/>
        </w:rPr>
        <w:t>中标人</w:t>
      </w:r>
      <w:r>
        <w:rPr>
          <w:rFonts w:hint="eastAsia" w:ascii="仿宋_GB2312" w:hAnsi="仿宋_GB2312" w:eastAsia="仿宋_GB2312" w:cs="仿宋_GB2312"/>
          <w:color w:val="000000"/>
          <w:sz w:val="20"/>
          <w:szCs w:val="20"/>
          <w:highlight w:val="none"/>
        </w:rPr>
        <w:t>按时按质完成，并于次月月初和日常养护考核一并考核，同时核算养护经费。</w:t>
      </w:r>
    </w:p>
    <w:p w14:paraId="31A36E75">
      <w:pPr>
        <w:pStyle w:val="5"/>
        <w:keepNext w:val="0"/>
        <w:keepLines w:val="0"/>
        <w:pageBreakBefore w:val="0"/>
        <w:widowControl w:val="0"/>
        <w:kinsoku/>
        <w:wordWrap/>
        <w:overflowPunct/>
        <w:topLinePunct w:val="0"/>
        <w:autoSpaceDE/>
        <w:autoSpaceDN/>
        <w:bidi w:val="0"/>
        <w:adjustRightInd w:val="0"/>
        <w:snapToGrid w:val="0"/>
        <w:spacing w:line="360" w:lineRule="auto"/>
        <w:ind w:right="0" w:firstLine="480"/>
        <w:textAlignment w:val="auto"/>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eastAsia="zh-CN"/>
        </w:rPr>
        <w:t>（</w:t>
      </w:r>
      <w:r>
        <w:rPr>
          <w:rFonts w:hint="eastAsia" w:ascii="仿宋_GB2312" w:hAnsi="仿宋_GB2312" w:eastAsia="仿宋_GB2312" w:cs="仿宋_GB2312"/>
          <w:color w:val="000000"/>
          <w:sz w:val="20"/>
          <w:szCs w:val="20"/>
          <w:highlight w:val="none"/>
          <w:lang w:val="en-US" w:eastAsia="zh-CN"/>
        </w:rPr>
        <w:t>五</w:t>
      </w:r>
      <w:r>
        <w:rPr>
          <w:rFonts w:hint="eastAsia" w:ascii="仿宋_GB2312" w:hAnsi="仿宋_GB2312" w:eastAsia="仿宋_GB2312" w:cs="仿宋_GB2312"/>
          <w:color w:val="000000"/>
          <w:sz w:val="20"/>
          <w:szCs w:val="20"/>
          <w:highlight w:val="none"/>
          <w:lang w:eastAsia="zh-CN"/>
        </w:rPr>
        <w:t>）</w:t>
      </w:r>
      <w:r>
        <w:rPr>
          <w:rFonts w:hint="eastAsia" w:ascii="仿宋_GB2312" w:hAnsi="仿宋_GB2312" w:eastAsia="仿宋_GB2312" w:cs="仿宋_GB2312"/>
          <w:color w:val="000000"/>
          <w:sz w:val="20"/>
          <w:szCs w:val="20"/>
          <w:highlight w:val="none"/>
        </w:rPr>
        <w:t>突发、应急性养护工作。采购人根据上级有关部门的安排下派给</w:t>
      </w:r>
      <w:r>
        <w:rPr>
          <w:rFonts w:hint="eastAsia" w:ascii="仿宋_GB2312" w:hAnsi="仿宋_GB2312" w:eastAsia="仿宋_GB2312" w:cs="仿宋_GB2312"/>
          <w:color w:val="000000"/>
          <w:sz w:val="20"/>
          <w:szCs w:val="20"/>
          <w:highlight w:val="none"/>
          <w:lang w:eastAsia="zh-CN"/>
        </w:rPr>
        <w:t>中标人</w:t>
      </w:r>
      <w:r>
        <w:rPr>
          <w:rFonts w:hint="eastAsia" w:ascii="仿宋_GB2312" w:hAnsi="仿宋_GB2312" w:eastAsia="仿宋_GB2312" w:cs="仿宋_GB2312"/>
          <w:color w:val="000000"/>
          <w:sz w:val="20"/>
          <w:szCs w:val="20"/>
          <w:highlight w:val="none"/>
        </w:rPr>
        <w:t>的任务单，要求</w:t>
      </w:r>
      <w:r>
        <w:rPr>
          <w:rFonts w:hint="eastAsia" w:ascii="仿宋_GB2312" w:hAnsi="仿宋_GB2312" w:eastAsia="仿宋_GB2312" w:cs="仿宋_GB2312"/>
          <w:color w:val="000000"/>
          <w:sz w:val="20"/>
          <w:szCs w:val="20"/>
          <w:highlight w:val="none"/>
          <w:lang w:eastAsia="zh-CN"/>
        </w:rPr>
        <w:t>中标人</w:t>
      </w:r>
      <w:r>
        <w:rPr>
          <w:rFonts w:hint="eastAsia" w:ascii="仿宋_GB2312" w:hAnsi="仿宋_GB2312" w:eastAsia="仿宋_GB2312" w:cs="仿宋_GB2312"/>
          <w:color w:val="000000"/>
          <w:sz w:val="20"/>
          <w:szCs w:val="20"/>
          <w:highlight w:val="none"/>
        </w:rPr>
        <w:t>按时按质完成任务，任务完成后，采购人将对养护工作进行考核，同时核算养护经费。</w:t>
      </w:r>
    </w:p>
    <w:p w14:paraId="237BC743">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402" w:firstLineChars="200"/>
        <w:textAlignment w:val="auto"/>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b/>
          <w:bCs/>
          <w:color w:val="000000"/>
          <w:kern w:val="0"/>
          <w:sz w:val="20"/>
          <w:szCs w:val="20"/>
          <w:highlight w:val="none"/>
          <w:lang w:val="en-US" w:eastAsia="zh-CN"/>
        </w:rPr>
        <w:t>备注：投标人所提供服务需满足或优于以上内容。</w:t>
      </w:r>
    </w:p>
    <w:p w14:paraId="1F89ED00">
      <w:pPr>
        <w:pStyle w:val="5"/>
        <w:keepNext w:val="0"/>
        <w:keepLines w:val="0"/>
        <w:pageBreakBefore w:val="0"/>
        <w:widowControl w:val="0"/>
        <w:kinsoku/>
        <w:wordWrap/>
        <w:overflowPunct/>
        <w:topLinePunct w:val="0"/>
        <w:autoSpaceDE/>
        <w:autoSpaceDN/>
        <w:bidi w:val="0"/>
        <w:adjustRightInd w:val="0"/>
        <w:snapToGrid w:val="0"/>
        <w:spacing w:line="360" w:lineRule="auto"/>
        <w:ind w:right="0" w:firstLine="402" w:firstLineChars="200"/>
        <w:textAlignment w:val="auto"/>
        <w:rPr>
          <w:rFonts w:hint="eastAsia" w:ascii="仿宋_GB2312" w:hAnsi="仿宋_GB2312" w:eastAsia="仿宋_GB2312" w:cs="仿宋_GB2312"/>
          <w:b/>
          <w:bCs/>
          <w:color w:val="000000"/>
          <w:kern w:val="2"/>
          <w:sz w:val="20"/>
          <w:szCs w:val="20"/>
          <w:lang w:val="en-US" w:eastAsia="zh-CN" w:bidi="ar-SA"/>
        </w:rPr>
      </w:pPr>
      <w:r>
        <w:rPr>
          <w:rFonts w:hint="eastAsia" w:ascii="仿宋_GB2312" w:hAnsi="仿宋_GB2312" w:eastAsia="仿宋_GB2312" w:cs="仿宋_GB2312"/>
          <w:b/>
          <w:bCs/>
          <w:color w:val="000000"/>
          <w:kern w:val="2"/>
          <w:sz w:val="20"/>
          <w:szCs w:val="20"/>
          <w:lang w:val="en-US" w:eastAsia="zh-CN" w:bidi="ar-SA"/>
        </w:rPr>
        <w:t>三、项目预算及报价要求</w:t>
      </w:r>
    </w:p>
    <w:p w14:paraId="0CF76786">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（一）一标段预算：10136.6680万元。</w:t>
      </w:r>
    </w:p>
    <w:p w14:paraId="3AE87DD8">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default"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val="en-US" w:eastAsia="zh-CN"/>
        </w:rPr>
        <w:t xml:space="preserve">      二标段预算：7461.2620</w:t>
      </w:r>
      <w:r>
        <w:rPr>
          <w:rFonts w:hint="eastAsia" w:ascii="仿宋_GB2312" w:hAnsi="仿宋_GB2312" w:eastAsia="仿宋_GB2312" w:cs="仿宋_GB2312"/>
          <w:color w:val="000000"/>
          <w:sz w:val="20"/>
          <w:szCs w:val="20"/>
          <w:lang w:val="en-US" w:eastAsia="zh-CN"/>
        </w:rPr>
        <w:t>万元。</w:t>
      </w:r>
      <w:bookmarkStart w:id="0" w:name="_GoBack"/>
      <w:bookmarkEnd w:id="0"/>
    </w:p>
    <w:p w14:paraId="08A88722">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val="en-US" w:eastAsia="zh-CN"/>
        </w:rPr>
        <w:t>（二）报价要求：</w:t>
      </w:r>
    </w:p>
    <w:p w14:paraId="6AE3B41B">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val="en-US" w:eastAsia="zh-CN"/>
        </w:rPr>
        <w:t>本项目采用全费用综合单价报价，各供应商根据招标文件中道路及其市政设施的养护工程量进行自主报价，报价不能超过各项单价限价，否则视为废标。</w:t>
      </w:r>
    </w:p>
    <w:p w14:paraId="75819347">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2" w:firstLineChars="200"/>
        <w:textAlignment w:val="auto"/>
        <w:rPr>
          <w:rFonts w:hint="eastAsia" w:ascii="仿宋_GB2312" w:hAnsi="仿宋_GB2312" w:eastAsia="仿宋_GB2312" w:cs="仿宋_GB2312"/>
          <w:b/>
          <w:bCs/>
          <w:color w:val="000000"/>
          <w:sz w:val="20"/>
          <w:szCs w:val="20"/>
          <w:highlight w:val="none"/>
          <w:lang w:val="en-US" w:eastAsia="zh-CN"/>
        </w:rPr>
      </w:pPr>
      <w:r>
        <w:rPr>
          <w:rFonts w:hint="eastAsia" w:ascii="仿宋_GB2312" w:hAnsi="仿宋_GB2312" w:eastAsia="仿宋_GB2312" w:cs="仿宋_GB2312"/>
          <w:b/>
          <w:bCs/>
          <w:color w:val="000000"/>
          <w:sz w:val="20"/>
          <w:szCs w:val="20"/>
          <w:highlight w:val="none"/>
          <w:lang w:val="en-US" w:eastAsia="zh-CN"/>
        </w:rPr>
        <w:t>四、结算依据</w:t>
      </w:r>
    </w:p>
    <w:p w14:paraId="6D4183A6">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highlight w:val="none"/>
          <w:lang w:val="en-US" w:eastAsia="en-US"/>
        </w:rPr>
        <w:t>按照考核结果核算，按季据实结算支付养护费用。</w:t>
      </w:r>
      <w:r>
        <w:rPr>
          <w:rFonts w:hint="eastAsia" w:ascii="仿宋_GB2312" w:hAnsi="仿宋_GB2312" w:eastAsia="仿宋_GB2312" w:cs="仿宋_GB2312"/>
          <w:color w:val="000000"/>
          <w:sz w:val="20"/>
          <w:szCs w:val="20"/>
          <w:highlight w:val="none"/>
          <w:lang w:val="en-US" w:eastAsia="zh-CN"/>
        </w:rPr>
        <w:t>当结算金额达到采购</w:t>
      </w:r>
      <w:r>
        <w:rPr>
          <w:rFonts w:hint="eastAsia" w:ascii="仿宋_GB2312" w:hAnsi="仿宋_GB2312" w:eastAsia="仿宋_GB2312" w:cs="仿宋_GB2312"/>
          <w:color w:val="000000"/>
          <w:sz w:val="20"/>
          <w:szCs w:val="20"/>
          <w:lang w:val="en-US" w:eastAsia="zh-CN"/>
        </w:rPr>
        <w:t>预算时，相关服务自动终止。</w:t>
      </w:r>
    </w:p>
    <w:p w14:paraId="27BF9EA6">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en-US"/>
        </w:rPr>
      </w:pPr>
      <w:r>
        <w:rPr>
          <w:rFonts w:hint="eastAsia" w:ascii="仿宋_GB2312" w:hAnsi="仿宋_GB2312" w:eastAsia="仿宋_GB2312" w:cs="仿宋_GB2312"/>
          <w:color w:val="000000"/>
          <w:sz w:val="20"/>
          <w:szCs w:val="20"/>
          <w:lang w:val="en-US" w:eastAsia="en-US"/>
        </w:rPr>
        <w:t>按月考核核算办法如下：</w:t>
      </w:r>
    </w:p>
    <w:p w14:paraId="0E04B90C">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en-US"/>
        </w:rPr>
      </w:pPr>
      <w:r>
        <w:rPr>
          <w:rFonts w:hint="eastAsia" w:ascii="仿宋_GB2312" w:hAnsi="仿宋_GB2312" w:eastAsia="仿宋_GB2312" w:cs="仿宋_GB2312"/>
          <w:color w:val="000000"/>
          <w:sz w:val="20"/>
          <w:szCs w:val="20"/>
          <w:lang w:val="en-US" w:eastAsia="en-US"/>
        </w:rPr>
        <w:t>考核分数≥95分时，分项决算金额=当期分项结算价格；</w:t>
      </w:r>
    </w:p>
    <w:p w14:paraId="5D3B9D0B">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en-US"/>
        </w:rPr>
      </w:pPr>
      <w:r>
        <w:rPr>
          <w:rFonts w:hint="eastAsia" w:ascii="仿宋_GB2312" w:hAnsi="仿宋_GB2312" w:eastAsia="仿宋_GB2312" w:cs="仿宋_GB2312"/>
          <w:color w:val="000000"/>
          <w:sz w:val="20"/>
          <w:szCs w:val="20"/>
          <w:lang w:val="en-US" w:eastAsia="en-US"/>
        </w:rPr>
        <w:t>85分≤考核分数＜95分时，分项决算金额=当期分项结算价格*（本期考核分值+5）/100；</w:t>
      </w:r>
    </w:p>
    <w:p w14:paraId="0C245420">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en-US"/>
        </w:rPr>
      </w:pPr>
      <w:r>
        <w:rPr>
          <w:rFonts w:hint="eastAsia" w:ascii="仿宋_GB2312" w:hAnsi="仿宋_GB2312" w:eastAsia="仿宋_GB2312" w:cs="仿宋_GB2312"/>
          <w:color w:val="000000"/>
          <w:sz w:val="20"/>
          <w:szCs w:val="20"/>
          <w:lang w:val="en-US" w:eastAsia="en-US"/>
        </w:rPr>
        <w:t>当考核分数＜85分时，分项决算金额=当期分项结算价格*（本期考核分值）/100。</w:t>
      </w:r>
    </w:p>
    <w:p w14:paraId="7E746330">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2" w:firstLineChars="200"/>
        <w:textAlignment w:val="auto"/>
        <w:rPr>
          <w:rFonts w:hint="eastAsia" w:ascii="仿宋_GB2312" w:hAnsi="仿宋_GB2312" w:eastAsia="仿宋_GB2312" w:cs="仿宋_GB2312"/>
          <w:b/>
          <w:bCs/>
          <w:color w:val="000000"/>
          <w:sz w:val="20"/>
          <w:szCs w:val="20"/>
          <w:lang w:val="en-US" w:eastAsia="zh-CN"/>
        </w:rPr>
      </w:pPr>
      <w:r>
        <w:rPr>
          <w:rFonts w:hint="eastAsia" w:ascii="仿宋_GB2312" w:hAnsi="仿宋_GB2312" w:eastAsia="仿宋_GB2312" w:cs="仿宋_GB2312"/>
          <w:b/>
          <w:bCs/>
          <w:color w:val="000000"/>
          <w:sz w:val="20"/>
          <w:szCs w:val="20"/>
          <w:lang w:val="en-US" w:eastAsia="zh-CN"/>
        </w:rPr>
        <w:t xml:space="preserve"> 五、市政养护服务基本数据</w:t>
      </w:r>
    </w:p>
    <w:p w14:paraId="11B5D576">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default"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一标段：</w:t>
      </w:r>
    </w:p>
    <w:p w14:paraId="3E91D3D2">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（一）养护范围：</w:t>
      </w:r>
    </w:p>
    <w:p w14:paraId="3DAD12F0">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北至科技路（含）—高新四路（含）—南二环（不含）—高新三路（含）—光泰路（含）—高新风尚、高新银座、丽华大厦用地北界—高新路（含）—科技路（含）—博文路（含）—科技二路（含）；</w:t>
      </w:r>
    </w:p>
    <w:p w14:paraId="76338D6D">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东到太白南路（含）—西沣路（含）；</w:t>
      </w:r>
    </w:p>
    <w:p w14:paraId="0D81A72A">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西至科技西路沣东界、斗门街道；</w:t>
      </w:r>
    </w:p>
    <w:p w14:paraId="74E8498B">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南抵韦斗路（不含），含三星片区、海关片区、西沣路（至环山路北口），含西三环（里花水立交北端头—鱼化桥北端头）。</w:t>
      </w:r>
    </w:p>
    <w:p w14:paraId="5F93300E">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kern w:val="2"/>
          <w:sz w:val="20"/>
          <w:szCs w:val="20"/>
          <w:lang w:val="en-US" w:eastAsia="zh-CN" w:bidi="ar-SA"/>
        </w:rPr>
      </w:pPr>
      <w:r>
        <w:rPr>
          <w:rFonts w:hint="eastAsia" w:ascii="仿宋_GB2312" w:hAnsi="仿宋_GB2312" w:eastAsia="仿宋_GB2312" w:cs="仿宋_GB2312"/>
          <w:color w:val="000000"/>
          <w:kern w:val="2"/>
          <w:sz w:val="20"/>
          <w:szCs w:val="20"/>
          <w:lang w:val="en-US" w:eastAsia="zh-CN" w:bidi="ar-SA"/>
        </w:rPr>
        <w:t>（二）基础数据：</w:t>
      </w:r>
    </w:p>
    <w:p w14:paraId="1E1EFCEF">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道路:298条，面积 779.58万平方米；人行道面积182.927万平方米。</w:t>
      </w:r>
    </w:p>
    <w:p w14:paraId="37C40266">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桥梁:27座，其中人行天桥14 座，跨线(河)桥13 座;下穿隧道2处，涵洞4个。</w:t>
      </w:r>
    </w:p>
    <w:p w14:paraId="7F119D75">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default"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照明路灯13788根；标线39.81万平方米；标示牌 4150块；管理区域内护栏养护（景观移动护栏 1660 米）。咖啡街区特色围墙 902.19米，导向立牌7座，挡车球 149 座，树池箅子 298 套；多箱合一581处等。</w:t>
      </w:r>
    </w:p>
    <w:p w14:paraId="5CA5087B">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二标段：</w:t>
      </w:r>
    </w:p>
    <w:p w14:paraId="1DEB5B39">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（一）养护范围：</w:t>
      </w:r>
    </w:p>
    <w:p w14:paraId="1AE9A3C4">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北：南三环（里花水立交东端头-木塔寺桥东端头）；西三环（里花水立交北端头﹣丈八立交北端头）；纬二十四路（经十九路﹣经二十路）；纬三十路（西太路﹣经十四路）；纬二十四路（西太路-经十九路）；纬二十八路（西太路-经二十二路）；经二十六路（纬三十二路-纬二十路）；纬二十八路（西太路-经十二路）；经二十路（纬三十二路-纬二十路）；经十九路（纬二十六路-纬二十二路）；纬二十八路（经二十二路-经二十六路）；经十六路（纬二十八路-纬三十二路）；纬二十六路（西太路-经二十二路）；恒业大道（纬二十六路）（经二十六路-经三十二路）；启创路（规划十六路）（经二十路-经二十六路）；（振业路）纬二十八路（经十二路-西沣路）；星虹二路（经二十六路）（纬三十二路-兴隆三路）；（骏业路）纬三十路（西太路-经二十六路）；恒业大道（纬二十六路）（经二十路-经二十六路）；毕原二路（纬十六路）（经三十四路-经三十八路）</w:t>
      </w:r>
    </w:p>
    <w:p w14:paraId="7009E133">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东：隆丰路（东西五号路）（西太路-西沣路）；乾元路（广丰路-润丰路）；滨河南路（西太路-西沣路）；枣微路（兴隆路-云上路）；云桥路（西太路-枣微路）；林薇路（滨河北路-云上路）；盛丰路（西太路-西沣路）；枣微路（云上路-滨河北路）；滨河北路（西沣路-西太路）；双江一路（兴隆路-兴隆三路）；枣林路（滨河路-兴隆路）；兴隆三路（双江一路-双江二路）；</w:t>
      </w:r>
    </w:p>
    <w:p w14:paraId="721B4407">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default"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西：大吉二路（三星高速口﹣大吉二路延伸段）； 灵韵北路（匝道延伸段-沣泾大道）；G1路（X1-沣泾大道）；灵韵二路（临沣东路-灵秀一路）；国际学校北侧路（临沣东路-灵秀一路）；三星大道（通海五路-兴隆路）；大吉环道西段（灵秀一路北-灵秀一路南）；灵韵三路（大吉环道北-大吉环道南）；灵韵一路（灵韵北路-大吉环道）；灵秀一路（大吉环道-灵秀一路向东143米）；临沣东路（学校北侧路向南581米—匝道延伸路）；细柳路（细柳二路-大吉二路延伸段向南175米）；大吉二路（灵韵北路-细柳路）</w:t>
      </w:r>
    </w:p>
    <w:p w14:paraId="2E70C200">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南：西太路（西部大道-草堂转盘东侧）。</w:t>
      </w:r>
    </w:p>
    <w:p w14:paraId="1A33F1DC">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规划十六路（经二十六路-经二十路）；纬二十八路（经十二路-西沣路）；经二十六路（纬三十二路-兴隆三路）；规划十四路（纬二十八路-纬三十二路）；规划十七路（经十二路-西沣路）；沣邑大桥（沣河东岸堤顶路-沣河西岸堤顶路）；纬二十六路（西太路-西沣路）；规划十二路（纬二十六路-纬二十四路）；规划六路（纬三十二路-纬二十六路）；灵沼路（南丰三路以东108m-沣镐大道）；灵韵北路（匝道延伸路-沣镐大道）；纬三十二路（经十六路-经十二路）；经四十二路（纬三十二路-纬三十四路）；规划二十八路（经二十六路-经二十二路）；兴隆三路（双江一路-经三十八路）；经十二路（侧坡北路-纬三十二路）；经十六路（侧坡北路-纬三十二路）；规划二十九路（规划八路-西太路）；规划三十路（规划四路-经二十二路）；规划四路（兴隆三路-规划二十八路）；规划三十七路（环岛）；规划二十五路（西太路-规划三十七路）；规划二十三路（规划六路-规划三十七路）；规划十八路（经二十二路-规划六路）；规划十九路（规划六路-规划三十七路）；规划二十二路（经二十二路-规划六路）；纬三十四路（经二十二路-规划六路）；规划七路（规划三十七路-纬三十六路）；规划三十五路（双江二路-经二十二路）；纬三十六路（经二十六路-西太路）；规划十五路（经二十六路-规划九路）；侧坡北路（西太路以东237米）；沣镐大道（灵沼路-灵韵北路）；临沣东路南段（临沣东路现状路-北张一路以南175米）；灵秀一路南段（北张环道西段-北张内环以南60米）；纬三十四路（经四十四路-经四十二路）；兴隆二路（双江二路-经二十二路/西太路-规划十一路）；兴隆三路（双江二路-经二十二路）；纬三十五路（经三十二路-经二十六路）；规划一路（纬三十六路-兴隆一路）；兴隆临二路（经三十四路-经二十二路）；规划二十路（经三十二路-规划六路）；规划二十一路（经三十二路-规划六路）；兴隆临一路（经三十八路-规划一路）；规划三路（兴隆临二路-兴隆二路）；经三十二路（纬三十二路-规划二十路）；规划十一路（兴隆一路-兴隆二路）；规划三十四路（西太路-规划八路）；规划三十六路（规划八路-西太路）；规划三十三路（规划八路-规划十一路）；规划六路（纬三十二路-规划二十路、纬三十五路-纬三十六路）；规划八路（规划二十八路-纬三十六路）；规划二十八路（经二十二路-西太路）；规划五路（兴隆二路-兴隆三路）；经二十二路（纬三十六路-兴隆一路）；纬三十二路（经十二路-规划十四路）；规划二路（纬三十六路-兴隆临二路）；纬三十五路（经二十六路-经二十二路）；规划二十六路（规划三十七路-西太路）；经十二路（纬二十四路-韦斗路）；杏林路（规划二路-堰渡大道）</w:t>
      </w:r>
    </w:p>
    <w:p w14:paraId="1B239E68">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基础数据：</w:t>
      </w:r>
    </w:p>
    <w:p w14:paraId="2FB56AF2">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val="en-US" w:eastAsia="zh-CN"/>
        </w:rPr>
        <w:t>道路：106条，面积317.542万平方米；人行道面积45.32万平方米；</w:t>
      </w:r>
    </w:p>
    <w:p w14:paraId="6F241911">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00" w:firstLineChars="200"/>
        <w:textAlignment w:val="auto"/>
        <w:rPr>
          <w:rFonts w:hint="eastAsia" w:ascii="仿宋_GB2312" w:hAnsi="仿宋_GB2312" w:eastAsia="仿宋_GB2312" w:cs="仿宋_GB2312"/>
          <w:color w:val="000000"/>
          <w:kern w:val="2"/>
          <w:sz w:val="24"/>
          <w:szCs w:val="24"/>
          <w:u w:val="none"/>
          <w:lang w:val="en-US" w:eastAsia="zh-CN" w:bidi="ar-SA"/>
        </w:rPr>
      </w:pPr>
      <w:r>
        <w:rPr>
          <w:rFonts w:hint="eastAsia" w:ascii="仿宋_GB2312" w:hAnsi="仿宋_GB2312" w:eastAsia="仿宋_GB2312" w:cs="仿宋_GB2312"/>
          <w:color w:val="000000"/>
          <w:sz w:val="20"/>
          <w:szCs w:val="20"/>
          <w:lang w:val="en-US" w:eastAsia="zh-CN"/>
        </w:rPr>
        <w:t>桥梁7座，面积11.2万平方米；照明：7589组；标线：18.2万平方米；标示牌：2683块。</w:t>
      </w:r>
    </w:p>
    <w:p w14:paraId="68870F36">
      <w:pPr>
        <w:ind w:firstLine="402" w:firstLineChars="200"/>
        <w:rPr>
          <w:rFonts w:hint="default" w:eastAsiaTheme="minorEastAsia"/>
          <w:lang w:val="en-US" w:eastAsia="zh-CN"/>
        </w:rPr>
      </w:pPr>
      <w:r>
        <w:rPr>
          <w:rFonts w:hint="eastAsia" w:ascii="仿宋_GB2312" w:hAnsi="仿宋_GB2312" w:eastAsia="仿宋_GB2312" w:cs="仿宋_GB2312"/>
          <w:b/>
          <w:bCs/>
          <w:color w:val="000000"/>
          <w:kern w:val="2"/>
          <w:sz w:val="20"/>
          <w:szCs w:val="20"/>
          <w:u w:val="none"/>
          <w:lang w:val="en-US" w:eastAsia="zh-CN" w:bidi="ar-SA"/>
        </w:rPr>
        <w:t>六、养护工程量清单：</w:t>
      </w:r>
      <w:r>
        <w:rPr>
          <w:rFonts w:hint="eastAsia" w:ascii="仿宋_GB2312" w:hAnsi="仿宋_GB2312" w:eastAsia="仿宋_GB2312" w:cs="仿宋_GB2312"/>
          <w:b w:val="0"/>
          <w:bCs w:val="0"/>
          <w:color w:val="000000"/>
          <w:kern w:val="2"/>
          <w:sz w:val="20"/>
          <w:szCs w:val="20"/>
          <w:u w:val="none"/>
          <w:lang w:val="en-US" w:eastAsia="zh-CN" w:bidi="ar-SA"/>
        </w:rPr>
        <w:t>详见招标文件。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D9D45B"/>
    <w:multiLevelType w:val="singleLevel"/>
    <w:tmpl w:val="D3D9D45B"/>
    <w:lvl w:ilvl="0" w:tentative="0">
      <w:start w:val="2"/>
      <w:numFmt w:val="chineseCounting"/>
      <w:suff w:val="nothing"/>
      <w:lvlText w:val="（%1）"/>
      <w:lvlJc w:val="left"/>
      <w:rPr>
        <w:rFonts w:hint="eastAsia"/>
      </w:rPr>
    </w:lvl>
  </w:abstractNum>
  <w:abstractNum w:abstractNumId="1">
    <w:nsid w:val="70B821E4"/>
    <w:multiLevelType w:val="multilevel"/>
    <w:tmpl w:val="70B821E4"/>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DB5F28"/>
    <w:rsid w:val="0FC02FE7"/>
    <w:rsid w:val="20DB5F28"/>
    <w:rsid w:val="22D40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jc w:val="left"/>
    </w:pPr>
    <w:rPr>
      <w:kern w:val="0"/>
    </w:rPr>
  </w:style>
  <w:style w:type="paragraph" w:customStyle="1" w:styleId="5">
    <w:name w:val="列出段落1"/>
    <w:basedOn w:val="1"/>
    <w:qFormat/>
    <w:uiPriority w:val="0"/>
    <w:pPr>
      <w:ind w:firstLine="420" w:firstLineChars="200"/>
    </w:pPr>
  </w:style>
  <w:style w:type="paragraph" w:customStyle="1" w:styleId="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2026-09-08T11:31:00Z</dcterms:created>
  <dc:creator>陕西华采招标有限公司</dc:creator>
  <cp:lastModifiedBy>陕西华采招标有限公司</cp:lastModifiedBy>
  <dcterms:modified xsi:type="dcterms:W3CDTF">2026-09-08T12:17:58Z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D7676610EEFE4A3388273D65EB2AF362_11</vt:lpwstr>
  </property>
  <property fmtid="{D5CDD505-2E9C-101B-9397-08002B2CF9AE}" pid="4" name="KSOTemplateDocerSaveRecord">
    <vt:lpwstr>eyJoZGlkIjoiZWMxNWU5MTM1NDJhMzM3NzZlNjAyMmRiMjcyMmY4OWYiLCJ1c2VySWQiOiI5MzY1NjA0ODAifQ==</vt:lpwstr>
  </property>
</Properties>
</file>