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1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138"/>
        <w:gridCol w:w="3687"/>
        <w:gridCol w:w="1255"/>
        <w:gridCol w:w="1425"/>
      </w:tblGrid>
      <w:tr w14:paraId="4539B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645" w:type="dxa"/>
          </w:tcPr>
          <w:p w14:paraId="5BB7E093">
            <w:pPr>
              <w:spacing w:before="149" w:line="225" w:lineRule="auto"/>
              <w:ind w:left="132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138" w:type="dxa"/>
          </w:tcPr>
          <w:p w14:paraId="30E21B15">
            <w:pPr>
              <w:spacing w:before="148" w:line="227" w:lineRule="auto"/>
              <w:ind w:left="118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5"/>
                <w:sz w:val="24"/>
                <w:szCs w:val="24"/>
              </w:rPr>
              <w:t>设备名称</w:t>
            </w:r>
          </w:p>
        </w:tc>
        <w:tc>
          <w:tcPr>
            <w:tcW w:w="3687" w:type="dxa"/>
          </w:tcPr>
          <w:p w14:paraId="6438D263">
            <w:pPr>
              <w:spacing w:before="148" w:line="227" w:lineRule="auto"/>
              <w:ind w:left="1161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7"/>
                <w:sz w:val="24"/>
                <w:szCs w:val="24"/>
              </w:rPr>
              <w:t>参数</w:t>
            </w:r>
          </w:p>
        </w:tc>
        <w:tc>
          <w:tcPr>
            <w:tcW w:w="1255" w:type="dxa"/>
          </w:tcPr>
          <w:p w14:paraId="01110C73">
            <w:pPr>
              <w:spacing w:before="149" w:line="234" w:lineRule="auto"/>
              <w:ind w:left="116"/>
              <w:rPr>
                <w:rFonts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425" w:type="dxa"/>
          </w:tcPr>
          <w:p w14:paraId="638870FD">
            <w:pPr>
              <w:spacing w:before="149" w:line="225" w:lineRule="auto"/>
              <w:ind w:left="139"/>
              <w:rPr>
                <w:rFonts w:ascii="楷体" w:hAnsi="楷体" w:eastAsia="楷体" w:cs="楷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</w:rPr>
              <w:t>单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spacing w:val="-10"/>
                <w:sz w:val="24"/>
                <w:szCs w:val="24"/>
                <w:lang w:eastAsia="zh-CN"/>
              </w:rPr>
              <w:t>位</w:t>
            </w:r>
          </w:p>
        </w:tc>
      </w:tr>
      <w:tr w14:paraId="43237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5" w:hRule="atLeast"/>
        </w:trPr>
        <w:tc>
          <w:tcPr>
            <w:tcW w:w="645" w:type="dxa"/>
          </w:tcPr>
          <w:p w14:paraId="45528495">
            <w:pPr>
              <w:spacing w:line="313" w:lineRule="auto"/>
              <w:rPr>
                <w:color w:val="auto"/>
              </w:rPr>
            </w:pPr>
          </w:p>
          <w:p w14:paraId="269CB7DA">
            <w:pPr>
              <w:spacing w:line="314" w:lineRule="auto"/>
              <w:rPr>
                <w:color w:val="auto"/>
              </w:rPr>
            </w:pPr>
          </w:p>
          <w:p w14:paraId="625F12F3">
            <w:pPr>
              <w:spacing w:line="314" w:lineRule="auto"/>
              <w:rPr>
                <w:color w:val="auto"/>
              </w:rPr>
            </w:pPr>
          </w:p>
          <w:p w14:paraId="4AAADC59">
            <w:pPr>
              <w:pStyle w:val="8"/>
              <w:spacing w:before="61" w:line="258" w:lineRule="exact"/>
              <w:ind w:left="338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138" w:type="dxa"/>
          </w:tcPr>
          <w:p w14:paraId="5BE197F7">
            <w:pPr>
              <w:spacing w:line="262" w:lineRule="auto"/>
              <w:rPr>
                <w:color w:val="auto"/>
              </w:rPr>
            </w:pPr>
          </w:p>
          <w:p w14:paraId="53F85019">
            <w:pPr>
              <w:spacing w:line="262" w:lineRule="auto"/>
              <w:rPr>
                <w:color w:val="auto"/>
              </w:rPr>
            </w:pPr>
          </w:p>
          <w:p w14:paraId="570D1D97">
            <w:pPr>
              <w:spacing w:line="262" w:lineRule="auto"/>
              <w:rPr>
                <w:color w:val="auto"/>
              </w:rPr>
            </w:pPr>
          </w:p>
          <w:p w14:paraId="71A08B08">
            <w:pPr>
              <w:pStyle w:val="8"/>
              <w:spacing w:before="61" w:line="304" w:lineRule="auto"/>
              <w:ind w:left="298" w:right="296" w:firstLine="10"/>
              <w:rPr>
                <w:color w:val="auto"/>
              </w:rPr>
            </w:pPr>
            <w:r>
              <w:rPr>
                <w:color w:val="auto"/>
                <w:spacing w:val="4"/>
              </w:rPr>
              <w:t>多功能</w:t>
            </w:r>
            <w:r>
              <w:rPr>
                <w:color w:val="auto"/>
                <w:spacing w:val="7"/>
              </w:rPr>
              <w:t>切肉机</w:t>
            </w:r>
          </w:p>
        </w:tc>
        <w:tc>
          <w:tcPr>
            <w:tcW w:w="3687" w:type="dxa"/>
          </w:tcPr>
          <w:p w14:paraId="650411DF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切割方式：全自动连续式切割；</w:t>
            </w:r>
          </w:p>
          <w:p w14:paraId="0F744562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切割尺寸：可按需调节；</w:t>
            </w:r>
          </w:p>
          <w:p w14:paraId="1E091415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color w:val="auto"/>
                <w:spacing w:val="4"/>
                <w:lang w:eastAsia="zh-CN"/>
              </w:rPr>
              <w:t>功率：≥3.7kW；</w:t>
            </w:r>
          </w:p>
          <w:p w14:paraId="7CDBEFBA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输送带宽度：≥240mm；</w:t>
            </w:r>
          </w:p>
          <w:p w14:paraId="07BD519F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电源：380V/50Hz；</w:t>
            </w:r>
          </w:p>
          <w:p w14:paraId="151A0526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生产能力：500–1000kg/h；</w:t>
            </w:r>
          </w:p>
          <w:p w14:paraId="6E0C9234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与食品接触部位：304 不锈钢；</w:t>
            </w:r>
          </w:p>
          <w:p w14:paraId="6372DEB5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color w:val="auto"/>
                <w:spacing w:val="4"/>
                <w:lang w:eastAsia="zh-CN"/>
              </w:rPr>
              <w:t>设备结构：易拆洗、无卫生死角；</w:t>
            </w:r>
          </w:p>
          <w:p w14:paraId="77C94504">
            <w:pPr>
              <w:pStyle w:val="8"/>
              <w:spacing w:before="76"/>
              <w:ind w:left="18"/>
              <w:rPr>
                <w:color w:val="auto"/>
                <w:spacing w:val="4"/>
                <w:lang w:eastAsia="zh-CN"/>
              </w:rPr>
            </w:pPr>
            <w:r>
              <w:rPr>
                <w:rFonts w:hint="eastAsia"/>
                <w:color w:val="auto"/>
                <w:spacing w:val="4"/>
                <w:lang w:eastAsia="zh-CN"/>
              </w:rPr>
              <w:t>安全配置：急停按钮、过载保护、防护罩；</w:t>
            </w:r>
          </w:p>
          <w:p w14:paraId="26631AB2">
            <w:pPr>
              <w:pStyle w:val="8"/>
              <w:spacing w:before="76"/>
              <w:ind w:left="18"/>
              <w:rPr>
                <w:color w:val="auto"/>
              </w:rPr>
            </w:pPr>
            <w:r>
              <w:rPr>
                <w:rFonts w:hint="eastAsia"/>
                <w:color w:val="auto"/>
                <w:spacing w:val="4"/>
              </w:rPr>
              <w:t>运行噪音：≤75dB</w:t>
            </w:r>
            <w:r>
              <w:rPr>
                <w:rFonts w:hint="eastAsia"/>
                <w:color w:val="auto"/>
                <w:spacing w:val="4"/>
                <w:lang w:eastAsia="zh-CN"/>
              </w:rPr>
              <w:t>；</w:t>
            </w:r>
          </w:p>
        </w:tc>
        <w:tc>
          <w:tcPr>
            <w:tcW w:w="1255" w:type="dxa"/>
          </w:tcPr>
          <w:p w14:paraId="75A4CC3D">
            <w:pPr>
              <w:spacing w:line="313" w:lineRule="auto"/>
              <w:rPr>
                <w:color w:val="auto"/>
              </w:rPr>
            </w:pPr>
          </w:p>
          <w:p w14:paraId="10474A64">
            <w:pPr>
              <w:spacing w:line="314" w:lineRule="auto"/>
              <w:rPr>
                <w:color w:val="auto"/>
              </w:rPr>
            </w:pPr>
          </w:p>
          <w:p w14:paraId="55253A9F">
            <w:pPr>
              <w:spacing w:line="314" w:lineRule="auto"/>
              <w:rPr>
                <w:color w:val="auto"/>
              </w:rPr>
            </w:pPr>
          </w:p>
          <w:p w14:paraId="7E7E0232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7AD2F5B5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0E024055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97237C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2B569CB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2F144C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645" w:type="dxa"/>
          </w:tcPr>
          <w:p w14:paraId="77966479">
            <w:pPr>
              <w:spacing w:line="278" w:lineRule="auto"/>
              <w:rPr>
                <w:color w:val="auto"/>
              </w:rPr>
            </w:pPr>
          </w:p>
          <w:p w14:paraId="7ADE7790">
            <w:pPr>
              <w:spacing w:line="279" w:lineRule="auto"/>
              <w:rPr>
                <w:color w:val="auto"/>
              </w:rPr>
            </w:pPr>
          </w:p>
          <w:p w14:paraId="7C8FE264">
            <w:pPr>
              <w:spacing w:line="279" w:lineRule="auto"/>
              <w:rPr>
                <w:color w:val="auto"/>
              </w:rPr>
            </w:pPr>
          </w:p>
          <w:p w14:paraId="74F219F2">
            <w:pPr>
              <w:pStyle w:val="8"/>
              <w:spacing w:before="61" w:line="258" w:lineRule="exact"/>
              <w:ind w:left="326"/>
              <w:rPr>
                <w:color w:val="auto"/>
              </w:rPr>
            </w:pPr>
            <w:r>
              <w:rPr>
                <w:color w:val="auto"/>
                <w:position w:val="1"/>
              </w:rPr>
              <w:t>2</w:t>
            </w:r>
          </w:p>
        </w:tc>
        <w:tc>
          <w:tcPr>
            <w:tcW w:w="1138" w:type="dxa"/>
          </w:tcPr>
          <w:p w14:paraId="26628A84">
            <w:pPr>
              <w:spacing w:line="278" w:lineRule="auto"/>
              <w:rPr>
                <w:color w:val="auto"/>
              </w:rPr>
            </w:pPr>
          </w:p>
          <w:p w14:paraId="6885D400">
            <w:pPr>
              <w:spacing w:line="279" w:lineRule="auto"/>
              <w:rPr>
                <w:color w:val="auto"/>
              </w:rPr>
            </w:pPr>
          </w:p>
          <w:p w14:paraId="4710EB24">
            <w:pPr>
              <w:spacing w:line="279" w:lineRule="auto"/>
              <w:rPr>
                <w:color w:val="auto"/>
              </w:rPr>
            </w:pPr>
          </w:p>
          <w:p w14:paraId="2ED445CD">
            <w:pPr>
              <w:pStyle w:val="8"/>
              <w:spacing w:before="62" w:line="228" w:lineRule="auto"/>
              <w:ind w:left="302"/>
              <w:rPr>
                <w:color w:val="auto"/>
              </w:rPr>
            </w:pPr>
            <w:r>
              <w:rPr>
                <w:color w:val="auto"/>
                <w:spacing w:val="6"/>
              </w:rPr>
              <w:t>绞肉机</w:t>
            </w:r>
          </w:p>
        </w:tc>
        <w:tc>
          <w:tcPr>
            <w:tcW w:w="3687" w:type="dxa"/>
          </w:tcPr>
          <w:p w14:paraId="0C622585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生产能力：200–500kg/h；</w:t>
            </w:r>
          </w:p>
          <w:p w14:paraId="11F0BE59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功率：≥4kW；</w:t>
            </w:r>
          </w:p>
          <w:p w14:paraId="60A832F2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color w:val="auto"/>
                <w:spacing w:val="3"/>
                <w:lang w:eastAsia="zh-CN"/>
              </w:rPr>
              <w:t>电源：380V；</w:t>
            </w:r>
          </w:p>
          <w:p w14:paraId="24331BE8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配置：≥3种规格孔板，可快速更换；</w:t>
            </w:r>
          </w:p>
          <w:p w14:paraId="5326BAB5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与食品接触部位：304 不锈钢；</w:t>
            </w:r>
          </w:p>
          <w:p w14:paraId="5DE1C367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结构：立式、易清洁；</w:t>
            </w:r>
          </w:p>
          <w:p w14:paraId="4D0660B8">
            <w:pPr>
              <w:pStyle w:val="8"/>
              <w:spacing w:before="73"/>
              <w:ind w:left="20"/>
              <w:rPr>
                <w:color w:val="auto"/>
                <w:spacing w:val="3"/>
                <w:lang w:eastAsia="zh-CN"/>
              </w:rPr>
            </w:pPr>
            <w:r>
              <w:rPr>
                <w:color w:val="auto"/>
                <w:spacing w:val="3"/>
                <w:lang w:eastAsia="zh-CN"/>
              </w:rPr>
              <w:t>整机防护等级：≥IP54；</w:t>
            </w:r>
          </w:p>
          <w:p w14:paraId="7B83FA97">
            <w:pPr>
              <w:pStyle w:val="8"/>
              <w:spacing w:before="73"/>
              <w:ind w:left="20"/>
              <w:rPr>
                <w:color w:val="auto"/>
              </w:rPr>
            </w:pPr>
            <w:r>
              <w:rPr>
                <w:color w:val="auto"/>
                <w:spacing w:val="3"/>
              </w:rPr>
              <w:t>重量：</w:t>
            </w:r>
            <w:r>
              <w:rPr>
                <w:rFonts w:hint="eastAsia"/>
                <w:color w:val="auto"/>
                <w:spacing w:val="3"/>
              </w:rPr>
              <w:t>≤</w:t>
            </w:r>
            <w:r>
              <w:rPr>
                <w:color w:val="auto"/>
                <w:spacing w:val="3"/>
              </w:rPr>
              <w:t>120kg</w:t>
            </w:r>
          </w:p>
        </w:tc>
        <w:tc>
          <w:tcPr>
            <w:tcW w:w="1255" w:type="dxa"/>
          </w:tcPr>
          <w:p w14:paraId="7C8028F0">
            <w:pPr>
              <w:spacing w:line="278" w:lineRule="auto"/>
              <w:rPr>
                <w:color w:val="auto"/>
              </w:rPr>
            </w:pPr>
          </w:p>
          <w:p w14:paraId="2466824B">
            <w:pPr>
              <w:spacing w:line="279" w:lineRule="auto"/>
              <w:rPr>
                <w:color w:val="auto"/>
              </w:rPr>
            </w:pPr>
          </w:p>
          <w:p w14:paraId="1EE17454">
            <w:pPr>
              <w:spacing w:line="279" w:lineRule="auto"/>
              <w:rPr>
                <w:color w:val="auto"/>
              </w:rPr>
            </w:pPr>
          </w:p>
          <w:p w14:paraId="4A9F3A72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2E99EDFC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6476428D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02CF5268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  <w:lang w:eastAsia="zh-CN"/>
              </w:rPr>
            </w:pPr>
          </w:p>
          <w:p w14:paraId="6E87C4BE">
            <w:pPr>
              <w:pStyle w:val="8"/>
              <w:spacing w:before="61" w:line="257" w:lineRule="exact"/>
              <w:ind w:left="125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043FE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6" w:hRule="atLeast"/>
        </w:trPr>
        <w:tc>
          <w:tcPr>
            <w:tcW w:w="645" w:type="dxa"/>
          </w:tcPr>
          <w:p w14:paraId="2468A88A">
            <w:pPr>
              <w:spacing w:line="355" w:lineRule="auto"/>
              <w:rPr>
                <w:color w:val="auto"/>
              </w:rPr>
            </w:pPr>
          </w:p>
          <w:p w14:paraId="0FDCFDBE">
            <w:pPr>
              <w:spacing w:line="356" w:lineRule="auto"/>
              <w:rPr>
                <w:color w:val="auto"/>
              </w:rPr>
            </w:pPr>
          </w:p>
          <w:p w14:paraId="73E4A60C">
            <w:pPr>
              <w:pStyle w:val="8"/>
              <w:spacing w:before="61" w:line="257" w:lineRule="exact"/>
              <w:ind w:left="327"/>
              <w:rPr>
                <w:color w:val="auto"/>
              </w:rPr>
            </w:pPr>
            <w:r>
              <w:rPr>
                <w:color w:val="auto"/>
                <w:position w:val="1"/>
              </w:rPr>
              <w:t>3</w:t>
            </w:r>
          </w:p>
        </w:tc>
        <w:tc>
          <w:tcPr>
            <w:tcW w:w="1138" w:type="dxa"/>
          </w:tcPr>
          <w:p w14:paraId="77C3CD56">
            <w:pPr>
              <w:spacing w:line="355" w:lineRule="auto"/>
              <w:rPr>
                <w:color w:val="auto"/>
              </w:rPr>
            </w:pPr>
          </w:p>
          <w:p w14:paraId="108FC2E0">
            <w:pPr>
              <w:spacing w:line="356" w:lineRule="auto"/>
              <w:rPr>
                <w:color w:val="auto"/>
              </w:rPr>
            </w:pPr>
          </w:p>
          <w:p w14:paraId="3A5AC8C1">
            <w:pPr>
              <w:pStyle w:val="8"/>
              <w:spacing w:before="62" w:line="228" w:lineRule="auto"/>
              <w:ind w:left="301"/>
              <w:rPr>
                <w:color w:val="auto"/>
              </w:rPr>
            </w:pPr>
            <w:r>
              <w:rPr>
                <w:color w:val="auto"/>
                <w:spacing w:val="6"/>
              </w:rPr>
              <w:t>拌馅机</w:t>
            </w:r>
          </w:p>
        </w:tc>
        <w:tc>
          <w:tcPr>
            <w:tcW w:w="3687" w:type="dxa"/>
          </w:tcPr>
          <w:p w14:paraId="0C0CDBEC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有效容积：≥200L；</w:t>
            </w:r>
          </w:p>
          <w:p w14:paraId="31AB9172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最大投料量：≥160kg；</w:t>
            </w:r>
          </w:p>
          <w:p w14:paraId="5ADE16D6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rFonts w:hint="eastAsia"/>
                <w:color w:val="auto"/>
                <w:spacing w:val="5"/>
                <w:lang w:eastAsia="zh-CN"/>
              </w:rPr>
              <w:t>功率：≥3kW；</w:t>
            </w:r>
          </w:p>
          <w:p w14:paraId="303F1FF7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电源：380V/50Hz；</w:t>
            </w:r>
          </w:p>
          <w:p w14:paraId="28D11B04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搅拌形式：双轴双旋向、正反转可调；</w:t>
            </w:r>
          </w:p>
          <w:p w14:paraId="096F6DA8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搅拌速度：多档位可调；</w:t>
            </w:r>
          </w:p>
          <w:p w14:paraId="2C8B023B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与食品接触部位：304 不锈钢；</w:t>
            </w:r>
          </w:p>
          <w:p w14:paraId="00E016CC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结构：可倾翻自动出料、易拆卸；</w:t>
            </w:r>
          </w:p>
          <w:p w14:paraId="7DD9323F">
            <w:pPr>
              <w:pStyle w:val="8"/>
              <w:spacing w:before="152"/>
              <w:ind w:left="22"/>
              <w:rPr>
                <w:color w:val="auto"/>
                <w:spacing w:val="5"/>
                <w:lang w:eastAsia="zh-CN"/>
              </w:rPr>
            </w:pPr>
            <w:r>
              <w:rPr>
                <w:rFonts w:hint="eastAsia"/>
                <w:color w:val="auto"/>
                <w:spacing w:val="5"/>
                <w:lang w:eastAsia="zh-CN"/>
              </w:rPr>
              <w:t>安全配置：开盖停机、过载保护、急停；</w:t>
            </w:r>
          </w:p>
          <w:p w14:paraId="50309EAF">
            <w:pPr>
              <w:pStyle w:val="8"/>
              <w:spacing w:before="152"/>
              <w:ind w:left="22"/>
              <w:rPr>
                <w:color w:val="auto"/>
              </w:rPr>
            </w:pPr>
            <w:r>
              <w:rPr>
                <w:rFonts w:hint="eastAsia"/>
                <w:color w:val="auto"/>
                <w:spacing w:val="5"/>
              </w:rPr>
              <w:t>运行噪音：≤75dB；</w:t>
            </w:r>
          </w:p>
        </w:tc>
        <w:tc>
          <w:tcPr>
            <w:tcW w:w="1255" w:type="dxa"/>
          </w:tcPr>
          <w:p w14:paraId="339B10F1">
            <w:pPr>
              <w:spacing w:line="355" w:lineRule="auto"/>
              <w:rPr>
                <w:color w:val="auto"/>
              </w:rPr>
            </w:pPr>
          </w:p>
          <w:p w14:paraId="325241DE">
            <w:pPr>
              <w:spacing w:line="356" w:lineRule="auto"/>
              <w:rPr>
                <w:color w:val="auto"/>
              </w:rPr>
            </w:pPr>
          </w:p>
          <w:p w14:paraId="4E5E4546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01616E12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6AD0CC5F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661D6DB2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  <w:lang w:eastAsia="zh-CN"/>
              </w:rPr>
            </w:pPr>
          </w:p>
          <w:p w14:paraId="495213BD">
            <w:pPr>
              <w:pStyle w:val="8"/>
              <w:spacing w:before="61" w:line="257" w:lineRule="exact"/>
              <w:ind w:left="122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775EF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645" w:type="dxa"/>
          </w:tcPr>
          <w:p w14:paraId="301938CE">
            <w:pPr>
              <w:spacing w:line="268" w:lineRule="auto"/>
              <w:rPr>
                <w:color w:val="auto"/>
              </w:rPr>
            </w:pPr>
          </w:p>
          <w:p w14:paraId="1940023E">
            <w:pPr>
              <w:spacing w:line="269" w:lineRule="auto"/>
              <w:rPr>
                <w:color w:val="auto"/>
              </w:rPr>
            </w:pPr>
          </w:p>
          <w:p w14:paraId="296D3480">
            <w:pPr>
              <w:spacing w:line="269" w:lineRule="auto"/>
              <w:rPr>
                <w:color w:val="auto"/>
              </w:rPr>
            </w:pPr>
          </w:p>
          <w:p w14:paraId="0608091A">
            <w:pPr>
              <w:pStyle w:val="8"/>
              <w:spacing w:before="61" w:line="258" w:lineRule="exact"/>
              <w:ind w:left="323"/>
              <w:rPr>
                <w:color w:val="auto"/>
              </w:rPr>
            </w:pPr>
            <w:r>
              <w:rPr>
                <w:color w:val="auto"/>
                <w:position w:val="1"/>
              </w:rPr>
              <w:t>4</w:t>
            </w:r>
          </w:p>
        </w:tc>
        <w:tc>
          <w:tcPr>
            <w:tcW w:w="1138" w:type="dxa"/>
          </w:tcPr>
          <w:p w14:paraId="5E7A5054">
            <w:pPr>
              <w:spacing w:line="268" w:lineRule="auto"/>
              <w:rPr>
                <w:color w:val="auto"/>
              </w:rPr>
            </w:pPr>
          </w:p>
          <w:p w14:paraId="0E5C5462">
            <w:pPr>
              <w:spacing w:line="269" w:lineRule="auto"/>
              <w:rPr>
                <w:color w:val="auto"/>
              </w:rPr>
            </w:pPr>
          </w:p>
          <w:p w14:paraId="13DD06F8">
            <w:pPr>
              <w:spacing w:line="269" w:lineRule="auto"/>
              <w:rPr>
                <w:color w:val="auto"/>
              </w:rPr>
            </w:pPr>
          </w:p>
          <w:p w14:paraId="20B99762">
            <w:pPr>
              <w:pStyle w:val="8"/>
              <w:spacing w:before="61" w:line="228" w:lineRule="auto"/>
              <w:ind w:left="302"/>
              <w:rPr>
                <w:color w:val="auto"/>
              </w:rPr>
            </w:pPr>
            <w:r>
              <w:rPr>
                <w:color w:val="auto"/>
                <w:spacing w:val="6"/>
              </w:rPr>
              <w:t>灌肠机</w:t>
            </w:r>
          </w:p>
        </w:tc>
        <w:tc>
          <w:tcPr>
            <w:tcW w:w="3687" w:type="dxa"/>
          </w:tcPr>
          <w:p w14:paraId="59601B0C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生产能力：500–1200kg/h；</w:t>
            </w:r>
          </w:p>
          <w:p w14:paraId="51ABFD50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总功率：≥2.2kW；</w:t>
            </w:r>
          </w:p>
          <w:p w14:paraId="25BD1858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电源：380V/50Hz；</w:t>
            </w:r>
          </w:p>
          <w:p w14:paraId="3FC5486E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料斗：双斗设计，单斗≥80L，总容积≥160L；</w:t>
            </w:r>
          </w:p>
          <w:p w14:paraId="45843CC1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灌装形式：液压定量灌装；</w:t>
            </w:r>
          </w:p>
          <w:p w14:paraId="1D51FD60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与食品接触部位：304 不锈钢；</w:t>
            </w:r>
          </w:p>
          <w:p w14:paraId="584BA927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灌装量：连续精准可调；</w:t>
            </w:r>
          </w:p>
          <w:p w14:paraId="3B5FD043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结构：易拆洗、无死角；</w:t>
            </w:r>
          </w:p>
          <w:p w14:paraId="0150EE2F">
            <w:pPr>
              <w:pStyle w:val="8"/>
              <w:spacing w:before="92" w:line="229" w:lineRule="auto"/>
              <w:ind w:left="22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安全配置：过载保护、急停、防夹手；</w:t>
            </w:r>
          </w:p>
          <w:p w14:paraId="51526B47">
            <w:pPr>
              <w:pStyle w:val="8"/>
              <w:spacing w:before="92" w:line="229" w:lineRule="auto"/>
              <w:ind w:left="22"/>
              <w:rPr>
                <w:color w:val="auto"/>
              </w:rPr>
            </w:pPr>
            <w:r>
              <w:rPr>
                <w:rFonts w:hint="eastAsia"/>
                <w:color w:val="auto"/>
                <w:spacing w:val="8"/>
              </w:rPr>
              <w:t>主机重量：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8"/>
              </w:rPr>
              <w:t>580kg；</w:t>
            </w:r>
          </w:p>
        </w:tc>
        <w:tc>
          <w:tcPr>
            <w:tcW w:w="1255" w:type="dxa"/>
          </w:tcPr>
          <w:p w14:paraId="6CF5CB4C">
            <w:pPr>
              <w:spacing w:line="268" w:lineRule="auto"/>
              <w:rPr>
                <w:color w:val="auto"/>
              </w:rPr>
            </w:pPr>
          </w:p>
          <w:p w14:paraId="70CD41C1">
            <w:pPr>
              <w:spacing w:line="269" w:lineRule="auto"/>
              <w:rPr>
                <w:color w:val="auto"/>
              </w:rPr>
            </w:pPr>
          </w:p>
          <w:p w14:paraId="05590769">
            <w:pPr>
              <w:spacing w:line="269" w:lineRule="auto"/>
              <w:rPr>
                <w:color w:val="auto"/>
              </w:rPr>
            </w:pPr>
          </w:p>
          <w:p w14:paraId="3DD90AF3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740D1962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E1635DF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72B8C2A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  <w:lang w:eastAsia="zh-CN"/>
              </w:rPr>
            </w:pPr>
          </w:p>
          <w:p w14:paraId="064A5E16">
            <w:pPr>
              <w:pStyle w:val="8"/>
              <w:spacing w:before="61" w:line="257" w:lineRule="exact"/>
              <w:ind w:left="178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6E853E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645" w:type="dxa"/>
          </w:tcPr>
          <w:p w14:paraId="5940896C">
            <w:pPr>
              <w:spacing w:line="269" w:lineRule="auto"/>
              <w:rPr>
                <w:color w:val="auto"/>
              </w:rPr>
            </w:pPr>
          </w:p>
          <w:p w14:paraId="4329A321">
            <w:pPr>
              <w:spacing w:line="269" w:lineRule="auto"/>
              <w:rPr>
                <w:color w:val="auto"/>
              </w:rPr>
            </w:pPr>
          </w:p>
          <w:p w14:paraId="112601D4">
            <w:pPr>
              <w:spacing w:line="270" w:lineRule="auto"/>
              <w:rPr>
                <w:color w:val="auto"/>
              </w:rPr>
            </w:pPr>
          </w:p>
          <w:p w14:paraId="12F75B74">
            <w:pPr>
              <w:pStyle w:val="8"/>
              <w:spacing w:before="61" w:line="257" w:lineRule="exact"/>
              <w:ind w:left="327"/>
              <w:rPr>
                <w:color w:val="auto"/>
              </w:rPr>
            </w:pPr>
            <w:r>
              <w:rPr>
                <w:color w:val="auto"/>
                <w:position w:val="1"/>
              </w:rPr>
              <w:t>5</w:t>
            </w:r>
          </w:p>
        </w:tc>
        <w:tc>
          <w:tcPr>
            <w:tcW w:w="1138" w:type="dxa"/>
          </w:tcPr>
          <w:p w14:paraId="1CAF4491">
            <w:pPr>
              <w:spacing w:line="269" w:lineRule="auto"/>
              <w:rPr>
                <w:color w:val="auto"/>
              </w:rPr>
            </w:pPr>
          </w:p>
          <w:p w14:paraId="1807E10C">
            <w:pPr>
              <w:spacing w:line="269" w:lineRule="auto"/>
              <w:rPr>
                <w:color w:val="auto"/>
              </w:rPr>
            </w:pPr>
          </w:p>
          <w:p w14:paraId="30590255">
            <w:pPr>
              <w:spacing w:line="270" w:lineRule="auto"/>
              <w:rPr>
                <w:color w:val="auto"/>
              </w:rPr>
            </w:pPr>
          </w:p>
          <w:p w14:paraId="14EAEAE1">
            <w:pPr>
              <w:pStyle w:val="8"/>
              <w:spacing w:before="61" w:line="228" w:lineRule="auto"/>
              <w:ind w:left="298"/>
              <w:rPr>
                <w:color w:val="auto"/>
              </w:rPr>
            </w:pPr>
            <w:r>
              <w:rPr>
                <w:color w:val="auto"/>
                <w:spacing w:val="7"/>
              </w:rPr>
              <w:t>切骨机</w:t>
            </w:r>
          </w:p>
        </w:tc>
        <w:tc>
          <w:tcPr>
            <w:tcW w:w="3687" w:type="dxa"/>
          </w:tcPr>
          <w:p w14:paraId="134F6F8B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电机功率：≥1.5kW；</w:t>
            </w:r>
          </w:p>
          <w:p w14:paraId="6EF2AB3D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电源：220V或380V ；</w:t>
            </w:r>
          </w:p>
          <w:p w14:paraId="50FA81FB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锯条线速度：≥14m/s；</w:t>
            </w:r>
          </w:p>
          <w:p w14:paraId="6AFF7294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最大锯切宽度：≥23cm；</w:t>
            </w:r>
          </w:p>
          <w:p w14:paraId="0D3A7D28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最大锯切高度：≥35cm；</w:t>
            </w:r>
          </w:p>
          <w:p w14:paraId="01E5E513">
            <w:pPr>
              <w:pStyle w:val="8"/>
              <w:spacing w:before="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工作台：304 不锈钢，</w:t>
            </w:r>
            <w:r>
              <w:rPr>
                <w:color w:val="auto"/>
                <w:spacing w:val="3"/>
                <w:lang w:eastAsia="zh-CN"/>
              </w:rPr>
              <w:t>尺寸</w:t>
            </w:r>
            <w:r>
              <w:rPr>
                <w:rFonts w:hint="eastAsia"/>
                <w:color w:val="auto"/>
                <w:spacing w:val="-1"/>
                <w:lang w:eastAsia="zh-CN"/>
              </w:rPr>
              <w:t>≥</w:t>
            </w:r>
            <w:r>
              <w:rPr>
                <w:color w:val="auto"/>
                <w:spacing w:val="3"/>
                <w:lang w:eastAsia="zh-CN"/>
              </w:rPr>
              <w:t>620 X750</w:t>
            </w:r>
            <w:r>
              <w:rPr>
                <w:color w:val="auto"/>
                <w:lang w:eastAsia="zh-CN"/>
              </w:rPr>
              <w:t>mm</w:t>
            </w:r>
            <w:r>
              <w:rPr>
                <w:rFonts w:hint="eastAsia"/>
                <w:color w:val="auto"/>
                <w:spacing w:val="-1"/>
                <w:lang w:eastAsia="zh-CN"/>
              </w:rPr>
              <w:t>；</w:t>
            </w:r>
          </w:p>
          <w:p w14:paraId="7383DEA0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安全配置：滑动台面、安全护罩、急停开关、防回弹；</w:t>
            </w:r>
          </w:p>
          <w:p w14:paraId="65BBE95C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锯条：食品级通用规格；</w:t>
            </w:r>
          </w:p>
          <w:p w14:paraId="749B9F45">
            <w:pPr>
              <w:pStyle w:val="8"/>
              <w:spacing w:before="94" w:line="228" w:lineRule="auto"/>
              <w:ind w:left="43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运行平稳、噪音低；</w:t>
            </w:r>
          </w:p>
          <w:p w14:paraId="1A2FB5DD">
            <w:pPr>
              <w:pStyle w:val="8"/>
              <w:spacing w:before="77" w:line="228" w:lineRule="auto"/>
              <w:rPr>
                <w:color w:val="auto"/>
                <w:lang w:eastAsia="zh-CN"/>
              </w:rPr>
            </w:pPr>
          </w:p>
        </w:tc>
        <w:tc>
          <w:tcPr>
            <w:tcW w:w="1255" w:type="dxa"/>
          </w:tcPr>
          <w:p w14:paraId="219C5927">
            <w:pPr>
              <w:spacing w:line="269" w:lineRule="auto"/>
              <w:rPr>
                <w:color w:val="auto"/>
                <w:lang w:eastAsia="zh-CN"/>
              </w:rPr>
            </w:pPr>
          </w:p>
          <w:p w14:paraId="77F95678">
            <w:pPr>
              <w:spacing w:line="269" w:lineRule="auto"/>
              <w:rPr>
                <w:color w:val="auto"/>
                <w:lang w:eastAsia="zh-CN"/>
              </w:rPr>
            </w:pPr>
          </w:p>
          <w:p w14:paraId="71D0E2D8">
            <w:pPr>
              <w:spacing w:line="270" w:lineRule="auto"/>
              <w:rPr>
                <w:color w:val="auto"/>
                <w:lang w:eastAsia="zh-CN"/>
              </w:rPr>
            </w:pPr>
          </w:p>
          <w:p w14:paraId="64D707ED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4204A22F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293515E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4775AB6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60346B2F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348A15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8" w:hRule="atLeast"/>
        </w:trPr>
        <w:tc>
          <w:tcPr>
            <w:tcW w:w="645" w:type="dxa"/>
          </w:tcPr>
          <w:p w14:paraId="3C988FA7">
            <w:pPr>
              <w:spacing w:line="296" w:lineRule="auto"/>
              <w:rPr>
                <w:color w:val="auto"/>
              </w:rPr>
            </w:pPr>
          </w:p>
          <w:p w14:paraId="1794A794">
            <w:pPr>
              <w:spacing w:line="297" w:lineRule="auto"/>
              <w:rPr>
                <w:color w:val="auto"/>
              </w:rPr>
            </w:pPr>
          </w:p>
          <w:p w14:paraId="11E6D38F">
            <w:pPr>
              <w:spacing w:line="297" w:lineRule="auto"/>
              <w:rPr>
                <w:color w:val="auto"/>
              </w:rPr>
            </w:pPr>
          </w:p>
          <w:p w14:paraId="0098B1C1">
            <w:pPr>
              <w:pStyle w:val="8"/>
              <w:spacing w:before="61" w:line="257" w:lineRule="exact"/>
              <w:ind w:left="325"/>
              <w:rPr>
                <w:color w:val="auto"/>
              </w:rPr>
            </w:pPr>
            <w:r>
              <w:rPr>
                <w:color w:val="auto"/>
                <w:position w:val="1"/>
              </w:rPr>
              <w:t>6</w:t>
            </w:r>
          </w:p>
        </w:tc>
        <w:tc>
          <w:tcPr>
            <w:tcW w:w="1138" w:type="dxa"/>
          </w:tcPr>
          <w:p w14:paraId="610B35F8">
            <w:pPr>
              <w:spacing w:line="296" w:lineRule="auto"/>
              <w:rPr>
                <w:color w:val="auto"/>
              </w:rPr>
            </w:pPr>
          </w:p>
          <w:p w14:paraId="1DFD37F7">
            <w:pPr>
              <w:spacing w:line="297" w:lineRule="auto"/>
              <w:rPr>
                <w:color w:val="auto"/>
              </w:rPr>
            </w:pPr>
          </w:p>
          <w:p w14:paraId="340127F9">
            <w:pPr>
              <w:spacing w:line="297" w:lineRule="auto"/>
              <w:rPr>
                <w:color w:val="auto"/>
              </w:rPr>
            </w:pPr>
          </w:p>
          <w:p w14:paraId="4E2638BF">
            <w:pPr>
              <w:pStyle w:val="8"/>
              <w:spacing w:before="62" w:line="228" w:lineRule="auto"/>
              <w:ind w:left="102"/>
              <w:rPr>
                <w:color w:val="auto"/>
              </w:rPr>
            </w:pPr>
            <w:r>
              <w:rPr>
                <w:color w:val="auto"/>
                <w:spacing w:val="7"/>
              </w:rPr>
              <w:t>真空包装机</w:t>
            </w:r>
          </w:p>
        </w:tc>
        <w:tc>
          <w:tcPr>
            <w:tcW w:w="3687" w:type="dxa"/>
          </w:tcPr>
          <w:p w14:paraId="50D1DB18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真空室有效尺寸：≥810×670×110mm；</w:t>
            </w:r>
          </w:p>
          <w:p w14:paraId="1F31AB83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封口形式：双条加热封口；</w:t>
            </w:r>
          </w:p>
          <w:p w14:paraId="6C72130C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单条封口长度：≥700mm；封口宽度：≥8mm；封条间距：≥550mm；</w:t>
            </w:r>
          </w:p>
          <w:p w14:paraId="0A8E8081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rFonts w:hint="eastAsia"/>
                <w:color w:val="auto"/>
                <w:spacing w:val="-1"/>
              </w:rPr>
              <w:t>真空度：≤-0.1MPa；</w:t>
            </w:r>
          </w:p>
          <w:p w14:paraId="45DCB491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功率：≥3kW；</w:t>
            </w:r>
          </w:p>
          <w:p w14:paraId="25D8AF56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电源：380V/50Hz；</w:t>
            </w:r>
          </w:p>
          <w:p w14:paraId="37BBC26F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与食品接触部位：304 不锈钢；</w:t>
            </w:r>
          </w:p>
          <w:p w14:paraId="48914253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配置：真空、封口、冷却、充气一体化；</w:t>
            </w:r>
          </w:p>
          <w:p w14:paraId="1F47DDFF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  <w:lang w:eastAsia="zh-CN"/>
              </w:rPr>
            </w:pPr>
            <w:r>
              <w:rPr>
                <w:rFonts w:hint="eastAsia"/>
                <w:color w:val="auto"/>
                <w:spacing w:val="-1"/>
                <w:lang w:eastAsia="zh-CN"/>
              </w:rPr>
              <w:t>安全配置：急停、过载保护、开盖断电；</w:t>
            </w:r>
          </w:p>
          <w:p w14:paraId="266ECBAC">
            <w:pPr>
              <w:pStyle w:val="8"/>
              <w:spacing w:before="177" w:line="228" w:lineRule="auto"/>
              <w:ind w:left="22"/>
              <w:rPr>
                <w:color w:val="auto"/>
                <w:spacing w:val="-1"/>
              </w:rPr>
            </w:pPr>
            <w:r>
              <w:rPr>
                <w:rFonts w:hint="eastAsia"/>
                <w:color w:val="auto"/>
                <w:spacing w:val="-1"/>
              </w:rPr>
              <w:t>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-1"/>
              </w:rPr>
              <w:t>400kg；</w:t>
            </w:r>
          </w:p>
          <w:p w14:paraId="14A84681">
            <w:pPr>
              <w:pStyle w:val="8"/>
              <w:spacing w:before="77" w:line="223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571B286D">
            <w:pPr>
              <w:spacing w:line="296" w:lineRule="auto"/>
              <w:rPr>
                <w:color w:val="auto"/>
              </w:rPr>
            </w:pPr>
          </w:p>
          <w:p w14:paraId="72B34A0B">
            <w:pPr>
              <w:spacing w:line="297" w:lineRule="auto"/>
              <w:rPr>
                <w:color w:val="auto"/>
              </w:rPr>
            </w:pPr>
          </w:p>
          <w:p w14:paraId="1FC5B654">
            <w:pPr>
              <w:spacing w:line="297" w:lineRule="auto"/>
              <w:rPr>
                <w:color w:val="auto"/>
              </w:rPr>
            </w:pPr>
          </w:p>
          <w:p w14:paraId="142BF9C4">
            <w:pPr>
              <w:pStyle w:val="8"/>
              <w:spacing w:before="61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2EFCE361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283F7902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CBA2900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2BC26D9A">
            <w:pPr>
              <w:pStyle w:val="8"/>
              <w:spacing w:before="61" w:line="257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533B2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3" w:hRule="atLeast"/>
        </w:trPr>
        <w:tc>
          <w:tcPr>
            <w:tcW w:w="645" w:type="dxa"/>
          </w:tcPr>
          <w:p w14:paraId="4BD906CC">
            <w:pPr>
              <w:spacing w:line="314" w:lineRule="auto"/>
              <w:rPr>
                <w:color w:val="auto"/>
              </w:rPr>
            </w:pPr>
          </w:p>
          <w:p w14:paraId="29574E4A">
            <w:pPr>
              <w:spacing w:line="314" w:lineRule="auto"/>
              <w:rPr>
                <w:color w:val="auto"/>
              </w:rPr>
            </w:pPr>
          </w:p>
          <w:p w14:paraId="0F0B4878">
            <w:pPr>
              <w:spacing w:line="315" w:lineRule="auto"/>
              <w:rPr>
                <w:color w:val="auto"/>
              </w:rPr>
            </w:pPr>
          </w:p>
          <w:p w14:paraId="25D55F1C">
            <w:pPr>
              <w:pStyle w:val="8"/>
              <w:spacing w:before="62" w:line="256" w:lineRule="exact"/>
              <w:ind w:left="328"/>
              <w:rPr>
                <w:color w:val="auto"/>
              </w:rPr>
            </w:pPr>
            <w:r>
              <w:rPr>
                <w:color w:val="auto"/>
                <w:position w:val="1"/>
              </w:rPr>
              <w:t>7</w:t>
            </w:r>
          </w:p>
        </w:tc>
        <w:tc>
          <w:tcPr>
            <w:tcW w:w="1138" w:type="dxa"/>
          </w:tcPr>
          <w:p w14:paraId="38E58E23">
            <w:pPr>
              <w:spacing w:line="314" w:lineRule="auto"/>
              <w:rPr>
                <w:color w:val="auto"/>
              </w:rPr>
            </w:pPr>
          </w:p>
          <w:p w14:paraId="160AC19E">
            <w:pPr>
              <w:spacing w:line="315" w:lineRule="auto"/>
              <w:rPr>
                <w:color w:val="auto"/>
              </w:rPr>
            </w:pPr>
          </w:p>
          <w:p w14:paraId="2670F621">
            <w:pPr>
              <w:spacing w:line="315" w:lineRule="auto"/>
              <w:rPr>
                <w:color w:val="auto"/>
              </w:rPr>
            </w:pPr>
          </w:p>
          <w:p w14:paraId="4B13A4FA">
            <w:pPr>
              <w:pStyle w:val="8"/>
              <w:spacing w:before="61" w:line="228" w:lineRule="auto"/>
              <w:ind w:left="100"/>
              <w:rPr>
                <w:color w:val="auto"/>
              </w:rPr>
            </w:pPr>
            <w:r>
              <w:rPr>
                <w:color w:val="auto"/>
                <w:spacing w:val="8"/>
              </w:rPr>
              <w:t>猪肉去皮机</w:t>
            </w:r>
          </w:p>
        </w:tc>
        <w:tc>
          <w:tcPr>
            <w:tcW w:w="3687" w:type="dxa"/>
          </w:tcPr>
          <w:p w14:paraId="31AB4693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有效去皮宽度：≥500mm；</w:t>
            </w:r>
          </w:p>
          <w:p w14:paraId="7688AD25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电机功率：≥0.75kW；</w:t>
            </w:r>
          </w:p>
          <w:p w14:paraId="5208598E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处理速度：≥18m/min；</w:t>
            </w:r>
          </w:p>
          <w:p w14:paraId="2AB79AEF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去皮厚度：0.5–6mm 连续可调；</w:t>
            </w:r>
          </w:p>
          <w:p w14:paraId="5303FBE3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刀片：食品级不锈钢、可磨可换；</w:t>
            </w:r>
          </w:p>
          <w:p w14:paraId="383B06DC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与食品接触部位：304 不锈钢；</w:t>
            </w:r>
          </w:p>
          <w:p w14:paraId="69CB6089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结构：易拆洗、无卫生死角；</w:t>
            </w:r>
          </w:p>
          <w:p w14:paraId="381625EE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  <w:lang w:eastAsia="zh-CN"/>
              </w:rPr>
            </w:pPr>
            <w:r>
              <w:rPr>
                <w:rFonts w:hint="eastAsia"/>
                <w:color w:val="auto"/>
                <w:spacing w:val="7"/>
                <w:lang w:eastAsia="zh-CN"/>
              </w:rPr>
              <w:t>安全配置：防护罩、急停开关、过载保护；</w:t>
            </w:r>
          </w:p>
          <w:p w14:paraId="3D453590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</w:rPr>
            </w:pPr>
            <w:r>
              <w:rPr>
                <w:rFonts w:hint="eastAsia"/>
                <w:color w:val="auto"/>
                <w:spacing w:val="7"/>
              </w:rPr>
              <w:t>机器重量：</w:t>
            </w:r>
            <w:r>
              <w:rPr>
                <w:rFonts w:hint="eastAsia"/>
                <w:color w:val="auto"/>
                <w:spacing w:val="5"/>
              </w:rPr>
              <w:t>≤</w:t>
            </w:r>
            <w:r>
              <w:rPr>
                <w:rFonts w:hint="eastAsia"/>
                <w:color w:val="auto"/>
                <w:spacing w:val="7"/>
              </w:rPr>
              <w:t>120kg；</w:t>
            </w:r>
          </w:p>
          <w:p w14:paraId="4F298305">
            <w:pPr>
              <w:pStyle w:val="8"/>
              <w:spacing w:before="75" w:line="230" w:lineRule="auto"/>
              <w:ind w:left="24"/>
              <w:rPr>
                <w:color w:val="auto"/>
                <w:spacing w:val="7"/>
              </w:rPr>
            </w:pPr>
          </w:p>
          <w:p w14:paraId="67EEE53C">
            <w:pPr>
              <w:pStyle w:val="8"/>
              <w:spacing w:before="76" w:line="228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136543E2">
            <w:pPr>
              <w:spacing w:line="314" w:lineRule="auto"/>
              <w:rPr>
                <w:color w:val="auto"/>
              </w:rPr>
            </w:pPr>
          </w:p>
          <w:p w14:paraId="3E07FFE1">
            <w:pPr>
              <w:spacing w:line="314" w:lineRule="auto"/>
              <w:rPr>
                <w:color w:val="auto"/>
              </w:rPr>
            </w:pPr>
          </w:p>
          <w:p w14:paraId="1E2BE2C7">
            <w:pPr>
              <w:spacing w:line="315" w:lineRule="auto"/>
              <w:rPr>
                <w:color w:val="auto"/>
              </w:rPr>
            </w:pPr>
          </w:p>
          <w:p w14:paraId="709A6B75">
            <w:pPr>
              <w:pStyle w:val="8"/>
              <w:spacing w:before="62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6AB712E1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7E630551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5136B6DA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  <w:lang w:eastAsia="zh-CN"/>
              </w:rPr>
            </w:pPr>
          </w:p>
          <w:p w14:paraId="394B98E9">
            <w:pPr>
              <w:pStyle w:val="8"/>
              <w:spacing w:before="62" w:line="256" w:lineRule="exact"/>
              <w:ind w:left="12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06210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645" w:type="dxa"/>
          </w:tcPr>
          <w:p w14:paraId="7CF79B28">
            <w:pPr>
              <w:spacing w:line="251" w:lineRule="auto"/>
              <w:rPr>
                <w:color w:val="auto"/>
              </w:rPr>
            </w:pPr>
          </w:p>
          <w:p w14:paraId="01334950">
            <w:pPr>
              <w:spacing w:line="251" w:lineRule="auto"/>
              <w:rPr>
                <w:color w:val="auto"/>
              </w:rPr>
            </w:pPr>
          </w:p>
          <w:p w14:paraId="5D0B38C5">
            <w:pPr>
              <w:spacing w:line="251" w:lineRule="auto"/>
              <w:rPr>
                <w:color w:val="auto"/>
              </w:rPr>
            </w:pPr>
          </w:p>
          <w:p w14:paraId="5523B455">
            <w:pPr>
              <w:pStyle w:val="8"/>
              <w:spacing w:before="61" w:line="257" w:lineRule="exact"/>
              <w:ind w:left="324"/>
              <w:rPr>
                <w:color w:val="auto"/>
              </w:rPr>
            </w:pPr>
            <w:r>
              <w:rPr>
                <w:color w:val="auto"/>
                <w:position w:val="1"/>
              </w:rPr>
              <w:t>8</w:t>
            </w:r>
          </w:p>
        </w:tc>
        <w:tc>
          <w:tcPr>
            <w:tcW w:w="1138" w:type="dxa"/>
          </w:tcPr>
          <w:p w14:paraId="762386FF">
            <w:pPr>
              <w:spacing w:line="250" w:lineRule="auto"/>
              <w:rPr>
                <w:color w:val="auto"/>
              </w:rPr>
            </w:pPr>
          </w:p>
          <w:p w14:paraId="714A4EFD">
            <w:pPr>
              <w:spacing w:line="251" w:lineRule="auto"/>
              <w:rPr>
                <w:color w:val="auto"/>
              </w:rPr>
            </w:pPr>
          </w:p>
          <w:p w14:paraId="26ADD746">
            <w:pPr>
              <w:spacing w:line="251" w:lineRule="auto"/>
              <w:rPr>
                <w:color w:val="auto"/>
              </w:rPr>
            </w:pPr>
          </w:p>
          <w:p w14:paraId="64D07BBA">
            <w:pPr>
              <w:pStyle w:val="8"/>
              <w:spacing w:before="62" w:line="229" w:lineRule="auto"/>
              <w:ind w:left="298"/>
              <w:rPr>
                <w:color w:val="auto"/>
              </w:rPr>
            </w:pPr>
            <w:r>
              <w:rPr>
                <w:color w:val="auto"/>
                <w:spacing w:val="7"/>
              </w:rPr>
              <w:t>操作台</w:t>
            </w:r>
          </w:p>
        </w:tc>
        <w:tc>
          <w:tcPr>
            <w:tcW w:w="3687" w:type="dxa"/>
          </w:tcPr>
          <w:p w14:paraId="211A3346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整体材质：304 不锈钢；</w:t>
            </w:r>
          </w:p>
          <w:p w14:paraId="34278EFA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台面厚度：≥1.2mm；</w:t>
            </w:r>
          </w:p>
          <w:p w14:paraId="43C59BF2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承重：≥200kg/㎡；</w:t>
            </w:r>
          </w:p>
          <w:p w14:paraId="7151585D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结构：满焊加固、无缝打磨；配置：可调平防滑支脚、四角圆弧钝化；</w:t>
            </w:r>
          </w:p>
          <w:p w14:paraId="1F4FDECD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  <w:lang w:eastAsia="zh-CN"/>
              </w:rPr>
            </w:pPr>
            <w:r>
              <w:rPr>
                <w:rFonts w:hint="eastAsia"/>
                <w:color w:val="auto"/>
                <w:spacing w:val="6"/>
                <w:lang w:eastAsia="zh-CN"/>
              </w:rPr>
              <w:t>设计：无死角易清洁、防积水；外观平整无毛刺；</w:t>
            </w:r>
          </w:p>
          <w:p w14:paraId="42C2E629">
            <w:pPr>
              <w:pStyle w:val="8"/>
              <w:spacing w:before="61" w:line="228" w:lineRule="auto"/>
              <w:ind w:left="19"/>
              <w:rPr>
                <w:color w:val="auto"/>
                <w:spacing w:val="6"/>
              </w:rPr>
            </w:pPr>
            <w:r>
              <w:rPr>
                <w:rFonts w:hint="eastAsia"/>
                <w:color w:val="auto"/>
                <w:spacing w:val="6"/>
              </w:rPr>
              <w:t>重量：</w:t>
            </w:r>
            <w:r>
              <w:rPr>
                <w:rFonts w:hint="eastAsia"/>
                <w:color w:val="auto"/>
                <w:spacing w:val="7"/>
              </w:rPr>
              <w:t>≥</w:t>
            </w:r>
            <w:r>
              <w:rPr>
                <w:rFonts w:hint="eastAsia"/>
                <w:color w:val="auto"/>
                <w:spacing w:val="6"/>
              </w:rPr>
              <w:t>80kg；</w:t>
            </w:r>
          </w:p>
          <w:p w14:paraId="07BD0265">
            <w:pPr>
              <w:pStyle w:val="8"/>
              <w:spacing w:before="82" w:line="228" w:lineRule="auto"/>
              <w:ind w:left="23"/>
              <w:rPr>
                <w:color w:val="auto"/>
              </w:rPr>
            </w:pPr>
          </w:p>
        </w:tc>
        <w:tc>
          <w:tcPr>
            <w:tcW w:w="1255" w:type="dxa"/>
          </w:tcPr>
          <w:p w14:paraId="5A31A7A3">
            <w:pPr>
              <w:spacing w:line="251" w:lineRule="auto"/>
              <w:rPr>
                <w:color w:val="auto"/>
              </w:rPr>
            </w:pPr>
          </w:p>
          <w:p w14:paraId="224E7F52">
            <w:pPr>
              <w:spacing w:line="251" w:lineRule="auto"/>
              <w:rPr>
                <w:color w:val="auto"/>
              </w:rPr>
            </w:pPr>
          </w:p>
          <w:p w14:paraId="10C59898">
            <w:pPr>
              <w:spacing w:line="251" w:lineRule="auto"/>
              <w:rPr>
                <w:color w:val="auto"/>
              </w:rPr>
            </w:pPr>
          </w:p>
          <w:p w14:paraId="7E937FA2">
            <w:pPr>
              <w:pStyle w:val="8"/>
              <w:spacing w:before="61" w:line="257" w:lineRule="exact"/>
              <w:ind w:left="311"/>
              <w:rPr>
                <w:color w:val="auto"/>
              </w:rPr>
            </w:pPr>
            <w:r>
              <w:rPr>
                <w:color w:val="auto"/>
                <w:position w:val="1"/>
              </w:rPr>
              <w:t>3</w:t>
            </w:r>
          </w:p>
        </w:tc>
        <w:tc>
          <w:tcPr>
            <w:tcW w:w="1425" w:type="dxa"/>
          </w:tcPr>
          <w:p w14:paraId="61CA037D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  <w:lang w:eastAsia="zh-CN"/>
              </w:rPr>
            </w:pPr>
          </w:p>
          <w:p w14:paraId="3431BE7E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  <w:lang w:eastAsia="zh-CN"/>
              </w:rPr>
            </w:pPr>
          </w:p>
          <w:p w14:paraId="67F32C84">
            <w:pPr>
              <w:pStyle w:val="8"/>
              <w:spacing w:before="61" w:line="257" w:lineRule="exact"/>
              <w:ind w:left="173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4C8EA6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645" w:type="dxa"/>
          </w:tcPr>
          <w:p w14:paraId="0794FC49">
            <w:pPr>
              <w:spacing w:line="309" w:lineRule="auto"/>
              <w:rPr>
                <w:color w:val="auto"/>
              </w:rPr>
            </w:pPr>
          </w:p>
          <w:p w14:paraId="2BCBB6E4">
            <w:pPr>
              <w:spacing w:line="309" w:lineRule="auto"/>
              <w:rPr>
                <w:color w:val="auto"/>
              </w:rPr>
            </w:pPr>
          </w:p>
          <w:p w14:paraId="5AFEE368">
            <w:pPr>
              <w:spacing w:line="310" w:lineRule="auto"/>
              <w:rPr>
                <w:color w:val="auto"/>
              </w:rPr>
            </w:pPr>
          </w:p>
          <w:p w14:paraId="679A3A01">
            <w:pPr>
              <w:pStyle w:val="8"/>
              <w:spacing w:before="62" w:line="257" w:lineRule="exact"/>
              <w:ind w:left="324"/>
              <w:rPr>
                <w:color w:val="auto"/>
              </w:rPr>
            </w:pPr>
            <w:r>
              <w:rPr>
                <w:color w:val="auto"/>
                <w:position w:val="1"/>
              </w:rPr>
              <w:t>9</w:t>
            </w:r>
          </w:p>
        </w:tc>
        <w:tc>
          <w:tcPr>
            <w:tcW w:w="1138" w:type="dxa"/>
          </w:tcPr>
          <w:p w14:paraId="371A7DBF">
            <w:pPr>
              <w:spacing w:line="309" w:lineRule="auto"/>
              <w:rPr>
                <w:color w:val="auto"/>
              </w:rPr>
            </w:pPr>
          </w:p>
          <w:p w14:paraId="440CE544">
            <w:pPr>
              <w:spacing w:line="310" w:lineRule="auto"/>
              <w:rPr>
                <w:color w:val="auto"/>
              </w:rPr>
            </w:pPr>
          </w:p>
          <w:p w14:paraId="58176755">
            <w:pPr>
              <w:spacing w:line="310" w:lineRule="auto"/>
              <w:rPr>
                <w:color w:val="auto"/>
              </w:rPr>
            </w:pPr>
          </w:p>
          <w:p w14:paraId="3B976C19">
            <w:pPr>
              <w:pStyle w:val="8"/>
              <w:spacing w:before="61" w:line="228" w:lineRule="auto"/>
              <w:ind w:left="202"/>
              <w:rPr>
                <w:color w:val="auto"/>
              </w:rPr>
            </w:pPr>
            <w:r>
              <w:rPr>
                <w:color w:val="auto"/>
                <w:spacing w:val="7"/>
              </w:rPr>
              <w:t>提升货梯</w:t>
            </w:r>
          </w:p>
        </w:tc>
        <w:tc>
          <w:tcPr>
            <w:tcW w:w="3687" w:type="dxa"/>
          </w:tcPr>
          <w:p w14:paraId="374ADD90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spacing w:val="2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设备类型：固定式导轨简易升降机；</w:t>
            </w:r>
          </w:p>
          <w:p w14:paraId="55C4246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5EC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额定载重量：≥400kg；</w:t>
            </w:r>
          </w:p>
          <w:p w14:paraId="575B613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提升高度：按现场实际层高定制，满足楼层间货物运输；</w:t>
            </w:r>
          </w:p>
          <w:p w14:paraId="5709D311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停层站数：按现场实际；</w:t>
            </w:r>
          </w:p>
          <w:p w14:paraId="1C45ACFA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5EC"/>
              </w:rPr>
              <w:t>★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运行速度：≥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.0m/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val="en-US" w:eastAsia="zh-CN"/>
              </w:rPr>
              <w:t>min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，平稳无冲击；</w:t>
            </w:r>
          </w:p>
          <w:p w14:paraId="6A0C3A69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导轨形式：垂直固定式刚性导轨，材质为 125H 型钢；</w:t>
            </w:r>
          </w:p>
          <w:p w14:paraId="65A5557C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驱动方式：液压驱动，双油缸同步顶升；</w:t>
            </w:r>
          </w:p>
          <w:p w14:paraId="2464C523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液压泵站：功率≥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val="en-US" w:eastAsia="zh-CN"/>
              </w:rPr>
              <w:t>3</w:t>
            </w:r>
            <w:bookmarkStart w:id="1" w:name="_GoBack"/>
            <w:bookmarkEnd w:id="1"/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kW，配置风冷散热、溢流保护、静音运行；</w:t>
            </w:r>
          </w:p>
          <w:p w14:paraId="327ABD81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传动机构：16×34 板式重载链条，双链条驱动；</w:t>
            </w:r>
          </w:p>
          <w:p w14:paraId="396E95EA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台面框架：100mm×200mm 矩形钢管，整体满焊加固；</w:t>
            </w:r>
          </w:p>
          <w:p w14:paraId="6FA715F6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承载台面：厚度≥5mm 花纹钢板/304不锈钢板，防滑耐磨；</w:t>
            </w:r>
          </w:p>
          <w:p w14:paraId="1B38EACE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电源规格：380V±10%；</w:t>
            </w:r>
          </w:p>
          <w:p w14:paraId="65AE719E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地坑深度：400</w:t>
            </w:r>
            <w:r>
              <w:rPr>
                <w:rFonts w:hint="eastAsia"/>
                <w:b w:val="0"/>
                <w:bCs w:val="0"/>
                <w:color w:val="auto"/>
                <w:spacing w:val="8"/>
                <w:lang w:eastAsia="zh-CN"/>
              </w:rPr>
              <w:t xml:space="preserve"> mm，平面尺寸≥台面外形尺寸四周+300mm检修空间</w:t>
            </w:r>
          </w:p>
          <w:p w14:paraId="44797B87">
            <w:pPr>
              <w:pStyle w:val="8"/>
              <w:spacing w:before="61" w:line="304" w:lineRule="auto"/>
              <w:ind w:left="20" w:firstLine="4"/>
              <w:jc w:val="both"/>
              <w:rPr>
                <w:b w:val="0"/>
                <w:bCs w:val="0"/>
                <w:color w:val="auto"/>
                <w:spacing w:val="2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pacing w:val="2"/>
                <w:lang w:eastAsia="zh-CN"/>
              </w:rPr>
              <w:t>控制方式：手动按钮</w:t>
            </w:r>
          </w:p>
          <w:p w14:paraId="5EF956B9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spacing w:val="2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安全装置：机械式防坠；上下行程限位开关；极限位置保护开关；过载保护装置；紧急停止按钮；断电手动下降阀</w:t>
            </w:r>
          </w:p>
          <w:p w14:paraId="6A388E45">
            <w:pPr>
              <w:pStyle w:val="8"/>
              <w:spacing w:before="61" w:line="304" w:lineRule="auto"/>
              <w:ind w:left="20" w:firstLine="4"/>
              <w:jc w:val="both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spacing w:val="2"/>
                <w:lang w:eastAsia="zh-CN"/>
              </w:rPr>
              <w:t>结构要求：框架整体防锈处理（底漆 + 面漆），运行平稳、无晃动、无异响；</w:t>
            </w:r>
          </w:p>
        </w:tc>
        <w:tc>
          <w:tcPr>
            <w:tcW w:w="1255" w:type="dxa"/>
          </w:tcPr>
          <w:p w14:paraId="19134AEE">
            <w:pPr>
              <w:spacing w:line="309" w:lineRule="auto"/>
              <w:rPr>
                <w:color w:val="auto"/>
                <w:lang w:eastAsia="zh-CN"/>
              </w:rPr>
            </w:pPr>
          </w:p>
          <w:p w14:paraId="6B0B2B12">
            <w:pPr>
              <w:spacing w:line="309" w:lineRule="auto"/>
              <w:rPr>
                <w:color w:val="auto"/>
                <w:lang w:eastAsia="zh-CN"/>
              </w:rPr>
            </w:pPr>
          </w:p>
          <w:p w14:paraId="6E010D08">
            <w:pPr>
              <w:spacing w:line="310" w:lineRule="auto"/>
              <w:rPr>
                <w:color w:val="auto"/>
                <w:lang w:eastAsia="zh-CN"/>
              </w:rPr>
            </w:pPr>
          </w:p>
          <w:p w14:paraId="58E31AB7">
            <w:pPr>
              <w:pStyle w:val="8"/>
              <w:spacing w:before="62" w:line="258" w:lineRule="exact"/>
              <w:ind w:left="322"/>
              <w:rPr>
                <w:color w:val="auto"/>
              </w:rPr>
            </w:pPr>
            <w:r>
              <w:rPr>
                <w:color w:val="auto"/>
                <w:position w:val="1"/>
              </w:rPr>
              <w:t>1</w:t>
            </w:r>
          </w:p>
        </w:tc>
        <w:tc>
          <w:tcPr>
            <w:tcW w:w="1425" w:type="dxa"/>
          </w:tcPr>
          <w:p w14:paraId="35683210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30272357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1541C0E3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  <w:lang w:eastAsia="zh-CN"/>
              </w:rPr>
            </w:pPr>
          </w:p>
          <w:p w14:paraId="748FB159">
            <w:pPr>
              <w:pStyle w:val="8"/>
              <w:spacing w:before="62" w:line="257" w:lineRule="exact"/>
              <w:ind w:left="8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  <w:tr w14:paraId="2894E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645" w:type="dxa"/>
          </w:tcPr>
          <w:p w14:paraId="1CDA018E">
            <w:pPr>
              <w:spacing w:line="297" w:lineRule="auto"/>
              <w:rPr>
                <w:color w:val="auto"/>
              </w:rPr>
            </w:pPr>
          </w:p>
          <w:p w14:paraId="18CA615E">
            <w:pPr>
              <w:spacing w:line="297" w:lineRule="auto"/>
              <w:rPr>
                <w:color w:val="auto"/>
              </w:rPr>
            </w:pPr>
          </w:p>
          <w:p w14:paraId="7F3C1459">
            <w:pPr>
              <w:spacing w:line="297" w:lineRule="auto"/>
              <w:rPr>
                <w:color w:val="auto"/>
              </w:rPr>
            </w:pPr>
          </w:p>
          <w:p w14:paraId="67902FDF">
            <w:pPr>
              <w:pStyle w:val="8"/>
              <w:spacing w:before="62" w:line="256" w:lineRule="exact"/>
              <w:ind w:left="288"/>
              <w:rPr>
                <w:color w:val="auto"/>
              </w:rPr>
            </w:pPr>
            <w:r>
              <w:rPr>
                <w:color w:val="auto"/>
                <w:spacing w:val="-7"/>
                <w:position w:val="1"/>
              </w:rPr>
              <w:t>10</w:t>
            </w:r>
          </w:p>
        </w:tc>
        <w:tc>
          <w:tcPr>
            <w:tcW w:w="1138" w:type="dxa"/>
          </w:tcPr>
          <w:p w14:paraId="5CAFCEFF">
            <w:pPr>
              <w:spacing w:line="297" w:lineRule="auto"/>
              <w:rPr>
                <w:color w:val="auto"/>
              </w:rPr>
            </w:pPr>
          </w:p>
          <w:p w14:paraId="2102685A">
            <w:pPr>
              <w:spacing w:line="297" w:lineRule="auto"/>
              <w:rPr>
                <w:color w:val="auto"/>
              </w:rPr>
            </w:pPr>
          </w:p>
          <w:p w14:paraId="62EB1290">
            <w:pPr>
              <w:spacing w:line="297" w:lineRule="auto"/>
              <w:rPr>
                <w:color w:val="auto"/>
              </w:rPr>
            </w:pPr>
          </w:p>
          <w:p w14:paraId="2BB1C040">
            <w:pPr>
              <w:pStyle w:val="8"/>
              <w:spacing w:before="61" w:line="230" w:lineRule="auto"/>
              <w:ind w:left="299"/>
              <w:rPr>
                <w:color w:val="auto"/>
              </w:rPr>
            </w:pPr>
            <w:r>
              <w:rPr>
                <w:color w:val="auto"/>
                <w:spacing w:val="7"/>
              </w:rPr>
              <w:t>腌肉缸</w:t>
            </w:r>
          </w:p>
        </w:tc>
        <w:tc>
          <w:tcPr>
            <w:tcW w:w="3687" w:type="dxa"/>
          </w:tcPr>
          <w:p w14:paraId="2FB9EBB8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val="en-US" w:eastAsia="zh-CN"/>
              </w:rPr>
              <w:t>材质</w:t>
            </w:r>
            <w:r>
              <w:rPr>
                <w:rFonts w:hint="eastAsia"/>
                <w:color w:val="auto"/>
                <w:spacing w:val="8"/>
                <w:lang w:eastAsia="zh-CN"/>
              </w:rPr>
              <w:t>：整体 304 不锈钢；</w:t>
            </w:r>
          </w:p>
          <w:p w14:paraId="33F079F6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板材厚度：≥1.5mm；</w:t>
            </w:r>
          </w:p>
          <w:p w14:paraId="3638A761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有效容积：≥900L；</w:t>
            </w:r>
          </w:p>
          <w:p w14:paraId="4D1FA32F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上口尺寸：960×1400</w:t>
            </w:r>
            <w:bookmarkStart w:id="0" w:name="OLE_LINK1"/>
            <w:r>
              <w:rPr>
                <w:rFonts w:hint="eastAsia"/>
                <w:color w:val="auto"/>
                <w:spacing w:val="8"/>
              </w:rPr>
              <w:t>mm</w:t>
            </w:r>
            <w:bookmarkEnd w:id="0"/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</w:t>
            </w:r>
          </w:p>
          <w:p w14:paraId="5B9D222E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底部尺寸：1250×750mm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；高度：750mm</w:t>
            </w:r>
            <w:r>
              <w:rPr>
                <w:rFonts w:hint="eastAsia"/>
                <w:color w:val="auto"/>
                <w:spacing w:val="3"/>
                <w:lang w:eastAsia="zh-CN"/>
              </w:rPr>
              <w:t>（±10mm)</w:t>
            </w:r>
            <w:r>
              <w:rPr>
                <w:rFonts w:hint="eastAsia"/>
                <w:color w:val="auto"/>
                <w:spacing w:val="8"/>
              </w:rPr>
              <w:t>；</w:t>
            </w:r>
          </w:p>
          <w:p w14:paraId="5DF7950C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结构：内壁镜面抛光、无焊缝死角、易清洗；底部带轻微斜度、便于出料；</w:t>
            </w:r>
          </w:p>
          <w:p w14:paraId="7C3AA523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  <w:lang w:eastAsia="zh-CN"/>
              </w:rPr>
            </w:pPr>
            <w:r>
              <w:rPr>
                <w:rFonts w:hint="eastAsia"/>
                <w:color w:val="auto"/>
                <w:spacing w:val="8"/>
                <w:lang w:eastAsia="zh-CN"/>
              </w:rPr>
              <w:t>强度：抗冲击、不变形；</w:t>
            </w:r>
          </w:p>
          <w:p w14:paraId="4C34410D">
            <w:pPr>
              <w:pStyle w:val="8"/>
              <w:spacing w:before="178" w:line="230" w:lineRule="auto"/>
              <w:ind w:left="21"/>
              <w:rPr>
                <w:color w:val="auto"/>
                <w:spacing w:val="8"/>
              </w:rPr>
            </w:pPr>
            <w:r>
              <w:rPr>
                <w:rFonts w:hint="eastAsia"/>
                <w:color w:val="auto"/>
                <w:spacing w:val="8"/>
              </w:rPr>
              <w:t>外观整洁无毛刺；</w:t>
            </w:r>
          </w:p>
          <w:p w14:paraId="473F483C">
            <w:pPr>
              <w:pStyle w:val="8"/>
              <w:spacing w:before="76" w:line="230" w:lineRule="auto"/>
              <w:rPr>
                <w:color w:val="auto"/>
              </w:rPr>
            </w:pPr>
          </w:p>
        </w:tc>
        <w:tc>
          <w:tcPr>
            <w:tcW w:w="1255" w:type="dxa"/>
          </w:tcPr>
          <w:p w14:paraId="10A3C6AE">
            <w:pPr>
              <w:spacing w:line="297" w:lineRule="auto"/>
              <w:rPr>
                <w:color w:val="auto"/>
              </w:rPr>
            </w:pPr>
          </w:p>
          <w:p w14:paraId="7A81E725">
            <w:pPr>
              <w:spacing w:line="297" w:lineRule="auto"/>
              <w:rPr>
                <w:color w:val="auto"/>
              </w:rPr>
            </w:pPr>
          </w:p>
          <w:p w14:paraId="2FF16425">
            <w:pPr>
              <w:spacing w:line="297" w:lineRule="auto"/>
              <w:rPr>
                <w:color w:val="auto"/>
              </w:rPr>
            </w:pPr>
          </w:p>
          <w:p w14:paraId="00CC61A3">
            <w:pPr>
              <w:pStyle w:val="8"/>
              <w:spacing w:before="62" w:line="256" w:lineRule="exact"/>
              <w:ind w:left="272"/>
              <w:rPr>
                <w:color w:val="auto"/>
              </w:rPr>
            </w:pPr>
            <w:r>
              <w:rPr>
                <w:color w:val="auto"/>
                <w:spacing w:val="-7"/>
                <w:position w:val="1"/>
              </w:rPr>
              <w:t>10</w:t>
            </w:r>
          </w:p>
        </w:tc>
        <w:tc>
          <w:tcPr>
            <w:tcW w:w="1425" w:type="dxa"/>
          </w:tcPr>
          <w:p w14:paraId="635B1A1E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33789E8C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1B9CB170">
            <w:pPr>
              <w:pStyle w:val="8"/>
              <w:spacing w:before="62" w:line="256" w:lineRule="exact"/>
              <w:ind w:left="177"/>
              <w:rPr>
                <w:color w:val="auto"/>
                <w:lang w:eastAsia="zh-CN"/>
              </w:rPr>
            </w:pPr>
          </w:p>
          <w:p w14:paraId="0F0B0F7B">
            <w:pPr>
              <w:pStyle w:val="8"/>
              <w:spacing w:before="62" w:line="256" w:lineRule="exact"/>
              <w:ind w:left="177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台</w:t>
            </w:r>
          </w:p>
        </w:tc>
      </w:tr>
    </w:tbl>
    <w:p w14:paraId="03662FD5">
      <w:pPr>
        <w:rPr>
          <w:color w:val="auto"/>
        </w:rPr>
      </w:pPr>
    </w:p>
    <w:p w14:paraId="6CB67C09">
      <w:pPr>
        <w:rPr>
          <w:color w:val="auto"/>
        </w:rPr>
      </w:pPr>
    </w:p>
    <w:p w14:paraId="07F25EEE">
      <w:pPr>
        <w:rPr>
          <w:color w:val="auto"/>
          <w:sz w:val="28"/>
          <w:szCs w:val="28"/>
        </w:rPr>
      </w:pPr>
    </w:p>
    <w:p w14:paraId="19239DBD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  <w:t>注：1、提升货梯为本项目核心产品；</w:t>
      </w:r>
    </w:p>
    <w:p w14:paraId="3D570E73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  <w:t>2、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  <w:t>标“★”的参数为核心参数（两个），投标人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  <w:lang w:val="en-US" w:eastAsia="zh-CN" w:bidi="ar-SA"/>
        </w:rPr>
        <w:t>须在投标文件中提供上述核心参数对应的技术参数佐证材料，包括但不限于检测报告、产品彩页、产品说明书、官网参数截图、系统功能性截图说明等。未按规定提供佐证材料的，视为未实质性响应招标文件要求，否决其投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C6D45DA"/>
    <w:rsid w:val="00194B4C"/>
    <w:rsid w:val="00473E58"/>
    <w:rsid w:val="00694C2A"/>
    <w:rsid w:val="006E2275"/>
    <w:rsid w:val="00741F99"/>
    <w:rsid w:val="00791428"/>
    <w:rsid w:val="00BF5128"/>
    <w:rsid w:val="00D70C3D"/>
    <w:rsid w:val="00F1563C"/>
    <w:rsid w:val="01C32272"/>
    <w:rsid w:val="0C6D45DA"/>
    <w:rsid w:val="115A46C6"/>
    <w:rsid w:val="149C63BD"/>
    <w:rsid w:val="1C49358F"/>
    <w:rsid w:val="20004630"/>
    <w:rsid w:val="22643A61"/>
    <w:rsid w:val="23436E40"/>
    <w:rsid w:val="43B832CB"/>
    <w:rsid w:val="4BD52438"/>
    <w:rsid w:val="4EB93137"/>
    <w:rsid w:val="51377931"/>
    <w:rsid w:val="55532DAF"/>
    <w:rsid w:val="65544BEC"/>
    <w:rsid w:val="7573192E"/>
    <w:rsid w:val="75871C3B"/>
    <w:rsid w:val="79656169"/>
    <w:rsid w:val="7F822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  <w:style w:type="character" w:customStyle="1" w:styleId="9">
    <w:name w:val="页眉 Char"/>
    <w:basedOn w:val="5"/>
    <w:link w:val="3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5"/>
    <w:link w:val="2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1599</Words>
  <Characters>2004</Characters>
  <Lines>16</Lines>
  <Paragraphs>4</Paragraphs>
  <TotalTime>13</TotalTime>
  <ScaleCrop>false</ScaleCrop>
  <LinksUpToDate>false</LinksUpToDate>
  <CharactersWithSpaces>2027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2026-04-25T07:09:00Z</dcterms:created>
  <dc:creator>从66888开始</dc:creator>
  <cp:lastModifiedBy>从66888开始</cp:lastModifiedBy>
  <dcterms:modified xsi:type="dcterms:W3CDTF">2026-05-21T15:06:49Z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D3121FB37B464984BD4DCB9637F5807A_13</vt:lpwstr>
  </property>
  <property fmtid="{D5CDD505-2E9C-101B-9397-08002B2CF9AE}" pid="4" name="KSOTemplateDocerSaveRecord">
    <vt:lpwstr>eyJoZGlkIjoiMzViODhkNzIxYjJmYTg4NTA5NWJmZWU4MTVkNGI2YmUiLCJ1c2VySWQiOiI0MDIyMjc5NjcifQ==</vt:lpwstr>
  </property>
</Properties>
</file>