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版本号：JXSL-ZC-20261020260810002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镇安县2026年度财政常态化帮扶资金板栗产业科管项目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JXSL-ZC-202610</w:t>
      </w:r>
      <w:r>
        <w:br/>
      </w:r>
      <w:r>
        <w:br/>
      </w:r>
      <w:r>
        <w:br/>
      </w:r>
    </w:p>
    <w:p>
      <w:pPr>
        <w:pStyle w:val="null3"/>
        <w:jc w:val="center"/>
        <w:outlineLvl w:val="2"/>
      </w:pPr>
      <w:r>
        <w:rPr>
          <w:rFonts w:ascii="仿宋_GB2312" w:hAnsi="仿宋_GB2312" w:cs="仿宋_GB2312" w:eastAsia="仿宋_GB2312"/>
          <w:sz w:val="28"/>
          <w:b/>
        </w:rPr>
        <w:t>镇安县林特产业发展中心</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镇安县林特产业发展中心</w:t>
      </w:r>
      <w:r>
        <w:rPr>
          <w:rFonts w:ascii="仿宋_GB2312" w:hAnsi="仿宋_GB2312" w:cs="仿宋_GB2312" w:eastAsia="仿宋_GB2312"/>
        </w:rPr>
        <w:t>委托，拟对</w:t>
      </w:r>
      <w:r>
        <w:rPr>
          <w:rFonts w:ascii="仿宋_GB2312" w:hAnsi="仿宋_GB2312" w:cs="仿宋_GB2312" w:eastAsia="仿宋_GB2312"/>
        </w:rPr>
        <w:t>镇安县2026年度财政常态化帮扶资金板栗产业科管项目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JXSL-ZC-202610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镇安县2026年度财政常态化帮扶资金板栗产业科管项目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镇安县2026年度财政常态化帮扶资金板栗产业科管项目，通过采取调整密度、整形修剪、涂白防虫、扩盘施肥4项综合科管技术措施在永乐街道办5个村（社区）9个组27个小班实施板栗林综合科管4000亩。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采购包1（镇安县2026年度财政常态化帮扶资金板栗产业科管项目一标段）：属于专门面向中小企业采购。</w:t>
      </w:r>
    </w:p>
    <w:p>
      <w:pPr>
        <w:pStyle w:val="null3"/>
      </w:pPr>
      <w:r>
        <w:rPr>
          <w:rFonts w:ascii="仿宋_GB2312" w:hAnsi="仿宋_GB2312" w:cs="仿宋_GB2312" w:eastAsia="仿宋_GB2312"/>
        </w:rPr>
        <w:t>采购包2（镇安县2026年度财政常态化帮扶资金板栗产业科管项目二标段）：属于专门面向中小企业采购。</w:t>
      </w:r>
    </w:p>
    <w:p>
      <w:pPr>
        <w:pStyle w:val="null3"/>
      </w:pPr>
      <w:r>
        <w:rPr>
          <w:rFonts w:ascii="仿宋_GB2312" w:hAnsi="仿宋_GB2312" w:cs="仿宋_GB2312" w:eastAsia="仿宋_GB2312"/>
        </w:rPr>
        <w:t>采购包3（镇安县2026年度财政常态化帮扶资金板栗产业科管项目三标段）：属于专门面向中小企业采购。</w:t>
      </w:r>
    </w:p>
    <w:p>
      <w:pPr>
        <w:pStyle w:val="null3"/>
      </w:pPr>
      <w:r>
        <w:rPr>
          <w:rFonts w:ascii="仿宋_GB2312" w:hAnsi="仿宋_GB2312" w:cs="仿宋_GB2312" w:eastAsia="仿宋_GB2312"/>
        </w:rPr>
        <w:t>采购包4（镇安县2026年度财政常态化帮扶资金板栗产业科管项目四标段）：属于专门面向中小企业采购。</w:t>
      </w:r>
    </w:p>
    <w:p>
      <w:pPr>
        <w:pStyle w:val="null3"/>
      </w:pPr>
      <w:r>
        <w:rPr>
          <w:rFonts w:ascii="仿宋_GB2312" w:hAnsi="仿宋_GB2312" w:cs="仿宋_GB2312" w:eastAsia="仿宋_GB2312"/>
        </w:rPr>
        <w:t>采购包5（镇安县2026年度财政常态化帮扶资金板栗产业科管项目五标段）：属于专门面向中小企业采购。</w:t>
      </w:r>
    </w:p>
    <w:p>
      <w:pPr>
        <w:pStyle w:val="null3"/>
      </w:pPr>
      <w:r>
        <w:rPr>
          <w:rFonts w:ascii="仿宋_GB2312" w:hAnsi="仿宋_GB2312" w:cs="仿宋_GB2312" w:eastAsia="仿宋_GB2312"/>
        </w:rPr>
        <w:t>采购包6（镇安县2026年度财政常态化帮扶资金板栗产业科管项目六标段）：属于专门面向中小企业采购。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1、有效的主体资格证明：供应商应为在中华人民共和国境内注册的法人或其他组织，提交有效的营业执照(或事业单位法人证书等相关证明)；</w:t>
      </w:r>
    </w:p>
    <w:p>
      <w:pPr>
        <w:pStyle w:val="null3"/>
      </w:pPr>
      <w:r>
        <w:rPr>
          <w:rFonts w:ascii="仿宋_GB2312" w:hAnsi="仿宋_GB2312" w:cs="仿宋_GB2312" w:eastAsia="仿宋_GB2312"/>
        </w:rPr>
        <w:t>2、身份授权：法定代表人授权委托书(附法定代表人、被授权委托人身份证复印件)及被授权委托人身份证(法定代表人参加投标只须提供法定代表人身份证明)；</w:t>
      </w:r>
    </w:p>
    <w:p>
      <w:pPr>
        <w:pStyle w:val="null3"/>
      </w:pPr>
      <w:r>
        <w:rPr>
          <w:rFonts w:ascii="仿宋_GB2312" w:hAnsi="仿宋_GB2312" w:cs="仿宋_GB2312" w:eastAsia="仿宋_GB2312"/>
        </w:rPr>
        <w:t>3、信用信息查询：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p>
      <w:pPr>
        <w:pStyle w:val="null3"/>
      </w:pPr>
      <w:r>
        <w:rPr>
          <w:rFonts w:ascii="仿宋_GB2312" w:hAnsi="仿宋_GB2312" w:cs="仿宋_GB2312" w:eastAsia="仿宋_GB2312"/>
        </w:rPr>
        <w:t>4、企业财务情况：提供2025年完整的财务审计报告(成立时间至提交投标响应文件截止时间不足一年的可提供成立后任意时段的资产负债表)，或其基本存款账户开户银行出具的资信证明；</w:t>
      </w:r>
    </w:p>
    <w:p>
      <w:pPr>
        <w:pStyle w:val="null3"/>
      </w:pPr>
      <w:r>
        <w:rPr>
          <w:rFonts w:ascii="仿宋_GB2312" w:hAnsi="仿宋_GB2312" w:cs="仿宋_GB2312" w:eastAsia="仿宋_GB2312"/>
        </w:rPr>
        <w:t>5、企业纳税情况：提供磋商截止日前近六个月内任意一个月的纳税证明或完税证明(任意税种)，依法免税的单位应提供相关证明材料；</w:t>
      </w:r>
    </w:p>
    <w:p>
      <w:pPr>
        <w:pStyle w:val="null3"/>
      </w:pPr>
      <w:r>
        <w:rPr>
          <w:rFonts w:ascii="仿宋_GB2312" w:hAnsi="仿宋_GB2312" w:cs="仿宋_GB2312" w:eastAsia="仿宋_GB2312"/>
        </w:rPr>
        <w:t>6、企业社保缴纳情况：提供磋商截止日前近六个月内任意一个月的社会保障资金缴存单据或社保机构开具的社会保险参保缴费情况证明，依法不需要缴纳社会保障资金的单位应提供相关证明材料；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7、近三年无重大违法记录：参加政府采购活动前3年内，在经营活动中没有重大违法记录的书面声明；</w:t>
      </w:r>
    </w:p>
    <w:p>
      <w:pPr>
        <w:pStyle w:val="null3"/>
      </w:pPr>
      <w:r>
        <w:rPr>
          <w:rFonts w:ascii="仿宋_GB2312" w:hAnsi="仿宋_GB2312" w:cs="仿宋_GB2312" w:eastAsia="仿宋_GB2312"/>
        </w:rPr>
        <w:t>8、履约能力：具备履行合同所必需的设备和专业技术能力的书面声明；</w:t>
      </w:r>
    </w:p>
    <w:p>
      <w:pPr>
        <w:pStyle w:val="null3"/>
      </w:pPr>
      <w:r>
        <w:rPr>
          <w:rFonts w:ascii="仿宋_GB2312" w:hAnsi="仿宋_GB2312" w:cs="仿宋_GB2312" w:eastAsia="仿宋_GB2312"/>
        </w:rPr>
        <w:t>9、联合体：本项目不接受联合体磋商。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1、有效的主体资格证明：供应商应为在中华人民共和国境内注册的法人或其他组织，提交有效的营业执照(或事业单位法人证书等相关证明)；</w:t>
      </w:r>
    </w:p>
    <w:p>
      <w:pPr>
        <w:pStyle w:val="null3"/>
      </w:pPr>
      <w:r>
        <w:rPr>
          <w:rFonts w:ascii="仿宋_GB2312" w:hAnsi="仿宋_GB2312" w:cs="仿宋_GB2312" w:eastAsia="仿宋_GB2312"/>
        </w:rPr>
        <w:t>2、身份授权：法定代表人授权委托书(附法定代表人、被授权委托人身份证复印件)及被授权委托人身份证(法定代表人参加投标只须提供法定代表人身份证明)；</w:t>
      </w:r>
    </w:p>
    <w:p>
      <w:pPr>
        <w:pStyle w:val="null3"/>
      </w:pPr>
      <w:r>
        <w:rPr>
          <w:rFonts w:ascii="仿宋_GB2312" w:hAnsi="仿宋_GB2312" w:cs="仿宋_GB2312" w:eastAsia="仿宋_GB2312"/>
        </w:rPr>
        <w:t>3、信用信息查询：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p>
      <w:pPr>
        <w:pStyle w:val="null3"/>
      </w:pPr>
      <w:r>
        <w:rPr>
          <w:rFonts w:ascii="仿宋_GB2312" w:hAnsi="仿宋_GB2312" w:cs="仿宋_GB2312" w:eastAsia="仿宋_GB2312"/>
        </w:rPr>
        <w:t>4、企业财务情况：提供2025年完整的财务审计报告(成立时间至提交投标响应文件截止时间不足一年的可提供成立后任意时段的资产负债表)，或其基本存款账户开户银行出具的资信证明；</w:t>
      </w:r>
    </w:p>
    <w:p>
      <w:pPr>
        <w:pStyle w:val="null3"/>
      </w:pPr>
      <w:r>
        <w:rPr>
          <w:rFonts w:ascii="仿宋_GB2312" w:hAnsi="仿宋_GB2312" w:cs="仿宋_GB2312" w:eastAsia="仿宋_GB2312"/>
        </w:rPr>
        <w:t>5、企业纳税情况：提供磋商截止日前近六个月内任意一个月的纳税证明或完税证明(任意税种)，依法免税的单位应提供相关证明材料；</w:t>
      </w:r>
    </w:p>
    <w:p>
      <w:pPr>
        <w:pStyle w:val="null3"/>
      </w:pPr>
      <w:r>
        <w:rPr>
          <w:rFonts w:ascii="仿宋_GB2312" w:hAnsi="仿宋_GB2312" w:cs="仿宋_GB2312" w:eastAsia="仿宋_GB2312"/>
        </w:rPr>
        <w:t>6、企业社保缴纳情况：提供磋商截止日前近六个月内任意一个月的社会保障资金缴存单据或社保机构开具的社会保险参保缴费情况证明，依法不需要缴纳社会保障资金的单位应提供相关证明材料；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7、近三年无重大违法记录：参加政府采购活动前3年内，在经营活动中没有重大违法记录的书面声明；</w:t>
      </w:r>
    </w:p>
    <w:p>
      <w:pPr>
        <w:pStyle w:val="null3"/>
      </w:pPr>
      <w:r>
        <w:rPr>
          <w:rFonts w:ascii="仿宋_GB2312" w:hAnsi="仿宋_GB2312" w:cs="仿宋_GB2312" w:eastAsia="仿宋_GB2312"/>
        </w:rPr>
        <w:t>8、履约能力：具备履行合同所必需的设备和专业技术能力的书面声明；</w:t>
      </w:r>
    </w:p>
    <w:p>
      <w:pPr>
        <w:pStyle w:val="null3"/>
      </w:pPr>
      <w:r>
        <w:rPr>
          <w:rFonts w:ascii="仿宋_GB2312" w:hAnsi="仿宋_GB2312" w:cs="仿宋_GB2312" w:eastAsia="仿宋_GB2312"/>
        </w:rPr>
        <w:t>9、联合体：本项目不接受联合体磋商。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1、有效的主体资格证明：供应商应为在中华人民共和国境内注册的法人或其他组织，提交有效的营业执照(或事业单位法人证书等相关证明)；</w:t>
      </w:r>
    </w:p>
    <w:p>
      <w:pPr>
        <w:pStyle w:val="null3"/>
      </w:pPr>
      <w:r>
        <w:rPr>
          <w:rFonts w:ascii="仿宋_GB2312" w:hAnsi="仿宋_GB2312" w:cs="仿宋_GB2312" w:eastAsia="仿宋_GB2312"/>
        </w:rPr>
        <w:t>2、身份授权：法定代表人授权委托书(附法定代表人、被授权委托人身份证复印件)及被授权委托人身份证(法定代表人参加投标只须提供法定代表人身份证明)；</w:t>
      </w:r>
    </w:p>
    <w:p>
      <w:pPr>
        <w:pStyle w:val="null3"/>
      </w:pPr>
      <w:r>
        <w:rPr>
          <w:rFonts w:ascii="仿宋_GB2312" w:hAnsi="仿宋_GB2312" w:cs="仿宋_GB2312" w:eastAsia="仿宋_GB2312"/>
        </w:rPr>
        <w:t>3、信用信息查询：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p>
      <w:pPr>
        <w:pStyle w:val="null3"/>
      </w:pPr>
      <w:r>
        <w:rPr>
          <w:rFonts w:ascii="仿宋_GB2312" w:hAnsi="仿宋_GB2312" w:cs="仿宋_GB2312" w:eastAsia="仿宋_GB2312"/>
        </w:rPr>
        <w:t>4、企业财务情况：提供2025年完整的财务审计报告(成立时间至提交投标响应文件截止时间不足一年的可提供成立后任意时段的资产负债表)，或其基本存款账户开户银行出具的资信证明；</w:t>
      </w:r>
    </w:p>
    <w:p>
      <w:pPr>
        <w:pStyle w:val="null3"/>
      </w:pPr>
      <w:r>
        <w:rPr>
          <w:rFonts w:ascii="仿宋_GB2312" w:hAnsi="仿宋_GB2312" w:cs="仿宋_GB2312" w:eastAsia="仿宋_GB2312"/>
        </w:rPr>
        <w:t>5、企业纳税情况：提供磋商截止日前近六个月内任意一个月的纳税证明或完税证明(任意税种)，依法免税的单位应提供相关证明材料；</w:t>
      </w:r>
    </w:p>
    <w:p>
      <w:pPr>
        <w:pStyle w:val="null3"/>
      </w:pPr>
      <w:r>
        <w:rPr>
          <w:rFonts w:ascii="仿宋_GB2312" w:hAnsi="仿宋_GB2312" w:cs="仿宋_GB2312" w:eastAsia="仿宋_GB2312"/>
        </w:rPr>
        <w:t>6、企业社保缴纳情况：提供磋商截止日前近六个月内任意一个月的社会保障资金缴存单据或社保机构开具的社会保险参保缴费情况证明，依法不需要缴纳社会保障资金的单位应提供相关证明材料；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7、近三年无重大违法记录：参加政府采购活动前3年内，在经营活动中没有重大违法记录的书面声明；</w:t>
      </w:r>
    </w:p>
    <w:p>
      <w:pPr>
        <w:pStyle w:val="null3"/>
      </w:pPr>
      <w:r>
        <w:rPr>
          <w:rFonts w:ascii="仿宋_GB2312" w:hAnsi="仿宋_GB2312" w:cs="仿宋_GB2312" w:eastAsia="仿宋_GB2312"/>
        </w:rPr>
        <w:t>8、履约能力：具备履行合同所必需的设备和专业技术能力的书面声明；</w:t>
      </w:r>
    </w:p>
    <w:p>
      <w:pPr>
        <w:pStyle w:val="null3"/>
      </w:pPr>
      <w:r>
        <w:rPr>
          <w:rFonts w:ascii="仿宋_GB2312" w:hAnsi="仿宋_GB2312" w:cs="仿宋_GB2312" w:eastAsia="仿宋_GB2312"/>
        </w:rPr>
        <w:t>9、联合体：本项目不接受联合体磋商。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1、有效的主体资格证明：供应商应为在中华人民共和国境内注册的法人或其他组织，提交有效的营业执照(或事业单位法人证书等相关证明)；</w:t>
      </w:r>
    </w:p>
    <w:p>
      <w:pPr>
        <w:pStyle w:val="null3"/>
      </w:pPr>
      <w:r>
        <w:rPr>
          <w:rFonts w:ascii="仿宋_GB2312" w:hAnsi="仿宋_GB2312" w:cs="仿宋_GB2312" w:eastAsia="仿宋_GB2312"/>
        </w:rPr>
        <w:t>2、身份授权：法定代表人授权委托书(附法定代表人、被授权委托人身份证复印件)及被授权委托人身份证(法定代表人参加投标只须提供法定代表人身份证明)；</w:t>
      </w:r>
    </w:p>
    <w:p>
      <w:pPr>
        <w:pStyle w:val="null3"/>
      </w:pPr>
      <w:r>
        <w:rPr>
          <w:rFonts w:ascii="仿宋_GB2312" w:hAnsi="仿宋_GB2312" w:cs="仿宋_GB2312" w:eastAsia="仿宋_GB2312"/>
        </w:rPr>
        <w:t>3、信用信息查询：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p>
      <w:pPr>
        <w:pStyle w:val="null3"/>
      </w:pPr>
      <w:r>
        <w:rPr>
          <w:rFonts w:ascii="仿宋_GB2312" w:hAnsi="仿宋_GB2312" w:cs="仿宋_GB2312" w:eastAsia="仿宋_GB2312"/>
        </w:rPr>
        <w:t>4、企业财务情况：提供2025年完整的财务审计报告(成立时间至提交投标响应文件截止时间不足一年的可提供成立后任意时段的资产负债表)，或其基本存款账户开户银行出具的资信证明；</w:t>
      </w:r>
    </w:p>
    <w:p>
      <w:pPr>
        <w:pStyle w:val="null3"/>
      </w:pPr>
      <w:r>
        <w:rPr>
          <w:rFonts w:ascii="仿宋_GB2312" w:hAnsi="仿宋_GB2312" w:cs="仿宋_GB2312" w:eastAsia="仿宋_GB2312"/>
        </w:rPr>
        <w:t>5、企业纳税情况：提供磋商截止日前近六个月内任意一个月的纳税证明或完税证明(任意税种)，依法免税的单位应提供相关证明材料</w:t>
      </w:r>
    </w:p>
    <w:p>
      <w:pPr>
        <w:pStyle w:val="null3"/>
      </w:pPr>
      <w:r>
        <w:rPr>
          <w:rFonts w:ascii="仿宋_GB2312" w:hAnsi="仿宋_GB2312" w:cs="仿宋_GB2312" w:eastAsia="仿宋_GB2312"/>
        </w:rPr>
        <w:t>6、企业社保缴纳情况：提供磋商截止日前近六个月内任意一个月的社会保障资金缴存单据或社保机构开具的社会保险参保缴费情况证明，依法不需要缴纳社会保障资金的单位应提供相关证明材料；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7、近三年无重大违法记录：参加政府采购活动前3年内，在经营活动中没有重大违法记录的书面声明；</w:t>
      </w:r>
    </w:p>
    <w:p>
      <w:pPr>
        <w:pStyle w:val="null3"/>
      </w:pPr>
      <w:r>
        <w:rPr>
          <w:rFonts w:ascii="仿宋_GB2312" w:hAnsi="仿宋_GB2312" w:cs="仿宋_GB2312" w:eastAsia="仿宋_GB2312"/>
        </w:rPr>
        <w:t>8、履约能力：具备履行合同所必需的设备和专业技术能力的书面声明；</w:t>
      </w:r>
    </w:p>
    <w:p>
      <w:pPr>
        <w:pStyle w:val="null3"/>
      </w:pPr>
      <w:r>
        <w:rPr>
          <w:rFonts w:ascii="仿宋_GB2312" w:hAnsi="仿宋_GB2312" w:cs="仿宋_GB2312" w:eastAsia="仿宋_GB2312"/>
        </w:rPr>
        <w:t>9、联合体：本项目不接受联合体磋商。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1、有效的主体资格证明：供应商应为在中华人民共和国境内注册的法人或其他组织，提交有效的营业执照(或事业单位法人证书等相关证明)；</w:t>
      </w:r>
    </w:p>
    <w:p>
      <w:pPr>
        <w:pStyle w:val="null3"/>
      </w:pPr>
      <w:r>
        <w:rPr>
          <w:rFonts w:ascii="仿宋_GB2312" w:hAnsi="仿宋_GB2312" w:cs="仿宋_GB2312" w:eastAsia="仿宋_GB2312"/>
        </w:rPr>
        <w:t>2、身份授权：法定代表人授权委托书(附法定代表人、被授权委托人身份证复印件)及被授权委托人身份证(法定代表人参加投标只须提供法定代表人身份证明)；</w:t>
      </w:r>
    </w:p>
    <w:p>
      <w:pPr>
        <w:pStyle w:val="null3"/>
      </w:pPr>
      <w:r>
        <w:rPr>
          <w:rFonts w:ascii="仿宋_GB2312" w:hAnsi="仿宋_GB2312" w:cs="仿宋_GB2312" w:eastAsia="仿宋_GB2312"/>
        </w:rPr>
        <w:t>3、信用信息查询：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p>
      <w:pPr>
        <w:pStyle w:val="null3"/>
      </w:pPr>
      <w:r>
        <w:rPr>
          <w:rFonts w:ascii="仿宋_GB2312" w:hAnsi="仿宋_GB2312" w:cs="仿宋_GB2312" w:eastAsia="仿宋_GB2312"/>
        </w:rPr>
        <w:t>4、企业财务情况：提供2025年完整的财务审计报告(成立时间至提交投标响应文件截止时间不足一年的可提供成立后任意时段的资产负债表)，或其基本存款账户开户银行出具的资信证明；</w:t>
      </w:r>
    </w:p>
    <w:p>
      <w:pPr>
        <w:pStyle w:val="null3"/>
      </w:pPr>
      <w:r>
        <w:rPr>
          <w:rFonts w:ascii="仿宋_GB2312" w:hAnsi="仿宋_GB2312" w:cs="仿宋_GB2312" w:eastAsia="仿宋_GB2312"/>
        </w:rPr>
        <w:t>5、企业纳税情况：提供磋商截止日前近六个月内任意一个月的纳税证明或完税证明(任意税种)，依法免税的单位应提供相关证明材料；</w:t>
      </w:r>
    </w:p>
    <w:p>
      <w:pPr>
        <w:pStyle w:val="null3"/>
      </w:pPr>
      <w:r>
        <w:rPr>
          <w:rFonts w:ascii="仿宋_GB2312" w:hAnsi="仿宋_GB2312" w:cs="仿宋_GB2312" w:eastAsia="仿宋_GB2312"/>
        </w:rPr>
        <w:t>6、企业社保缴纳情况：提供磋商截止日前近六个月内任意一个月的社会保障资金缴存单据或社保机构开具的社会保险参保缴费情况证明，依法不需要缴纳社会保障资金的单位应提供相关证明材料；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7、近三年无重大违法记录：参加政府采购活动前3年内，在经营活动中没有重大违法记录的书面声明；</w:t>
      </w:r>
    </w:p>
    <w:p>
      <w:pPr>
        <w:pStyle w:val="null3"/>
      </w:pPr>
      <w:r>
        <w:rPr>
          <w:rFonts w:ascii="仿宋_GB2312" w:hAnsi="仿宋_GB2312" w:cs="仿宋_GB2312" w:eastAsia="仿宋_GB2312"/>
        </w:rPr>
        <w:t>8、履约能力：具备履行合同所必需的设备和专业技术能力的书面声明；</w:t>
      </w:r>
    </w:p>
    <w:p>
      <w:pPr>
        <w:pStyle w:val="null3"/>
      </w:pPr>
      <w:r>
        <w:rPr>
          <w:rFonts w:ascii="仿宋_GB2312" w:hAnsi="仿宋_GB2312" w:cs="仿宋_GB2312" w:eastAsia="仿宋_GB2312"/>
        </w:rPr>
        <w:t>9、联合体：本项目不接受联合体磋商。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1、有效的主体资格证明：供应商应为在中华人民共和国境内注册的法人或其他组织，提交有效的营业执照(或事业单位法人证书等相关证明)；</w:t>
      </w:r>
    </w:p>
    <w:p>
      <w:pPr>
        <w:pStyle w:val="null3"/>
      </w:pPr>
      <w:r>
        <w:rPr>
          <w:rFonts w:ascii="仿宋_GB2312" w:hAnsi="仿宋_GB2312" w:cs="仿宋_GB2312" w:eastAsia="仿宋_GB2312"/>
        </w:rPr>
        <w:t>2、身份授权：法定代表人授权委托书(附法定代表人、被授权委托人身份证复印件)及被授权委托人身份证(法定代表人参加投标只须提供法定代表人身份证明)；</w:t>
      </w:r>
    </w:p>
    <w:p>
      <w:pPr>
        <w:pStyle w:val="null3"/>
      </w:pPr>
      <w:r>
        <w:rPr>
          <w:rFonts w:ascii="仿宋_GB2312" w:hAnsi="仿宋_GB2312" w:cs="仿宋_GB2312" w:eastAsia="仿宋_GB2312"/>
        </w:rPr>
        <w:t>3、信用信息查询：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p>
      <w:pPr>
        <w:pStyle w:val="null3"/>
      </w:pPr>
      <w:r>
        <w:rPr>
          <w:rFonts w:ascii="仿宋_GB2312" w:hAnsi="仿宋_GB2312" w:cs="仿宋_GB2312" w:eastAsia="仿宋_GB2312"/>
        </w:rPr>
        <w:t>4、企业财务情况：提供2025年完整的财务审计报告(成立时间至提交投标响应文件截止时间不足一年的可提供成立后任意时段的资产负债表)，或其基本存款账户开户银行出具的资信证明；</w:t>
      </w:r>
    </w:p>
    <w:p>
      <w:pPr>
        <w:pStyle w:val="null3"/>
      </w:pPr>
      <w:r>
        <w:rPr>
          <w:rFonts w:ascii="仿宋_GB2312" w:hAnsi="仿宋_GB2312" w:cs="仿宋_GB2312" w:eastAsia="仿宋_GB2312"/>
        </w:rPr>
        <w:t>5、企业纳税情况：提供磋商截止日前近六个月内任意一个月的纳税证明或完税证明(任意税种)，依法免税的单位应提供相关证明材料；</w:t>
      </w:r>
    </w:p>
    <w:p>
      <w:pPr>
        <w:pStyle w:val="null3"/>
      </w:pPr>
      <w:r>
        <w:rPr>
          <w:rFonts w:ascii="仿宋_GB2312" w:hAnsi="仿宋_GB2312" w:cs="仿宋_GB2312" w:eastAsia="仿宋_GB2312"/>
        </w:rPr>
        <w:t>6、企业社保缴纳情况：提供磋商截止日前近六个月内任意一个月的社会保障资金缴存单据或社保机构开具的社会保险参保缴费情况证明，依法不需要缴纳社会保障资金的单位应提供相关证明材料；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7、近三年无重大违法记录：参加政府采购活动前3年内，在经营活动中没有重大违法记录的书面声明；</w:t>
      </w:r>
    </w:p>
    <w:p>
      <w:pPr>
        <w:pStyle w:val="null3"/>
      </w:pPr>
      <w:r>
        <w:rPr>
          <w:rFonts w:ascii="仿宋_GB2312" w:hAnsi="仿宋_GB2312" w:cs="仿宋_GB2312" w:eastAsia="仿宋_GB2312"/>
        </w:rPr>
        <w:t>8、履约能力：具备履行合同所必需的设备和专业技术能力的书面声明；</w:t>
      </w:r>
    </w:p>
    <w:p>
      <w:pPr>
        <w:pStyle w:val="null3"/>
      </w:pPr>
      <w:r>
        <w:rPr>
          <w:rFonts w:ascii="仿宋_GB2312" w:hAnsi="仿宋_GB2312" w:cs="仿宋_GB2312" w:eastAsia="仿宋_GB2312"/>
        </w:rPr>
        <w:t>9、联合体：本项目不接受联合体磋商。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镇安县林特产业发展中心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镇安县城后街28号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镇安县林特产业发展中心经办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0914-5338471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陕西省商洛市镇安县永乐街道办事处新城社区河滨路11号三楼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0914-5322208/18891594009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刘股长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0914-5325602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采购包1：330,095.60元</w:t>
            </w:r>
          </w:p>
          <w:p>
            <w:pPr>
              <w:pStyle w:val="null3"/>
            </w:pPr>
            <w:r>
              <w:rPr>
                <w:rFonts w:ascii="仿宋_GB2312" w:hAnsi="仿宋_GB2312" w:cs="仿宋_GB2312" w:eastAsia="仿宋_GB2312"/>
              </w:rPr>
              <w:t>采购包2：647,163.52元</w:t>
            </w:r>
          </w:p>
          <w:p>
            <w:pPr>
              <w:pStyle w:val="null3"/>
            </w:pPr>
            <w:r>
              <w:rPr>
                <w:rFonts w:ascii="仿宋_GB2312" w:hAnsi="仿宋_GB2312" w:cs="仿宋_GB2312" w:eastAsia="仿宋_GB2312"/>
              </w:rPr>
              <w:t>采购包3：570,479.84元</w:t>
            </w:r>
          </w:p>
          <w:p>
            <w:pPr>
              <w:pStyle w:val="null3"/>
            </w:pPr>
            <w:r>
              <w:rPr>
                <w:rFonts w:ascii="仿宋_GB2312" w:hAnsi="仿宋_GB2312" w:cs="仿宋_GB2312" w:eastAsia="仿宋_GB2312"/>
              </w:rPr>
              <w:t>采购包4：493,813.60元</w:t>
            </w:r>
          </w:p>
          <w:p>
            <w:pPr>
              <w:pStyle w:val="null3"/>
            </w:pPr>
            <w:r>
              <w:rPr>
                <w:rFonts w:ascii="仿宋_GB2312" w:hAnsi="仿宋_GB2312" w:cs="仿宋_GB2312" w:eastAsia="仿宋_GB2312"/>
              </w:rPr>
              <w:t>采购包5：374,515.28元</w:t>
            </w:r>
          </w:p>
          <w:p>
            <w:pPr>
              <w:pStyle w:val="null3"/>
            </w:pPr>
            <w:r>
              <w:rPr>
                <w:rFonts w:ascii="仿宋_GB2312" w:hAnsi="仿宋_GB2312" w:cs="仿宋_GB2312" w:eastAsia="仿宋_GB2312"/>
              </w:rPr>
              <w:t>采购包6：527,804.16元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镇安县林特产业发展中心</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镇安县林特产业发展中心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镇安县林特产业发展中心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采购包3：项目单价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采购包4：项目单价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采购包5：项目单价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采购包6：项目单价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符合国家现行有关质量验收规范“合格”标准及作业设计要求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符合国家现行有关质量验收规范“合格”标准及作业设计要求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符合国家现行有关质量验收规范“合格”标准及作业设计要求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符合国家现行有关质量验收规范“合格”标准及作业设计要求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符合国家现行有关质量验收规范“合格”标准及作业设计要求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符合国家现行有关质量验收规范“合格”标准及作业设计要求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联系电话：18891594009</w:t>
      </w:r>
    </w:p>
    <w:p>
      <w:pPr>
        <w:pStyle w:val="null3"/>
      </w:pPr>
      <w:r>
        <w:rPr>
          <w:rFonts w:ascii="仿宋_GB2312" w:hAnsi="仿宋_GB2312" w:cs="仿宋_GB2312" w:eastAsia="仿宋_GB2312"/>
        </w:rPr>
        <w:t>地址：陕西省商洛市镇安县永乐街道办事处新城社区河滨路11号三楼</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330,095.60</w:t>
      </w:r>
    </w:p>
    <w:p>
      <w:pPr>
        <w:pStyle w:val="null3"/>
      </w:pPr>
      <w:r>
        <w:rPr>
          <w:rFonts w:ascii="仿宋_GB2312" w:hAnsi="仿宋_GB2312" w:cs="仿宋_GB2312" w:eastAsia="仿宋_GB2312"/>
        </w:rPr>
        <w:t>采购包最高限价（元）: 330,095.60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板栗林综合科管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330,095.60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647,163.52</w:t>
      </w:r>
    </w:p>
    <w:p>
      <w:pPr>
        <w:pStyle w:val="null3"/>
      </w:pPr>
      <w:r>
        <w:rPr>
          <w:rFonts w:ascii="仿宋_GB2312" w:hAnsi="仿宋_GB2312" w:cs="仿宋_GB2312" w:eastAsia="仿宋_GB2312"/>
        </w:rPr>
        <w:t>采购包最高限价（元）: 647,163.52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板栗林综合科管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647,163.52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570,479.84</w:t>
      </w:r>
    </w:p>
    <w:p>
      <w:pPr>
        <w:pStyle w:val="null3"/>
      </w:pPr>
      <w:r>
        <w:rPr>
          <w:rFonts w:ascii="仿宋_GB2312" w:hAnsi="仿宋_GB2312" w:cs="仿宋_GB2312" w:eastAsia="仿宋_GB2312"/>
        </w:rPr>
        <w:t>采购包最高限价（元）: 570,479.84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板栗林综合科管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570,479.84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493,813.60</w:t>
      </w:r>
    </w:p>
    <w:p>
      <w:pPr>
        <w:pStyle w:val="null3"/>
      </w:pPr>
      <w:r>
        <w:rPr>
          <w:rFonts w:ascii="仿宋_GB2312" w:hAnsi="仿宋_GB2312" w:cs="仿宋_GB2312" w:eastAsia="仿宋_GB2312"/>
        </w:rPr>
        <w:t>采购包最高限价（元）: 493,813.60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板栗林综合科管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493,813.60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374,515.28</w:t>
      </w:r>
    </w:p>
    <w:p>
      <w:pPr>
        <w:pStyle w:val="null3"/>
      </w:pPr>
      <w:r>
        <w:rPr>
          <w:rFonts w:ascii="仿宋_GB2312" w:hAnsi="仿宋_GB2312" w:cs="仿宋_GB2312" w:eastAsia="仿宋_GB2312"/>
        </w:rPr>
        <w:t>采购包最高限价（元）: 374,515.28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板栗林综合科管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374,515.28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527,804.16</w:t>
      </w:r>
    </w:p>
    <w:p>
      <w:pPr>
        <w:pStyle w:val="null3"/>
      </w:pPr>
      <w:r>
        <w:rPr>
          <w:rFonts w:ascii="仿宋_GB2312" w:hAnsi="仿宋_GB2312" w:cs="仿宋_GB2312" w:eastAsia="仿宋_GB2312"/>
        </w:rPr>
        <w:t>采购包最高限价（元）: 527,804.16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板栗林综合科管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527,804.16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标的名称：板栗林综合科管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科管模式：</w:t>
            </w:r>
          </w:p>
          <w:p>
            <w:pPr>
              <w:pStyle w:val="null3"/>
              <w:ind w:firstLine="480"/>
              <w:jc w:val="both"/>
            </w:pPr>
            <w:r>
              <w:rPr>
                <w:rFonts w:ascii="仿宋_GB2312" w:hAnsi="仿宋_GB2312" w:cs="仿宋_GB2312" w:eastAsia="仿宋_GB2312"/>
                <w:sz w:val="21"/>
              </w:rPr>
              <w:t>综合科管模式一：采取调整密度、整形修剪、涂白防虫、扩盘施肥4项综合科管措施，涉及2个小班190亩(青槐社区五组向家湾4号小班100亩、栗园村二组杨家凹9号小班90亩）。每亩总投工3.7个。</w:t>
            </w:r>
          </w:p>
          <w:p>
            <w:pPr>
              <w:pStyle w:val="null3"/>
              <w:ind w:firstLine="480"/>
              <w:jc w:val="both"/>
            </w:pPr>
            <w:r>
              <w:rPr>
                <w:rFonts w:ascii="仿宋_GB2312" w:hAnsi="仿宋_GB2312" w:cs="仿宋_GB2312" w:eastAsia="仿宋_GB2312"/>
                <w:sz w:val="21"/>
              </w:rPr>
              <w:t>综合科管模式二：采取整形修剪、涂白防虫、扩盘施肥3项综合科管措施，涉及8个小班260亩（</w:t>
            </w:r>
            <w:r>
              <w:rPr>
                <w:rFonts w:ascii="仿宋_GB2312" w:hAnsi="仿宋_GB2312" w:cs="仿宋_GB2312" w:eastAsia="仿宋_GB2312"/>
                <w:sz w:val="21"/>
              </w:rPr>
              <w:t>安山村一组1号小班庙地大槽80亩；青槐社区四组2号小班刘家坡月亮湾40亩、六组3号小班枣树岭50亩、五组5号小班铁匠树凸16亩；太坪社区一组24号小班老炸药库后坡2亩、25号小班铁匠树凸对面2亩、26号小班李家院后坡20亩、27号小班水滴沟上阴坡50亩）</w:t>
            </w:r>
            <w:r>
              <w:rPr>
                <w:rFonts w:ascii="仿宋_GB2312" w:hAnsi="仿宋_GB2312" w:cs="仿宋_GB2312" w:eastAsia="仿宋_GB2312"/>
                <w:sz w:val="21"/>
              </w:rPr>
              <w:t>。</w:t>
            </w:r>
            <w:r>
              <w:rPr>
                <w:rFonts w:ascii="仿宋_GB2312" w:hAnsi="仿宋_GB2312" w:cs="仿宋_GB2312" w:eastAsia="仿宋_GB2312"/>
                <w:sz w:val="21"/>
              </w:rPr>
              <w:t>每亩总投工3.2个。</w:t>
            </w:r>
          </w:p>
          <w:p>
            <w:pPr>
              <w:pStyle w:val="null3"/>
            </w:pPr>
            <w:r>
              <w:rPr>
                <w:rFonts w:ascii="仿宋_GB2312" w:hAnsi="仿宋_GB2312" w:cs="仿宋_GB2312" w:eastAsia="仿宋_GB2312"/>
                <w:sz w:val="21"/>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ind w:firstLine="640"/>
              <w:jc w:val="left"/>
            </w:pPr>
            <w:r>
              <w:rPr>
                <w:rFonts w:ascii="仿宋_GB2312" w:hAnsi="仿宋_GB2312" w:cs="仿宋_GB2312" w:eastAsia="仿宋_GB2312"/>
                <w:sz w:val="21"/>
              </w:rPr>
              <w:t>技术措施要求：</w:t>
            </w:r>
          </w:p>
          <w:p>
            <w:pPr>
              <w:pStyle w:val="null3"/>
              <w:spacing w:before="105" w:after="105"/>
              <w:ind w:firstLine="640"/>
              <w:jc w:val="left"/>
            </w:pPr>
            <w:r>
              <w:rPr>
                <w:rFonts w:ascii="仿宋_GB2312" w:hAnsi="仿宋_GB2312" w:cs="仿宋_GB2312" w:eastAsia="仿宋_GB2312"/>
                <w:sz w:val="21"/>
              </w:rPr>
              <w:t>①调整密度：作业面积190亩，每亩投工0.5个。对每亩株数大于55株以上的栗园进行密度调整，伐除枯死树、老弱树、病虫树，保留密度约为每亩3x4米55株左右，砍伐残留物全部清理出园。</w:t>
            </w:r>
          </w:p>
          <w:p>
            <w:pPr>
              <w:pStyle w:val="null3"/>
              <w:spacing w:before="105" w:after="105"/>
              <w:ind w:firstLine="640"/>
              <w:jc w:val="left"/>
            </w:pPr>
            <w:r>
              <w:rPr>
                <w:rFonts w:ascii="仿宋_GB2312" w:hAnsi="仿宋_GB2312" w:cs="仿宋_GB2312" w:eastAsia="仿宋_GB2312"/>
                <w:sz w:val="21"/>
              </w:rPr>
              <w:t>②整形修剪：作业面积450亩，每亩投工1.7个。嫁接幼树修剪以培养树形为主。盛果期栗树采用“一疏、二去、三保留、四培养”四个步骤的修剪方法。第一步“疏”：疏除重叠枝、下垂枝、过密枝、交叉枝；第二步“去”：去除病虫枝、干枯枝、鱼刺枝、鸡爪枝；第三步“保留”：对三叉枝、四叉枝和更多叉枝的树冠外围一年生结果母枝，应逢三去一、逢四去二……保留成双叉V字型燕尾枝；第四步“培养”：利用修剪后隐芽萌发的徒长枝，短截培养成为来年结果枝。老树更新采取重截回缩的方法，每年回缩量为全树的1/3，3年完成更新。对板栗绿天牛危害的枯死栗树（枝干）伐除。对板栗园内所有的杂草灌木全部砍除，对枯枝落叶、病虫枝、修剪残余物、落苞全部集中烧毁，以减少病源、虫源。</w:t>
            </w:r>
          </w:p>
          <w:p>
            <w:pPr>
              <w:pStyle w:val="null3"/>
              <w:spacing w:before="105" w:after="105"/>
              <w:ind w:firstLine="640"/>
              <w:jc w:val="left"/>
            </w:pPr>
            <w:r>
              <w:rPr>
                <w:rFonts w:ascii="仿宋_GB2312" w:hAnsi="仿宋_GB2312" w:cs="仿宋_GB2312" w:eastAsia="仿宋_GB2312"/>
                <w:sz w:val="21"/>
              </w:rPr>
              <w:t>③涂白防虫：作业面积450亩，每亩投工0.7个。用</w:t>
            </w:r>
            <w:r>
              <w:rPr>
                <w:rFonts w:ascii="仿宋_GB2312" w:hAnsi="仿宋_GB2312" w:cs="仿宋_GB2312" w:eastAsia="仿宋_GB2312"/>
                <w:sz w:val="21"/>
              </w:rPr>
              <w:t>生石灰加入石硫合剂搅拌成糊状，进行树干涂白，涂白高度1米以上，以杀死越冬虫卵和病菌。每亩用生石灰12公斤、石硫合剂1包。</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④扩盘施肥：作业面积450亩，每亩投工0.8个。对调整密度、修剪、涂白后的栗园进行垦覆扩盘。垦覆栗树基部周围1.5m范围的土壤，垦覆深度15—20cm，扩大树盘，以利蓄水保墒，达到松土，消灭虫卵的目的。施肥能迅速促进树体生长，提高果实品质。具体方法为：坡地在上坡位置离树干基部1m处开半圆环状沟，沟深20cm以上，每棵树按照0.2公斤复合肥、0.05公斤硼肥混合均匀撒于沟里，然后覆土。每亩施复合肥10公斤、硼肥2.5公斤。</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05" w:after="105"/>
              <w:ind w:firstLine="640"/>
              <w:jc w:val="left"/>
            </w:pPr>
            <w:r>
              <w:rPr>
                <w:rFonts w:ascii="仿宋_GB2312" w:hAnsi="仿宋_GB2312" w:cs="仿宋_GB2312" w:eastAsia="仿宋_GB2312"/>
                <w:sz w:val="21"/>
              </w:rPr>
              <w:t>采购的物资规格要求：</w:t>
            </w:r>
          </w:p>
          <w:p>
            <w:pPr>
              <w:pStyle w:val="null3"/>
              <w:spacing w:before="105" w:after="105"/>
              <w:ind w:firstLine="640"/>
              <w:jc w:val="left"/>
            </w:pPr>
            <w:r>
              <w:rPr>
                <w:rFonts w:ascii="仿宋_GB2312" w:hAnsi="仿宋_GB2312" w:cs="仿宋_GB2312" w:eastAsia="仿宋_GB2312"/>
                <w:sz w:val="21"/>
              </w:rPr>
              <w:t>生石灰：氧化钙含量为：85%-92%可控，碳残余物≤0.2%，硫≤0.03%，氧化镁≤1.2%，活性：285ml-420ml，二氧化硅≤1.0%，P≤0.003%，粒度：20mm-40mm,粉比率≤10%，每亩用量12公斤。</w:t>
            </w:r>
          </w:p>
          <w:p>
            <w:pPr>
              <w:pStyle w:val="null3"/>
              <w:spacing w:before="105" w:after="105"/>
              <w:ind w:firstLine="640"/>
              <w:jc w:val="left"/>
            </w:pPr>
            <w:r>
              <w:rPr>
                <w:rFonts w:ascii="仿宋_GB2312" w:hAnsi="仿宋_GB2312" w:cs="仿宋_GB2312" w:eastAsia="仿宋_GB2312"/>
                <w:sz w:val="21"/>
              </w:rPr>
              <w:t>石硫合剂：每包400g，有效成分含量:45%，剂型:结晶粉，每亩用量1包。</w:t>
            </w:r>
          </w:p>
          <w:p>
            <w:pPr>
              <w:pStyle w:val="null3"/>
              <w:spacing w:before="105" w:after="105"/>
              <w:ind w:firstLine="640"/>
              <w:jc w:val="left"/>
            </w:pPr>
            <w:r>
              <w:rPr>
                <w:rFonts w:ascii="仿宋_GB2312" w:hAnsi="仿宋_GB2312" w:cs="仿宋_GB2312" w:eastAsia="仿宋_GB2312"/>
                <w:sz w:val="21"/>
              </w:rPr>
              <w:t>复合肥：氮磷钾含量</w:t>
            </w:r>
            <w:r>
              <w:rPr>
                <w:rFonts w:ascii="仿宋_GB2312" w:hAnsi="仿宋_GB2312" w:cs="仿宋_GB2312" w:eastAsia="仿宋_GB2312"/>
                <w:sz w:val="21"/>
              </w:rPr>
              <w:t>≥</w:t>
            </w:r>
            <w:r>
              <w:rPr>
                <w:rFonts w:ascii="仿宋_GB2312" w:hAnsi="仿宋_GB2312" w:cs="仿宋_GB2312" w:eastAsia="仿宋_GB2312"/>
                <w:sz w:val="21"/>
              </w:rPr>
              <w:t>45%，每亩用量10公斤。</w:t>
            </w:r>
          </w:p>
          <w:p>
            <w:pPr>
              <w:pStyle w:val="null3"/>
              <w:spacing w:before="105" w:after="105"/>
              <w:ind w:firstLine="640"/>
              <w:jc w:val="left"/>
            </w:pPr>
            <w:r>
              <w:rPr>
                <w:rFonts w:ascii="仿宋_GB2312" w:hAnsi="仿宋_GB2312" w:cs="仿宋_GB2312" w:eastAsia="仿宋_GB2312"/>
                <w:sz w:val="21"/>
              </w:rPr>
              <w:t>硼肥：B</w:t>
            </w:r>
            <w:r>
              <w:rPr>
                <w:rFonts w:ascii="仿宋_GB2312" w:hAnsi="仿宋_GB2312" w:cs="仿宋_GB2312" w:eastAsia="仿宋_GB2312"/>
                <w:sz w:val="21"/>
                <w:vertAlign w:val="subscript"/>
              </w:rPr>
              <w:t>2</w:t>
            </w:r>
            <w:r>
              <w:rPr>
                <w:rFonts w:ascii="仿宋_GB2312" w:hAnsi="仿宋_GB2312" w:cs="仿宋_GB2312" w:eastAsia="仿宋_GB2312"/>
                <w:sz w:val="21"/>
              </w:rPr>
              <w:t>O</w:t>
            </w:r>
            <w:r>
              <w:rPr>
                <w:rFonts w:ascii="仿宋_GB2312" w:hAnsi="仿宋_GB2312" w:cs="仿宋_GB2312" w:eastAsia="仿宋_GB2312"/>
                <w:sz w:val="21"/>
                <w:vertAlign w:val="subscript"/>
              </w:rPr>
              <w:t>3</w:t>
            </w:r>
            <w:r>
              <w:rPr>
                <w:rFonts w:ascii="仿宋_GB2312" w:hAnsi="仿宋_GB2312" w:cs="仿宋_GB2312" w:eastAsia="仿宋_GB2312"/>
                <w:sz w:val="21"/>
              </w:rPr>
              <w:t>含量</w:t>
            </w:r>
            <w:r>
              <w:rPr>
                <w:rFonts w:ascii="仿宋_GB2312" w:hAnsi="仿宋_GB2312" w:cs="仿宋_GB2312" w:eastAsia="仿宋_GB2312"/>
                <w:sz w:val="21"/>
              </w:rPr>
              <w:t>≥15%，每亩用量2.5公斤。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 xml:space="preserve">    工期：60日历天；</w:t>
            </w:r>
          </w:p>
          <w:p>
            <w:pPr>
              <w:pStyle w:val="null3"/>
            </w:pPr>
            <w:r>
              <w:rPr>
                <w:rFonts w:ascii="仿宋_GB2312" w:hAnsi="仿宋_GB2312" w:cs="仿宋_GB2312" w:eastAsia="仿宋_GB2312"/>
                <w:sz w:val="21"/>
              </w:rPr>
              <w:t xml:space="preserve">    质量标准：符合国家现行有关质量验收规范“合格”标准及作业设计要求；</w:t>
            </w:r>
          </w:p>
          <w:p>
            <w:pPr>
              <w:pStyle w:val="null3"/>
            </w:pPr>
            <w:r>
              <w:rPr>
                <w:rFonts w:ascii="仿宋_GB2312" w:hAnsi="仿宋_GB2312" w:cs="仿宋_GB2312" w:eastAsia="仿宋_GB2312"/>
                <w:sz w:val="21"/>
              </w:rPr>
              <w:t xml:space="preserve">    安全目标：无安全责任事故。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标的名称：板栗林综合科管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科管模式：</w:t>
            </w:r>
          </w:p>
          <w:p>
            <w:pPr>
              <w:pStyle w:val="null3"/>
            </w:pPr>
            <w:r>
              <w:rPr>
                <w:rFonts w:ascii="仿宋_GB2312" w:hAnsi="仿宋_GB2312" w:cs="仿宋_GB2312" w:eastAsia="仿宋_GB2312"/>
                <w:sz w:val="21"/>
              </w:rPr>
              <w:t xml:space="preserve">    综合科管模式一：采取调整密度、整形修剪、涂白防虫、扩盘施肥4项综合科管措施，涉及2个小班710亩（栗园村一组7号小班柳树沟中排360亩、8号小班张家梁350亩）。每亩总投工3.7个。</w:t>
            </w:r>
          </w:p>
          <w:p>
            <w:pPr>
              <w:pStyle w:val="null3"/>
            </w:pPr>
            <w:r>
              <w:rPr>
                <w:rFonts w:ascii="仿宋_GB2312" w:hAnsi="仿宋_GB2312" w:cs="仿宋_GB2312" w:eastAsia="仿宋_GB2312"/>
                <w:sz w:val="21"/>
              </w:rPr>
              <w:t xml:space="preserve">    综合科管模式二：采取整形修剪、涂白防虫、扩盘施肥3项综合科管措施，涉及2个小班130亩（栗园村一组6号小班柳树沟100亩，7号小班柳树沟中排30亩）。每亩总投工3.2个。</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ind w:firstLine="640"/>
              <w:jc w:val="left"/>
            </w:pPr>
            <w:r>
              <w:rPr>
                <w:rFonts w:ascii="仿宋_GB2312" w:hAnsi="仿宋_GB2312" w:cs="仿宋_GB2312" w:eastAsia="仿宋_GB2312"/>
                <w:sz w:val="21"/>
              </w:rPr>
              <w:t>技术措施要求：</w:t>
            </w:r>
          </w:p>
          <w:p>
            <w:pPr>
              <w:pStyle w:val="null3"/>
              <w:spacing w:before="105" w:after="105"/>
              <w:ind w:firstLine="640"/>
              <w:jc w:val="left"/>
            </w:pPr>
            <w:r>
              <w:rPr>
                <w:rFonts w:ascii="仿宋_GB2312" w:hAnsi="仿宋_GB2312" w:cs="仿宋_GB2312" w:eastAsia="仿宋_GB2312"/>
                <w:sz w:val="21"/>
              </w:rPr>
              <w:t>①调整密度：作业面积710亩，每亩投工0.5个。对每亩株数大于55株以上的栗园进行密度调整，伐除枯死树、老弱树、病虫树，保留密度约为每亩3x4米55株左右，砍伐残留物全部清理出园。</w:t>
            </w:r>
          </w:p>
          <w:p>
            <w:pPr>
              <w:pStyle w:val="null3"/>
              <w:spacing w:before="105" w:after="105"/>
              <w:ind w:firstLine="640"/>
              <w:jc w:val="left"/>
            </w:pPr>
            <w:r>
              <w:rPr>
                <w:rFonts w:ascii="仿宋_GB2312" w:hAnsi="仿宋_GB2312" w:cs="仿宋_GB2312" w:eastAsia="仿宋_GB2312"/>
                <w:sz w:val="21"/>
              </w:rPr>
              <w:t>②整形修剪：作业面积840亩，每亩投工1.7个。嫁接幼树修剪以培养树形为主。盛果期栗树采用“一疏、二去、三保留、四培养”四个步骤的修剪方法。第一步“疏”：疏除重叠枝、下垂枝、过密枝、交叉枝；第二步“去”：去除病虫枝、干枯枝、鱼刺枝、鸡爪枝；第三步“保留”：对三叉枝、四叉枝和更多叉枝的树冠外围一年生结果母枝，应逢三去一、逢四去二……保留成双叉V字型燕尾枝；第四步“培养”：利用修剪后隐芽萌发的徒长枝，短截培养成为来年结果枝。老树更新采取重截回缩的方法，每年回缩量为全树的1/3，3年完成更新。对板栗绿天牛危害的枯死栗树（枝干）伐除。对板栗园内所有的杂草灌木全部砍除，对枯枝落叶、病虫枝、修剪残余物、落苞全部集中烧毁，以减少病源、虫源。</w:t>
            </w:r>
          </w:p>
          <w:p>
            <w:pPr>
              <w:pStyle w:val="null3"/>
              <w:spacing w:before="105" w:after="105"/>
              <w:ind w:firstLine="640"/>
              <w:jc w:val="left"/>
            </w:pPr>
            <w:r>
              <w:rPr>
                <w:rFonts w:ascii="仿宋_GB2312" w:hAnsi="仿宋_GB2312" w:cs="仿宋_GB2312" w:eastAsia="仿宋_GB2312"/>
                <w:sz w:val="21"/>
              </w:rPr>
              <w:t>③涂白防虫：作业面积840亩，每亩投工0.7个。用生石灰加入石硫合剂搅拌成糊状，进行树干涂白，涂白高度1米以上，以杀死越冬虫卵和病菌。每亩用生石灰12公斤、石硫合剂1包。</w:t>
            </w:r>
          </w:p>
          <w:p>
            <w:pPr>
              <w:pStyle w:val="null3"/>
            </w:pPr>
            <w:r>
              <w:rPr>
                <w:rFonts w:ascii="仿宋_GB2312" w:hAnsi="仿宋_GB2312" w:cs="仿宋_GB2312" w:eastAsia="仿宋_GB2312"/>
                <w:sz w:val="21"/>
              </w:rPr>
              <w:t xml:space="preserve">    ④扩盘施肥：作业面积840亩，每亩投工0.8个。对调整密度、修剪、涂白后的栗园进行垦覆扩盘。垦覆栗树基部周围1.5m范围的土壤，垦覆深度15—20cm，扩大树盘，以利蓄水保墒，达到松土，消灭虫卵的目的。施肥能迅速促进树体生长，提高果实品质。具体方法为：坡地在上坡位置离树干基部1m处开半圆环状沟，沟深20cm以上，每棵树按照0.2公斤复合肥、0.05公斤硼肥混合均匀撒于沟里，然后覆土。每亩施复合肥10公斤、硼肥2.5公斤。</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 xml:space="preserve">   采购的物资规格要求：</w:t>
            </w:r>
          </w:p>
          <w:p>
            <w:pPr>
              <w:pStyle w:val="null3"/>
            </w:pPr>
            <w:r>
              <w:rPr>
                <w:rFonts w:ascii="仿宋_GB2312" w:hAnsi="仿宋_GB2312" w:cs="仿宋_GB2312" w:eastAsia="仿宋_GB2312"/>
                <w:sz w:val="21"/>
              </w:rPr>
              <w:t xml:space="preserve">   生石灰：氧化钙含量为：85%-92%可控，碳残余物≤0.2%，硫≤0.03%，氧化镁≤1.2%，活性：285ml-420ml，二氧化硅≤1.0%，P≤0.003%，粒度：20mm-40mm,粉比率≤10%，每亩用量12公斤。</w:t>
            </w:r>
          </w:p>
          <w:p>
            <w:pPr>
              <w:pStyle w:val="null3"/>
            </w:pPr>
            <w:r>
              <w:rPr>
                <w:rFonts w:ascii="仿宋_GB2312" w:hAnsi="仿宋_GB2312" w:cs="仿宋_GB2312" w:eastAsia="仿宋_GB2312"/>
                <w:sz w:val="21"/>
              </w:rPr>
              <w:t xml:space="preserve">   石硫合剂：每包400g，有效成分含量:45%，剂型:结晶粉，每亩用量1包。</w:t>
            </w:r>
          </w:p>
          <w:p>
            <w:pPr>
              <w:pStyle w:val="null3"/>
            </w:pPr>
            <w:r>
              <w:rPr>
                <w:rFonts w:ascii="仿宋_GB2312" w:hAnsi="仿宋_GB2312" w:cs="仿宋_GB2312" w:eastAsia="仿宋_GB2312"/>
                <w:sz w:val="21"/>
              </w:rPr>
              <w:t xml:space="preserve">   复合肥：氮磷钾含量</w:t>
            </w:r>
            <w:r>
              <w:rPr>
                <w:rFonts w:ascii="仿宋_GB2312" w:hAnsi="仿宋_GB2312" w:cs="仿宋_GB2312" w:eastAsia="仿宋_GB2312"/>
                <w:sz w:val="21"/>
              </w:rPr>
              <w:t>≥</w:t>
            </w:r>
            <w:r>
              <w:rPr>
                <w:rFonts w:ascii="仿宋_GB2312" w:hAnsi="仿宋_GB2312" w:cs="仿宋_GB2312" w:eastAsia="仿宋_GB2312"/>
                <w:sz w:val="21"/>
              </w:rPr>
              <w:t>45%，每亩用量10公斤。</w:t>
            </w:r>
          </w:p>
          <w:p>
            <w:pPr>
              <w:pStyle w:val="null3"/>
            </w:pPr>
            <w:r>
              <w:rPr>
                <w:rFonts w:ascii="仿宋_GB2312" w:hAnsi="仿宋_GB2312" w:cs="仿宋_GB2312" w:eastAsia="仿宋_GB2312"/>
                <w:sz w:val="21"/>
              </w:rPr>
              <w:t xml:space="preserve">   硼肥：B</w:t>
            </w:r>
            <w:r>
              <w:rPr>
                <w:rFonts w:ascii="仿宋_GB2312" w:hAnsi="仿宋_GB2312" w:cs="仿宋_GB2312" w:eastAsia="仿宋_GB2312"/>
                <w:sz w:val="21"/>
                <w:vertAlign w:val="subscript"/>
              </w:rPr>
              <w:t>2</w:t>
            </w:r>
            <w:r>
              <w:rPr>
                <w:rFonts w:ascii="仿宋_GB2312" w:hAnsi="仿宋_GB2312" w:cs="仿宋_GB2312" w:eastAsia="仿宋_GB2312"/>
                <w:sz w:val="21"/>
              </w:rPr>
              <w:t>O</w:t>
            </w:r>
            <w:r>
              <w:rPr>
                <w:rFonts w:ascii="仿宋_GB2312" w:hAnsi="仿宋_GB2312" w:cs="仿宋_GB2312" w:eastAsia="仿宋_GB2312"/>
                <w:sz w:val="21"/>
                <w:vertAlign w:val="subscript"/>
              </w:rPr>
              <w:t>3</w:t>
            </w:r>
            <w:r>
              <w:rPr>
                <w:rFonts w:ascii="仿宋_GB2312" w:hAnsi="仿宋_GB2312" w:cs="仿宋_GB2312" w:eastAsia="仿宋_GB2312"/>
                <w:sz w:val="21"/>
              </w:rPr>
              <w:t>含量≥15%，每亩用量2.5公斤。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 xml:space="preserve">    工期：60日历天；</w:t>
            </w:r>
          </w:p>
          <w:p>
            <w:pPr>
              <w:pStyle w:val="null3"/>
            </w:pPr>
            <w:r>
              <w:rPr>
                <w:rFonts w:ascii="仿宋_GB2312" w:hAnsi="仿宋_GB2312" w:cs="仿宋_GB2312" w:eastAsia="仿宋_GB2312"/>
                <w:sz w:val="21"/>
              </w:rPr>
              <w:t xml:space="preserve">    质量标准：符合国家现行有关质量验收规范“合格”标准及作业设计要求；</w:t>
            </w:r>
          </w:p>
          <w:p>
            <w:pPr>
              <w:pStyle w:val="null3"/>
            </w:pPr>
            <w:r>
              <w:rPr>
                <w:rFonts w:ascii="仿宋_GB2312" w:hAnsi="仿宋_GB2312" w:cs="仿宋_GB2312" w:eastAsia="仿宋_GB2312"/>
                <w:sz w:val="21"/>
              </w:rPr>
              <w:t xml:space="preserve">    安全目标：无安全责任事故。</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标的名称：板栗林综合科管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科管模式：</w:t>
            </w:r>
          </w:p>
          <w:p>
            <w:pPr>
              <w:pStyle w:val="null3"/>
            </w:pPr>
            <w:r>
              <w:rPr>
                <w:rFonts w:ascii="仿宋_GB2312" w:hAnsi="仿宋_GB2312" w:cs="仿宋_GB2312" w:eastAsia="仿宋_GB2312"/>
                <w:sz w:val="21"/>
              </w:rPr>
              <w:t xml:space="preserve">    综合科管模式一：采取调整密度、整形修剪、涂白防虫、扩盘施肥4项综合科管措施，涉及1个小班310亩（栗园村二组13号小班上河阳坡坎310亩）。每亩总投工3.7个。</w:t>
            </w:r>
          </w:p>
          <w:p>
            <w:pPr>
              <w:pStyle w:val="null3"/>
            </w:pPr>
            <w:r>
              <w:rPr>
                <w:rFonts w:ascii="仿宋_GB2312" w:hAnsi="仿宋_GB2312" w:cs="仿宋_GB2312" w:eastAsia="仿宋_GB2312"/>
                <w:sz w:val="21"/>
              </w:rPr>
              <w:t xml:space="preserve">    综合科管模式二：采取整形修剪、涂白防虫、扩盘施肥3项综合科管措施，涉及3个小班470亩（栗园村二组10号小班金洞沟阴坡排230亩，11号小班金洞沟脑140亩，12号小班金洞沟大块地100亩）。每亩总投工3.2个。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ind w:firstLine="640"/>
              <w:jc w:val="left"/>
            </w:pPr>
            <w:r>
              <w:rPr>
                <w:rFonts w:ascii="仿宋_GB2312" w:hAnsi="仿宋_GB2312" w:cs="仿宋_GB2312" w:eastAsia="仿宋_GB2312"/>
                <w:sz w:val="21"/>
              </w:rPr>
              <w:t>技术措施要求：</w:t>
            </w:r>
          </w:p>
          <w:p>
            <w:pPr>
              <w:pStyle w:val="null3"/>
              <w:spacing w:before="105" w:after="105"/>
              <w:ind w:firstLine="640"/>
              <w:jc w:val="left"/>
            </w:pPr>
            <w:r>
              <w:rPr>
                <w:rFonts w:ascii="仿宋_GB2312" w:hAnsi="仿宋_GB2312" w:cs="仿宋_GB2312" w:eastAsia="仿宋_GB2312"/>
                <w:sz w:val="21"/>
              </w:rPr>
              <w:t>①调整密度：作业面积310亩，每亩投工0.5个。对每亩株数大于55株以上的栗园进行密度调整，伐除枯死树、老弱树、病虫树，保留密度约为每亩3x4米55株左右，砍伐残留物全部清理出园。</w:t>
            </w:r>
          </w:p>
          <w:p>
            <w:pPr>
              <w:pStyle w:val="null3"/>
              <w:spacing w:before="105" w:after="105"/>
              <w:ind w:firstLine="640"/>
              <w:jc w:val="left"/>
            </w:pPr>
            <w:r>
              <w:rPr>
                <w:rFonts w:ascii="仿宋_GB2312" w:hAnsi="仿宋_GB2312" w:cs="仿宋_GB2312" w:eastAsia="仿宋_GB2312"/>
                <w:sz w:val="21"/>
              </w:rPr>
              <w:t>②整形修剪：作业面积780亩，每亩投工1.7个。嫁接幼树修剪以培养树形为主。盛果期栗树采用“一疏、二去、三保留、四培养”四个步骤的修剪方法。第一步“疏”：疏除重叠枝、下垂枝、过密枝、交叉枝；第二步“去”：去除病虫枝、干枯枝、鱼刺枝、鸡爪枝；第三步“保留”：对三叉枝、四叉枝和更多叉枝的树冠外围一年生结果母枝，应逢三去一、逢四去二……保留成双叉V字型燕尾枝；第四步“培养”：利用修剪后隐芽萌发的徒长枝，短截培养成为来年结果枝。老树更新采取重截回缩的方法，每年回缩量为全树的1/3，3年完成更新。对板栗绿天牛危害的枯死栗树（枝干）伐除。对板栗园内所有的杂草灌木全部砍除，对枯枝落叶、病虫枝、修剪残余物、落苞全部集中烧毁，以减少病源、虫源。</w:t>
            </w:r>
          </w:p>
          <w:p>
            <w:pPr>
              <w:pStyle w:val="null3"/>
              <w:spacing w:before="105" w:after="105"/>
              <w:ind w:firstLine="640"/>
              <w:jc w:val="left"/>
            </w:pPr>
            <w:r>
              <w:rPr>
                <w:rFonts w:ascii="仿宋_GB2312" w:hAnsi="仿宋_GB2312" w:cs="仿宋_GB2312" w:eastAsia="仿宋_GB2312"/>
                <w:sz w:val="21"/>
              </w:rPr>
              <w:t>③涂白防虫：作业面积780亩，每亩投工0.7个。用生石灰加入石硫合剂搅拌成糊状，进行树干涂白，涂白高度1米以上，以杀死越冬虫卵和病菌。每亩用生石灰12公斤、石硫合剂1包。</w:t>
            </w:r>
          </w:p>
          <w:p>
            <w:pPr>
              <w:pStyle w:val="null3"/>
            </w:pPr>
            <w:r>
              <w:rPr>
                <w:rFonts w:ascii="仿宋_GB2312" w:hAnsi="仿宋_GB2312" w:cs="仿宋_GB2312" w:eastAsia="仿宋_GB2312"/>
                <w:sz w:val="21"/>
              </w:rPr>
              <w:t xml:space="preserve">    ④扩盘施肥：作业面积780亩，每亩投工0.8个。对调整密度、修剪、涂白后的栗园进行垦覆扩盘。垦覆栗树基部周围1.5m范围的土壤，垦覆深度15—20cm，扩大树盘，以利蓄水保墒，达到松土，消灭虫卵的目的。施肥能迅速促进树体生长，提高果实品质。具体方法为：坡地在上坡位置离树干基部1m处开半圆环状沟，沟深20cm以上，每棵树按照0.2公斤复合肥、0.05公斤硼肥混合均匀撒于沟里，然后覆土。每亩施复合肥10公斤、硼肥2.5公斤。</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05" w:after="105"/>
              <w:ind w:firstLine="640"/>
              <w:jc w:val="left"/>
            </w:pPr>
            <w:r>
              <w:rPr>
                <w:rFonts w:ascii="仿宋_GB2312" w:hAnsi="仿宋_GB2312" w:cs="仿宋_GB2312" w:eastAsia="仿宋_GB2312"/>
                <w:sz w:val="21"/>
              </w:rPr>
              <w:t>采购的物资规格要求：</w:t>
            </w:r>
          </w:p>
          <w:p>
            <w:pPr>
              <w:pStyle w:val="null3"/>
              <w:spacing w:before="105" w:after="105"/>
              <w:ind w:firstLine="640"/>
              <w:jc w:val="left"/>
            </w:pPr>
            <w:r>
              <w:rPr>
                <w:rFonts w:ascii="仿宋_GB2312" w:hAnsi="仿宋_GB2312" w:cs="仿宋_GB2312" w:eastAsia="仿宋_GB2312"/>
                <w:sz w:val="21"/>
              </w:rPr>
              <w:t>生石灰：氧化钙含量为：85%-92%可控，碳残余物≤0.2%，硫≤0.03%，氧化镁≤1.2%，活性：285ml-420ml，二氧化硅≤1.0%，P≤0.003%，粒度：20mm-40mm,粉比率≤10%，每亩用量12公斤。</w:t>
            </w:r>
          </w:p>
          <w:p>
            <w:pPr>
              <w:pStyle w:val="null3"/>
              <w:spacing w:before="105" w:after="105"/>
              <w:ind w:firstLine="640"/>
              <w:jc w:val="left"/>
            </w:pPr>
            <w:r>
              <w:rPr>
                <w:rFonts w:ascii="仿宋_GB2312" w:hAnsi="仿宋_GB2312" w:cs="仿宋_GB2312" w:eastAsia="仿宋_GB2312"/>
                <w:sz w:val="21"/>
              </w:rPr>
              <w:t>石硫合剂：每包400g，有效成分含量:45%，剂型:结晶粉，每亩用量1包。</w:t>
            </w:r>
          </w:p>
          <w:p>
            <w:pPr>
              <w:pStyle w:val="null3"/>
              <w:spacing w:before="105" w:after="105"/>
              <w:ind w:firstLine="640"/>
              <w:jc w:val="left"/>
            </w:pPr>
            <w:r>
              <w:rPr>
                <w:rFonts w:ascii="仿宋_GB2312" w:hAnsi="仿宋_GB2312" w:cs="仿宋_GB2312" w:eastAsia="仿宋_GB2312"/>
                <w:sz w:val="21"/>
              </w:rPr>
              <w:t>复合肥：氮磷钾含量</w:t>
            </w:r>
            <w:r>
              <w:rPr>
                <w:rFonts w:ascii="仿宋_GB2312" w:hAnsi="仿宋_GB2312" w:cs="仿宋_GB2312" w:eastAsia="仿宋_GB2312"/>
                <w:sz w:val="21"/>
              </w:rPr>
              <w:t>≥</w:t>
            </w:r>
            <w:r>
              <w:rPr>
                <w:rFonts w:ascii="仿宋_GB2312" w:hAnsi="仿宋_GB2312" w:cs="仿宋_GB2312" w:eastAsia="仿宋_GB2312"/>
                <w:sz w:val="21"/>
              </w:rPr>
              <w:t>45%，每亩用量10公斤。</w:t>
            </w:r>
          </w:p>
          <w:p>
            <w:pPr>
              <w:pStyle w:val="null3"/>
            </w:pPr>
            <w:r>
              <w:rPr>
                <w:rFonts w:ascii="仿宋_GB2312" w:hAnsi="仿宋_GB2312" w:cs="仿宋_GB2312" w:eastAsia="仿宋_GB2312"/>
                <w:sz w:val="21"/>
              </w:rPr>
              <w:t xml:space="preserve">    硼肥：B</w:t>
            </w:r>
            <w:r>
              <w:rPr>
                <w:rFonts w:ascii="仿宋_GB2312" w:hAnsi="仿宋_GB2312" w:cs="仿宋_GB2312" w:eastAsia="仿宋_GB2312"/>
                <w:sz w:val="21"/>
                <w:vertAlign w:val="subscript"/>
              </w:rPr>
              <w:t>2</w:t>
            </w:r>
            <w:r>
              <w:rPr>
                <w:rFonts w:ascii="仿宋_GB2312" w:hAnsi="仿宋_GB2312" w:cs="仿宋_GB2312" w:eastAsia="仿宋_GB2312"/>
                <w:sz w:val="21"/>
              </w:rPr>
              <w:t>O</w:t>
            </w:r>
            <w:r>
              <w:rPr>
                <w:rFonts w:ascii="仿宋_GB2312" w:hAnsi="仿宋_GB2312" w:cs="仿宋_GB2312" w:eastAsia="仿宋_GB2312"/>
                <w:sz w:val="21"/>
                <w:vertAlign w:val="subscript"/>
              </w:rPr>
              <w:t>3</w:t>
            </w:r>
            <w:r>
              <w:rPr>
                <w:rFonts w:ascii="仿宋_GB2312" w:hAnsi="仿宋_GB2312" w:cs="仿宋_GB2312" w:eastAsia="仿宋_GB2312"/>
                <w:sz w:val="21"/>
              </w:rPr>
              <w:t>含量≥15%，每亩用量2.5公斤。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 xml:space="preserve">    工期：60日历天；</w:t>
            </w:r>
          </w:p>
          <w:p>
            <w:pPr>
              <w:pStyle w:val="null3"/>
            </w:pPr>
            <w:r>
              <w:rPr>
                <w:rFonts w:ascii="仿宋_GB2312" w:hAnsi="仿宋_GB2312" w:cs="仿宋_GB2312" w:eastAsia="仿宋_GB2312"/>
                <w:sz w:val="21"/>
              </w:rPr>
              <w:t xml:space="preserve">    质量标准：符合国家现行有关质量验收规范“合格”标准及作业设计要求；</w:t>
            </w:r>
          </w:p>
          <w:p>
            <w:pPr>
              <w:pStyle w:val="null3"/>
            </w:pPr>
            <w:r>
              <w:rPr>
                <w:rFonts w:ascii="仿宋_GB2312" w:hAnsi="仿宋_GB2312" w:cs="仿宋_GB2312" w:eastAsia="仿宋_GB2312"/>
                <w:sz w:val="21"/>
              </w:rPr>
              <w:t xml:space="preserve">    安全目标：无安全责任事故。</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标的名称：板栗林综合科管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科管模式：</w:t>
            </w:r>
          </w:p>
          <w:p>
            <w:pPr>
              <w:pStyle w:val="null3"/>
            </w:pPr>
            <w:r>
              <w:rPr>
                <w:rFonts w:ascii="仿宋_GB2312" w:hAnsi="仿宋_GB2312" w:cs="仿宋_GB2312" w:eastAsia="仿宋_GB2312"/>
                <w:sz w:val="21"/>
              </w:rPr>
              <w:t xml:space="preserve">    综合科管模式一：采取调整密度、整形修剪、涂白防虫、扩盘施肥4项综合科管措施，涉及1个小班70亩（栗园村二组14号小班苗圃对面70亩）。每亩总投工3.7个。</w:t>
            </w:r>
          </w:p>
          <w:p>
            <w:pPr>
              <w:pStyle w:val="null3"/>
            </w:pPr>
            <w:r>
              <w:rPr>
                <w:rFonts w:ascii="仿宋_GB2312" w:hAnsi="仿宋_GB2312" w:cs="仿宋_GB2312" w:eastAsia="仿宋_GB2312"/>
                <w:sz w:val="21"/>
              </w:rPr>
              <w:t xml:space="preserve">    综合科管模式二：采取整形修剪、涂白防虫、扩盘施肥3项综合科管措施，涉及3个小班630亩（栗园村三组15号小班李家沟槽110亩，16号小班小李家沟300亩，17号小班牛栏沟口下220亩）。每亩总投工3.2个。</w:t>
            </w:r>
          </w:p>
          <w:p>
            <w:pPr>
              <w:pStyle w:val="null3"/>
            </w:pPr>
            <w:r>
              <w:rPr>
                <w:rFonts w:ascii="仿宋_GB2312" w:hAnsi="仿宋_GB2312" w:cs="仿宋_GB2312" w:eastAsia="仿宋_GB2312"/>
                <w:sz w:val="21"/>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ind w:firstLine="640"/>
              <w:jc w:val="left"/>
            </w:pPr>
            <w:r>
              <w:rPr>
                <w:rFonts w:ascii="仿宋_GB2312" w:hAnsi="仿宋_GB2312" w:cs="仿宋_GB2312" w:eastAsia="仿宋_GB2312"/>
                <w:sz w:val="21"/>
              </w:rPr>
              <w:t>技术措施要求：</w:t>
            </w:r>
          </w:p>
          <w:p>
            <w:pPr>
              <w:pStyle w:val="null3"/>
              <w:spacing w:before="105" w:after="105"/>
              <w:ind w:firstLine="640"/>
              <w:jc w:val="left"/>
            </w:pPr>
            <w:r>
              <w:rPr>
                <w:rFonts w:ascii="仿宋_GB2312" w:hAnsi="仿宋_GB2312" w:cs="仿宋_GB2312" w:eastAsia="仿宋_GB2312"/>
                <w:sz w:val="21"/>
              </w:rPr>
              <w:t>①调整密度：作业面积70亩，每亩投工0.5个。对每亩株数大于55株以上的栗园进行密度调整，伐除枯死树、老弱树、病虫树，保留密度约为每亩3x4米55株左右，砍伐残留物全部清理出园。</w:t>
            </w:r>
          </w:p>
          <w:p>
            <w:pPr>
              <w:pStyle w:val="null3"/>
              <w:spacing w:before="105" w:after="105"/>
              <w:ind w:firstLine="640"/>
              <w:jc w:val="left"/>
            </w:pPr>
            <w:r>
              <w:rPr>
                <w:rFonts w:ascii="仿宋_GB2312" w:hAnsi="仿宋_GB2312" w:cs="仿宋_GB2312" w:eastAsia="仿宋_GB2312"/>
                <w:sz w:val="21"/>
              </w:rPr>
              <w:t>②整形修剪：作业面积700亩，每亩投工1.7个。嫁接幼树修剪以培养树形为主。盛果期栗树采用“一疏、二去、三保留、四培养”四个步骤的修剪方法。第一步“疏”：疏除重叠枝、下垂枝、过密枝、交叉枝；第二步“去”：去除病虫枝、干枯枝、鱼刺枝、鸡爪枝；第三步“保留”：对三叉枝、四叉枝和更多叉枝的树冠外围一年生结果母枝，应逢三去一、逢四去二……保留成双叉V字型燕尾枝；第四步“培养”：利用修剪后隐芽萌发的徒长枝，短截培养成为来年结果枝。老树更新采取重截回缩的方法，每年回缩量为全树的1/3，3年完成更新。对板栗绿天牛危害的枯死栗树（枝干）伐除。对板栗园内所有的杂草灌木全部砍除，对枯枝落叶、病虫枝、修剪残余物、落苞全部集中烧毁，以减少病源、虫源。</w:t>
            </w:r>
          </w:p>
          <w:p>
            <w:pPr>
              <w:pStyle w:val="null3"/>
            </w:pPr>
            <w:r>
              <w:rPr>
                <w:rFonts w:ascii="仿宋_GB2312" w:hAnsi="仿宋_GB2312" w:cs="仿宋_GB2312" w:eastAsia="仿宋_GB2312"/>
                <w:sz w:val="21"/>
              </w:rPr>
              <w:t xml:space="preserve">   ③涂白防虫：作业面积700亩，每亩投工0.7个。用生石灰加入石硫合剂搅拌成糊状，进行树干涂白，涂白高度1米以上，以杀死越冬虫卵和病菌。每亩用生石灰12公斤、石硫合剂1包。</w:t>
            </w:r>
          </w:p>
          <w:p>
            <w:pPr>
              <w:pStyle w:val="null3"/>
            </w:pPr>
            <w:r>
              <w:rPr>
                <w:rFonts w:ascii="仿宋_GB2312" w:hAnsi="仿宋_GB2312" w:cs="仿宋_GB2312" w:eastAsia="仿宋_GB2312"/>
                <w:sz w:val="21"/>
              </w:rPr>
              <w:t xml:space="preserve">   ④扩盘施肥：作业面积700亩，每亩投工0.8个。对调整密度、修剪、涂白后的栗园进行垦覆扩盘。垦覆栗树基部周围1.5m范围的土壤，垦覆深度15—20cm，扩大树盘，以利蓄水保墒，达到松土，消灭虫卵的目的。施肥能迅速促进树体生长，提高果实品质。具体方法为：坡地在上坡位置离树干基部1m处开半圆环状沟，沟深20cm以上，每棵树按照0.2公斤复合肥、0.05公斤硼肥混合均匀撒于沟里，然后覆土。每亩施复合肥10公斤、硼肥2.5公斤。</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05" w:after="105"/>
              <w:ind w:firstLine="640"/>
              <w:jc w:val="left"/>
            </w:pPr>
            <w:r>
              <w:rPr>
                <w:rFonts w:ascii="仿宋_GB2312" w:hAnsi="仿宋_GB2312" w:cs="仿宋_GB2312" w:eastAsia="仿宋_GB2312"/>
                <w:sz w:val="21"/>
              </w:rPr>
              <w:t>采购的物资规格要求：</w:t>
            </w:r>
          </w:p>
          <w:p>
            <w:pPr>
              <w:pStyle w:val="null3"/>
              <w:spacing w:before="105" w:after="105"/>
              <w:ind w:firstLine="640"/>
              <w:jc w:val="left"/>
            </w:pPr>
            <w:r>
              <w:rPr>
                <w:rFonts w:ascii="仿宋_GB2312" w:hAnsi="仿宋_GB2312" w:cs="仿宋_GB2312" w:eastAsia="仿宋_GB2312"/>
                <w:sz w:val="21"/>
              </w:rPr>
              <w:t>生石灰：氧化钙含量为：85%-92%可控，碳残余物≤0.2%，硫≤0.03%，氧化镁≤1.2%，活性：285ml-420ml，二氧化硅≤1.0%，P≤0.003%，粒度：20mm-40mm,粉比率≤10%，每亩用量12公斤。</w:t>
            </w:r>
          </w:p>
          <w:p>
            <w:pPr>
              <w:pStyle w:val="null3"/>
              <w:spacing w:before="105" w:after="105"/>
              <w:ind w:firstLine="640"/>
              <w:jc w:val="left"/>
            </w:pPr>
            <w:r>
              <w:rPr>
                <w:rFonts w:ascii="仿宋_GB2312" w:hAnsi="仿宋_GB2312" w:cs="仿宋_GB2312" w:eastAsia="仿宋_GB2312"/>
                <w:sz w:val="21"/>
              </w:rPr>
              <w:t>石硫合剂：每包400g，有效成分含量:45%，剂型:结晶粉，每亩用量1包。</w:t>
            </w:r>
          </w:p>
          <w:p>
            <w:pPr>
              <w:pStyle w:val="null3"/>
              <w:spacing w:before="105" w:after="105"/>
              <w:ind w:firstLine="640"/>
              <w:jc w:val="left"/>
            </w:pPr>
            <w:r>
              <w:rPr>
                <w:rFonts w:ascii="仿宋_GB2312" w:hAnsi="仿宋_GB2312" w:cs="仿宋_GB2312" w:eastAsia="仿宋_GB2312"/>
                <w:sz w:val="21"/>
              </w:rPr>
              <w:t>复合肥：氮磷钾含量</w:t>
            </w:r>
            <w:r>
              <w:rPr>
                <w:rFonts w:ascii="仿宋_GB2312" w:hAnsi="仿宋_GB2312" w:cs="仿宋_GB2312" w:eastAsia="仿宋_GB2312"/>
                <w:sz w:val="21"/>
              </w:rPr>
              <w:t>≥</w:t>
            </w:r>
            <w:r>
              <w:rPr>
                <w:rFonts w:ascii="仿宋_GB2312" w:hAnsi="仿宋_GB2312" w:cs="仿宋_GB2312" w:eastAsia="仿宋_GB2312"/>
                <w:sz w:val="21"/>
              </w:rPr>
              <w:t>45%，每亩用量10公斤。</w:t>
            </w:r>
          </w:p>
          <w:p>
            <w:pPr>
              <w:pStyle w:val="null3"/>
              <w:spacing w:before="105" w:after="105"/>
              <w:ind w:firstLine="640"/>
              <w:jc w:val="left"/>
            </w:pPr>
            <w:r>
              <w:rPr>
                <w:rFonts w:ascii="仿宋_GB2312" w:hAnsi="仿宋_GB2312" w:cs="仿宋_GB2312" w:eastAsia="仿宋_GB2312"/>
                <w:sz w:val="21"/>
              </w:rPr>
              <w:t>硼肥：B</w:t>
            </w:r>
            <w:r>
              <w:rPr>
                <w:rFonts w:ascii="仿宋_GB2312" w:hAnsi="仿宋_GB2312" w:cs="仿宋_GB2312" w:eastAsia="仿宋_GB2312"/>
                <w:sz w:val="21"/>
                <w:vertAlign w:val="subscript"/>
              </w:rPr>
              <w:t>2</w:t>
            </w:r>
            <w:r>
              <w:rPr>
                <w:rFonts w:ascii="仿宋_GB2312" w:hAnsi="仿宋_GB2312" w:cs="仿宋_GB2312" w:eastAsia="仿宋_GB2312"/>
                <w:sz w:val="21"/>
              </w:rPr>
              <w:t>O</w:t>
            </w:r>
            <w:r>
              <w:rPr>
                <w:rFonts w:ascii="仿宋_GB2312" w:hAnsi="仿宋_GB2312" w:cs="仿宋_GB2312" w:eastAsia="仿宋_GB2312"/>
                <w:sz w:val="21"/>
                <w:vertAlign w:val="subscript"/>
              </w:rPr>
              <w:t>3</w:t>
            </w:r>
            <w:r>
              <w:rPr>
                <w:rFonts w:ascii="仿宋_GB2312" w:hAnsi="仿宋_GB2312" w:cs="仿宋_GB2312" w:eastAsia="仿宋_GB2312"/>
                <w:sz w:val="21"/>
              </w:rPr>
              <w:t>含量≥15%，每亩用量2.5公斤。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 xml:space="preserve">    工期：60日历天；</w:t>
            </w:r>
          </w:p>
          <w:p>
            <w:pPr>
              <w:pStyle w:val="null3"/>
            </w:pPr>
            <w:r>
              <w:rPr>
                <w:rFonts w:ascii="仿宋_GB2312" w:hAnsi="仿宋_GB2312" w:cs="仿宋_GB2312" w:eastAsia="仿宋_GB2312"/>
                <w:sz w:val="21"/>
              </w:rPr>
              <w:t xml:space="preserve">    质量标准：符合国家现行有关质量验收规范“合格”标准及作业设计要求；</w:t>
            </w:r>
          </w:p>
          <w:p>
            <w:pPr>
              <w:pStyle w:val="null3"/>
            </w:pPr>
            <w:r>
              <w:rPr>
                <w:rFonts w:ascii="仿宋_GB2312" w:hAnsi="仿宋_GB2312" w:cs="仿宋_GB2312" w:eastAsia="仿宋_GB2312"/>
                <w:sz w:val="21"/>
              </w:rPr>
              <w:t xml:space="preserve">    安全目标：无安全责任事故。</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标的名称：板栗林综合科管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科管模式：</w:t>
            </w:r>
          </w:p>
          <w:p>
            <w:pPr>
              <w:pStyle w:val="null3"/>
            </w:pPr>
            <w:r>
              <w:rPr>
                <w:rFonts w:ascii="仿宋_GB2312" w:hAnsi="仿宋_GB2312" w:cs="仿宋_GB2312" w:eastAsia="仿宋_GB2312"/>
                <w:sz w:val="21"/>
              </w:rPr>
              <w:t xml:space="preserve">   综合科管模式一：采取调整密度、整形修剪、涂白防虫、扩盘施肥4项综合科管措施，涉及1个小班220亩（北城社区二组23</w:t>
            </w:r>
            <w:r>
              <w:rPr>
                <w:rFonts w:ascii="仿宋_GB2312" w:hAnsi="仿宋_GB2312" w:cs="仿宋_GB2312" w:eastAsia="仿宋_GB2312"/>
                <w:sz w:val="21"/>
              </w:rPr>
              <w:t>号</w:t>
            </w:r>
            <w:r>
              <w:rPr>
                <w:rFonts w:ascii="仿宋_GB2312" w:hAnsi="仿宋_GB2312" w:cs="仿宋_GB2312" w:eastAsia="仿宋_GB2312"/>
                <w:sz w:val="21"/>
              </w:rPr>
              <w:t>小班核桃树凸220亩）。每亩总投工3.7个。</w:t>
            </w:r>
          </w:p>
          <w:p>
            <w:pPr>
              <w:pStyle w:val="null3"/>
            </w:pPr>
            <w:r>
              <w:rPr>
                <w:rFonts w:ascii="仿宋_GB2312" w:hAnsi="仿宋_GB2312" w:cs="仿宋_GB2312" w:eastAsia="仿宋_GB2312"/>
                <w:sz w:val="21"/>
              </w:rPr>
              <w:t xml:space="preserve">   综合科管模式二：采取整形修剪、涂白防虫、扩盘施肥3项综合科管措施，涉及2个小班290亩（北城社区二组18</w:t>
            </w:r>
            <w:r>
              <w:rPr>
                <w:rFonts w:ascii="仿宋_GB2312" w:hAnsi="仿宋_GB2312" w:cs="仿宋_GB2312" w:eastAsia="仿宋_GB2312"/>
                <w:sz w:val="21"/>
              </w:rPr>
              <w:t>号</w:t>
            </w:r>
            <w:r>
              <w:rPr>
                <w:rFonts w:ascii="仿宋_GB2312" w:hAnsi="仿宋_GB2312" w:cs="仿宋_GB2312" w:eastAsia="仿宋_GB2312"/>
                <w:sz w:val="21"/>
              </w:rPr>
              <w:t>小班杨家坡60亩、22</w:t>
            </w:r>
            <w:r>
              <w:rPr>
                <w:rFonts w:ascii="仿宋_GB2312" w:hAnsi="仿宋_GB2312" w:cs="仿宋_GB2312" w:eastAsia="仿宋_GB2312"/>
                <w:sz w:val="21"/>
              </w:rPr>
              <w:t>号</w:t>
            </w:r>
            <w:r>
              <w:rPr>
                <w:rFonts w:ascii="仿宋_GB2312" w:hAnsi="仿宋_GB2312" w:cs="仿宋_GB2312" w:eastAsia="仿宋_GB2312"/>
                <w:sz w:val="21"/>
              </w:rPr>
              <w:t>小班十字路230亩）。每亩总投工3.2个。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ind w:firstLine="640"/>
              <w:jc w:val="left"/>
            </w:pPr>
            <w:r>
              <w:rPr>
                <w:rFonts w:ascii="仿宋_GB2312" w:hAnsi="仿宋_GB2312" w:cs="仿宋_GB2312" w:eastAsia="仿宋_GB2312"/>
                <w:sz w:val="21"/>
              </w:rPr>
              <w:t>技术措施要求;</w:t>
            </w:r>
          </w:p>
          <w:p>
            <w:pPr>
              <w:pStyle w:val="null3"/>
              <w:spacing w:before="105" w:after="105"/>
              <w:ind w:firstLine="640"/>
              <w:jc w:val="left"/>
            </w:pPr>
            <w:r>
              <w:rPr>
                <w:rFonts w:ascii="仿宋_GB2312" w:hAnsi="仿宋_GB2312" w:cs="仿宋_GB2312" w:eastAsia="仿宋_GB2312"/>
                <w:sz w:val="21"/>
              </w:rPr>
              <w:t>①调整密度：作业面积220亩，每亩投工0.5个。对每亩株数大于55株以上的栗园进行密度调整，伐除枯死树、老弱树、病虫树，保留密度约为每亩3x4米55株左右，砍伐残留物全部清理出园。</w:t>
            </w:r>
          </w:p>
          <w:p>
            <w:pPr>
              <w:pStyle w:val="null3"/>
              <w:spacing w:before="105" w:after="105"/>
              <w:ind w:firstLine="640"/>
              <w:jc w:val="left"/>
            </w:pPr>
            <w:r>
              <w:rPr>
                <w:rFonts w:ascii="仿宋_GB2312" w:hAnsi="仿宋_GB2312" w:cs="仿宋_GB2312" w:eastAsia="仿宋_GB2312"/>
                <w:sz w:val="21"/>
              </w:rPr>
              <w:t>②整形修剪：作业面积510亩，每亩投工1.7个。嫁接幼树修剪以培养树形为主。盛果期栗树采用“一疏、二去、三保留、四培养”四个步骤的修剪方法。第一步“疏”：疏除重叠枝、下垂枝、过密枝、交叉枝；第二步“去”：去除病虫枝、干枯枝、鱼刺枝、鸡爪枝；第三步“保留”：对三叉枝、四叉枝和更多叉枝的树冠外围一年生结果母枝，应逢三去一、逢四去二……保留成双叉V字型燕尾枝；第四步“培养”：利用修剪后隐芽萌发的徒长枝，短截培养成为来年结果枝。老树更新采取重截回缩的方法，每年回缩量为全树的1/3，3年完成更新。对板栗绿天牛危害的枯死栗树（枝干）伐除。对板栗园内所有的杂草灌木全部砍除，对枯枝落叶、病虫枝、修剪残余物、落苞全部集中烧毁，以减少病源、虫源。</w:t>
            </w:r>
          </w:p>
          <w:p>
            <w:pPr>
              <w:pStyle w:val="null3"/>
              <w:spacing w:before="105" w:after="105"/>
              <w:ind w:firstLine="640"/>
              <w:jc w:val="left"/>
            </w:pPr>
            <w:r>
              <w:rPr>
                <w:rFonts w:ascii="仿宋_GB2312" w:hAnsi="仿宋_GB2312" w:cs="仿宋_GB2312" w:eastAsia="仿宋_GB2312"/>
                <w:sz w:val="21"/>
              </w:rPr>
              <w:t>③涂白防虫：作业面积510亩，每亩投工0.7个。用生石灰加入石硫合剂搅拌成糊状，进行树干涂白，涂白高度1米以上，以杀死越冬虫卵和病菌。每亩用生石灰12公斤、石硫合剂1包。</w:t>
            </w:r>
          </w:p>
          <w:p>
            <w:pPr>
              <w:pStyle w:val="null3"/>
              <w:spacing w:before="105" w:after="105"/>
              <w:ind w:firstLine="640"/>
              <w:jc w:val="left"/>
            </w:pPr>
            <w:r>
              <w:rPr>
                <w:rFonts w:ascii="仿宋_GB2312" w:hAnsi="仿宋_GB2312" w:cs="仿宋_GB2312" w:eastAsia="仿宋_GB2312"/>
                <w:sz w:val="21"/>
              </w:rPr>
              <w:t>④扩盘施肥：作业面积510亩，每亩投工0.8个。对调整密度、修剪、涂白后的栗园进行垦覆扩盘。垦覆栗树基部周围1.5m范围的土壤，垦覆深度15—20cm，扩大树盘，以利蓄水保墒，达到松土，消灭虫卵的目的。施肥能迅速促进树体生长，提高果实品质。具体方法为：坡地在上坡位置离树干基部1m处开半圆环状沟，沟深20cm以上，每棵树按照0.2公斤复合肥、0.05公斤硼肥混合均匀撒于沟里，然后覆土。每亩施复合肥10公斤、硼肥2.5公斤。</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05" w:after="105"/>
              <w:ind w:firstLine="640"/>
              <w:jc w:val="left"/>
            </w:pPr>
            <w:r>
              <w:rPr>
                <w:rFonts w:ascii="仿宋_GB2312" w:hAnsi="仿宋_GB2312" w:cs="仿宋_GB2312" w:eastAsia="仿宋_GB2312"/>
                <w:sz w:val="21"/>
              </w:rPr>
              <w:t>采购的物资规格要求：</w:t>
            </w:r>
          </w:p>
          <w:p>
            <w:pPr>
              <w:pStyle w:val="null3"/>
              <w:spacing w:before="105" w:after="105"/>
              <w:ind w:firstLine="640"/>
              <w:jc w:val="left"/>
            </w:pPr>
            <w:r>
              <w:rPr>
                <w:rFonts w:ascii="仿宋_GB2312" w:hAnsi="仿宋_GB2312" w:cs="仿宋_GB2312" w:eastAsia="仿宋_GB2312"/>
                <w:sz w:val="21"/>
              </w:rPr>
              <w:t>生石灰：氧化钙含量为：85%-92%可控，碳残余物≤0.2%，硫≤0.03%，氧化镁≤1.2%，活性：285ml-420ml，二氧化硅≤1.0%，P≤0.003%，粒度：20mm-40mm,粉比率≤10%，每亩用量12公斤。</w:t>
            </w:r>
          </w:p>
          <w:p>
            <w:pPr>
              <w:pStyle w:val="null3"/>
              <w:spacing w:before="105" w:after="105"/>
              <w:ind w:firstLine="640"/>
              <w:jc w:val="left"/>
            </w:pPr>
            <w:r>
              <w:rPr>
                <w:rFonts w:ascii="仿宋_GB2312" w:hAnsi="仿宋_GB2312" w:cs="仿宋_GB2312" w:eastAsia="仿宋_GB2312"/>
                <w:sz w:val="21"/>
              </w:rPr>
              <w:t>石硫合剂：每包400g，有效成分含量:45%，剂型:结晶粉，每亩用量1包。</w:t>
            </w:r>
          </w:p>
          <w:p>
            <w:pPr>
              <w:pStyle w:val="null3"/>
              <w:spacing w:before="105" w:after="105"/>
              <w:ind w:firstLine="640"/>
              <w:jc w:val="left"/>
            </w:pPr>
            <w:r>
              <w:rPr>
                <w:rFonts w:ascii="仿宋_GB2312" w:hAnsi="仿宋_GB2312" w:cs="仿宋_GB2312" w:eastAsia="仿宋_GB2312"/>
                <w:sz w:val="21"/>
              </w:rPr>
              <w:t>复合肥：氮磷钾含量</w:t>
            </w:r>
            <w:r>
              <w:rPr>
                <w:rFonts w:ascii="仿宋_GB2312" w:hAnsi="仿宋_GB2312" w:cs="仿宋_GB2312" w:eastAsia="仿宋_GB2312"/>
                <w:sz w:val="21"/>
              </w:rPr>
              <w:t>≥</w:t>
            </w:r>
            <w:r>
              <w:rPr>
                <w:rFonts w:ascii="仿宋_GB2312" w:hAnsi="仿宋_GB2312" w:cs="仿宋_GB2312" w:eastAsia="仿宋_GB2312"/>
                <w:sz w:val="21"/>
              </w:rPr>
              <w:t>45%，每亩用量10公斤。</w:t>
            </w:r>
          </w:p>
          <w:p>
            <w:pPr>
              <w:pStyle w:val="null3"/>
              <w:spacing w:before="105" w:after="105"/>
              <w:ind w:firstLine="640"/>
              <w:jc w:val="left"/>
            </w:pPr>
            <w:r>
              <w:rPr>
                <w:rFonts w:ascii="仿宋_GB2312" w:hAnsi="仿宋_GB2312" w:cs="仿宋_GB2312" w:eastAsia="仿宋_GB2312"/>
                <w:sz w:val="21"/>
              </w:rPr>
              <w:t>硼肥：B</w:t>
            </w:r>
            <w:r>
              <w:rPr>
                <w:rFonts w:ascii="仿宋_GB2312" w:hAnsi="仿宋_GB2312" w:cs="仿宋_GB2312" w:eastAsia="仿宋_GB2312"/>
                <w:sz w:val="21"/>
                <w:vertAlign w:val="subscript"/>
              </w:rPr>
              <w:t>2</w:t>
            </w:r>
            <w:r>
              <w:rPr>
                <w:rFonts w:ascii="仿宋_GB2312" w:hAnsi="仿宋_GB2312" w:cs="仿宋_GB2312" w:eastAsia="仿宋_GB2312"/>
                <w:sz w:val="21"/>
              </w:rPr>
              <w:t>O</w:t>
            </w:r>
            <w:r>
              <w:rPr>
                <w:rFonts w:ascii="仿宋_GB2312" w:hAnsi="仿宋_GB2312" w:cs="仿宋_GB2312" w:eastAsia="仿宋_GB2312"/>
                <w:sz w:val="21"/>
                <w:vertAlign w:val="subscript"/>
              </w:rPr>
              <w:t>3</w:t>
            </w:r>
            <w:r>
              <w:rPr>
                <w:rFonts w:ascii="仿宋_GB2312" w:hAnsi="仿宋_GB2312" w:cs="仿宋_GB2312" w:eastAsia="仿宋_GB2312"/>
                <w:sz w:val="21"/>
              </w:rPr>
              <w:t>含量≥15%，每亩用量2.5公斤。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 xml:space="preserve">    工期：60日历天；</w:t>
            </w:r>
          </w:p>
          <w:p>
            <w:pPr>
              <w:pStyle w:val="null3"/>
            </w:pPr>
            <w:r>
              <w:rPr>
                <w:rFonts w:ascii="仿宋_GB2312" w:hAnsi="仿宋_GB2312" w:cs="仿宋_GB2312" w:eastAsia="仿宋_GB2312"/>
                <w:sz w:val="21"/>
              </w:rPr>
              <w:t xml:space="preserve">    质量标准：符合国家现行有关质量验收规范“合格”标准及作业设计要求；</w:t>
            </w:r>
          </w:p>
          <w:p>
            <w:pPr>
              <w:pStyle w:val="null3"/>
            </w:pPr>
            <w:r>
              <w:rPr>
                <w:rFonts w:ascii="仿宋_GB2312" w:hAnsi="仿宋_GB2312" w:cs="仿宋_GB2312" w:eastAsia="仿宋_GB2312"/>
                <w:sz w:val="21"/>
              </w:rPr>
              <w:t xml:space="preserve">    安全目标：无安全责任事故。</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标的名称：板栗林综合科管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科管模式：</w:t>
            </w:r>
          </w:p>
          <w:p>
            <w:pPr>
              <w:pStyle w:val="null3"/>
            </w:pPr>
            <w:r>
              <w:rPr>
                <w:rFonts w:ascii="仿宋_GB2312" w:hAnsi="仿宋_GB2312" w:cs="仿宋_GB2312" w:eastAsia="仿宋_GB2312"/>
                <w:sz w:val="21"/>
              </w:rPr>
              <w:t xml:space="preserve">   综合科管模式一：采取调整密度、整形修剪、涂白防虫、扩盘施肥4项综合科管措施，涉及1个小班300亩（北城社区二组20</w:t>
            </w:r>
            <w:r>
              <w:rPr>
                <w:rFonts w:ascii="仿宋_GB2312" w:hAnsi="仿宋_GB2312" w:cs="仿宋_GB2312" w:eastAsia="仿宋_GB2312"/>
                <w:sz w:val="21"/>
              </w:rPr>
              <w:t>号</w:t>
            </w:r>
            <w:r>
              <w:rPr>
                <w:rFonts w:ascii="仿宋_GB2312" w:hAnsi="仿宋_GB2312" w:cs="仿宋_GB2312" w:eastAsia="仿宋_GB2312"/>
                <w:sz w:val="21"/>
              </w:rPr>
              <w:t>小班烧火梁子300亩）。每亩总投工3.7个。</w:t>
            </w:r>
          </w:p>
          <w:p>
            <w:pPr>
              <w:pStyle w:val="null3"/>
            </w:pPr>
            <w:r>
              <w:rPr>
                <w:rFonts w:ascii="仿宋_GB2312" w:hAnsi="仿宋_GB2312" w:cs="仿宋_GB2312" w:eastAsia="仿宋_GB2312"/>
                <w:sz w:val="21"/>
              </w:rPr>
              <w:t xml:space="preserve">   综合科管模式二：采取整形修剪、涂白防虫、扩盘施肥3项综合科管措施，涉及2个小班420亩（北城社区二组19</w:t>
            </w:r>
            <w:r>
              <w:rPr>
                <w:rFonts w:ascii="仿宋_GB2312" w:hAnsi="仿宋_GB2312" w:cs="仿宋_GB2312" w:eastAsia="仿宋_GB2312"/>
                <w:sz w:val="21"/>
              </w:rPr>
              <w:t>号</w:t>
            </w:r>
            <w:r>
              <w:rPr>
                <w:rFonts w:ascii="仿宋_GB2312" w:hAnsi="仿宋_GB2312" w:cs="仿宋_GB2312" w:eastAsia="仿宋_GB2312"/>
                <w:sz w:val="21"/>
              </w:rPr>
              <w:t>小班白杨树扒140亩、21</w:t>
            </w:r>
            <w:r>
              <w:rPr>
                <w:rFonts w:ascii="仿宋_GB2312" w:hAnsi="仿宋_GB2312" w:cs="仿宋_GB2312" w:eastAsia="仿宋_GB2312"/>
                <w:sz w:val="21"/>
              </w:rPr>
              <w:t>号</w:t>
            </w:r>
            <w:r>
              <w:rPr>
                <w:rFonts w:ascii="仿宋_GB2312" w:hAnsi="仿宋_GB2312" w:cs="仿宋_GB2312" w:eastAsia="仿宋_GB2312"/>
                <w:sz w:val="21"/>
              </w:rPr>
              <w:t>小班柏树坪280亩）。每亩总投工3.2个。</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ind w:firstLine="640"/>
              <w:jc w:val="left"/>
            </w:pPr>
            <w:r>
              <w:rPr>
                <w:rFonts w:ascii="仿宋_GB2312" w:hAnsi="仿宋_GB2312" w:cs="仿宋_GB2312" w:eastAsia="仿宋_GB2312"/>
                <w:sz w:val="21"/>
              </w:rPr>
              <w:t>技术措施要求：</w:t>
            </w:r>
          </w:p>
          <w:p>
            <w:pPr>
              <w:pStyle w:val="null3"/>
              <w:spacing w:before="105" w:after="105"/>
              <w:ind w:firstLine="640"/>
              <w:jc w:val="left"/>
            </w:pPr>
            <w:r>
              <w:rPr>
                <w:rFonts w:ascii="仿宋_GB2312" w:hAnsi="仿宋_GB2312" w:cs="仿宋_GB2312" w:eastAsia="仿宋_GB2312"/>
                <w:sz w:val="21"/>
              </w:rPr>
              <w:t>①调整密度：作业面积300亩，每亩投工0.5个。对每亩株数大于55株以上的栗园进行密度调整，伐除枯死树、老弱树、病虫树，保留密度约为每亩3x4米55株左右，砍伐残留物全部清理出园。</w:t>
            </w:r>
          </w:p>
          <w:p>
            <w:pPr>
              <w:pStyle w:val="null3"/>
              <w:spacing w:before="105" w:after="105"/>
              <w:ind w:firstLine="640"/>
              <w:jc w:val="left"/>
            </w:pPr>
            <w:r>
              <w:rPr>
                <w:rFonts w:ascii="仿宋_GB2312" w:hAnsi="仿宋_GB2312" w:cs="仿宋_GB2312" w:eastAsia="仿宋_GB2312"/>
                <w:sz w:val="21"/>
              </w:rPr>
              <w:t>②整形修剪：作业面积720亩，每亩投工1.7个。嫁接幼树修剪以培养树形为主。盛果期栗树采用“一疏、二去、三保留、四培养”四个步骤的修剪方法。第一步“疏”：疏除重叠枝、下垂枝、过密枝、交叉枝；第二步“去”：去除病虫枝、干枯枝、鱼刺枝、鸡爪枝；第三步“保留”：对三叉枝、四叉枝和更多叉枝的树冠外围一年生结果母枝，应逢三去一、逢四去二……保留成双叉V字型燕尾枝；第四步“培养”：利用修剪后隐芽萌发的徒长枝，短截培养成为来年结果枝。老树更新采取重截回缩的方法，每年回缩量为全树的1/3，3年完成更新。对板栗绿天牛危害的枯死栗树（枝干）伐除。对板栗园内所有的杂草灌木全部砍除，对枯枝落叶、病虫枝、修剪残余物、落苞全部集中烧毁，以减少病源、虫源。</w:t>
            </w:r>
          </w:p>
          <w:p>
            <w:pPr>
              <w:pStyle w:val="null3"/>
              <w:spacing w:before="105" w:after="105"/>
              <w:ind w:firstLine="640"/>
              <w:jc w:val="left"/>
            </w:pPr>
            <w:r>
              <w:rPr>
                <w:rFonts w:ascii="仿宋_GB2312" w:hAnsi="仿宋_GB2312" w:cs="仿宋_GB2312" w:eastAsia="仿宋_GB2312"/>
                <w:sz w:val="21"/>
              </w:rPr>
              <w:t>③涂白防虫：作业面积720亩，每亩投工0.7个。用生石灰加入石硫合剂搅拌成糊状，进行树干涂白，涂白高度1米以上，以杀死越冬虫卵和病菌。每亩用生石灰12公斤、石硫合剂1包。</w:t>
            </w:r>
          </w:p>
          <w:p>
            <w:pPr>
              <w:pStyle w:val="null3"/>
            </w:pPr>
            <w:r>
              <w:rPr>
                <w:rFonts w:ascii="仿宋_GB2312" w:hAnsi="仿宋_GB2312" w:cs="仿宋_GB2312" w:eastAsia="仿宋_GB2312"/>
                <w:sz w:val="21"/>
              </w:rPr>
              <w:t xml:space="preserve">    ④扩盘施肥：作业面积720亩，每亩投工0.8个。对调整密度、修剪、涂白后的栗园进行垦覆扩盘。垦覆栗树基部周围1.5m范围的土壤，垦覆深度15—20cm，扩大树盘，以利蓄水保墒，达到松土，消灭虫卵的目的。施肥能迅速促进树体生长，提高果实品质。具体方法为：坡地在上坡位置离树干基部1m处开半圆环状沟，沟深20cm以上，每棵树按照0.2公斤复合肥、0.05公斤硼肥混合均匀撒于沟里，然后覆土。每亩施复合肥10公斤、硼肥2.5公斤。</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05" w:after="105"/>
              <w:ind w:firstLine="640"/>
              <w:jc w:val="left"/>
            </w:pPr>
            <w:r>
              <w:rPr>
                <w:rFonts w:ascii="仿宋_GB2312" w:hAnsi="仿宋_GB2312" w:cs="仿宋_GB2312" w:eastAsia="仿宋_GB2312"/>
                <w:sz w:val="21"/>
              </w:rPr>
              <w:t>采购的物资规格要求：</w:t>
            </w:r>
          </w:p>
          <w:p>
            <w:pPr>
              <w:pStyle w:val="null3"/>
              <w:spacing w:before="105" w:after="105"/>
              <w:ind w:firstLine="640"/>
              <w:jc w:val="left"/>
            </w:pPr>
            <w:r>
              <w:rPr>
                <w:rFonts w:ascii="仿宋_GB2312" w:hAnsi="仿宋_GB2312" w:cs="仿宋_GB2312" w:eastAsia="仿宋_GB2312"/>
                <w:sz w:val="21"/>
              </w:rPr>
              <w:t>生石灰：氧化钙含量为：85%-92%可控，碳残余物≤0.2%，硫≤0.03%，氧化镁≤1.2%，活性：285ml-420ml，二氧化硅≤1.0%，P≤0.003%，粒度：20mm-40mm,粉比率≤10%，每亩用量12公斤。</w:t>
            </w:r>
          </w:p>
          <w:p>
            <w:pPr>
              <w:pStyle w:val="null3"/>
              <w:spacing w:before="105" w:after="105"/>
              <w:ind w:firstLine="640"/>
              <w:jc w:val="left"/>
            </w:pPr>
            <w:r>
              <w:rPr>
                <w:rFonts w:ascii="仿宋_GB2312" w:hAnsi="仿宋_GB2312" w:cs="仿宋_GB2312" w:eastAsia="仿宋_GB2312"/>
                <w:sz w:val="21"/>
              </w:rPr>
              <w:t>石硫合剂：每包400g，有效成分含量:45%，剂型:结晶粉，每亩用量1包。</w:t>
            </w:r>
          </w:p>
          <w:p>
            <w:pPr>
              <w:pStyle w:val="null3"/>
              <w:spacing w:before="105" w:after="105"/>
              <w:ind w:firstLine="640"/>
              <w:jc w:val="left"/>
            </w:pPr>
            <w:r>
              <w:rPr>
                <w:rFonts w:ascii="仿宋_GB2312" w:hAnsi="仿宋_GB2312" w:cs="仿宋_GB2312" w:eastAsia="仿宋_GB2312"/>
                <w:sz w:val="21"/>
              </w:rPr>
              <w:t>复合肥：氮磷钾含量</w:t>
            </w:r>
            <w:r>
              <w:rPr>
                <w:rFonts w:ascii="仿宋_GB2312" w:hAnsi="仿宋_GB2312" w:cs="仿宋_GB2312" w:eastAsia="仿宋_GB2312"/>
                <w:sz w:val="21"/>
              </w:rPr>
              <w:t>≥</w:t>
            </w:r>
            <w:r>
              <w:rPr>
                <w:rFonts w:ascii="仿宋_GB2312" w:hAnsi="仿宋_GB2312" w:cs="仿宋_GB2312" w:eastAsia="仿宋_GB2312"/>
                <w:sz w:val="21"/>
              </w:rPr>
              <w:t>45%，每亩用量10公斤。</w:t>
            </w:r>
          </w:p>
          <w:p>
            <w:pPr>
              <w:pStyle w:val="null3"/>
              <w:spacing w:before="105" w:after="105"/>
              <w:ind w:firstLine="640"/>
              <w:jc w:val="left"/>
            </w:pPr>
            <w:r>
              <w:rPr>
                <w:rFonts w:ascii="仿宋_GB2312" w:hAnsi="仿宋_GB2312" w:cs="仿宋_GB2312" w:eastAsia="仿宋_GB2312"/>
                <w:sz w:val="21"/>
              </w:rPr>
              <w:t>硼肥：B</w:t>
            </w:r>
            <w:r>
              <w:rPr>
                <w:rFonts w:ascii="仿宋_GB2312" w:hAnsi="仿宋_GB2312" w:cs="仿宋_GB2312" w:eastAsia="仿宋_GB2312"/>
                <w:sz w:val="21"/>
                <w:vertAlign w:val="subscript"/>
              </w:rPr>
              <w:t>2</w:t>
            </w:r>
            <w:r>
              <w:rPr>
                <w:rFonts w:ascii="仿宋_GB2312" w:hAnsi="仿宋_GB2312" w:cs="仿宋_GB2312" w:eastAsia="仿宋_GB2312"/>
                <w:sz w:val="21"/>
              </w:rPr>
              <w:t>O</w:t>
            </w:r>
            <w:r>
              <w:rPr>
                <w:rFonts w:ascii="仿宋_GB2312" w:hAnsi="仿宋_GB2312" w:cs="仿宋_GB2312" w:eastAsia="仿宋_GB2312"/>
                <w:sz w:val="21"/>
                <w:vertAlign w:val="subscript"/>
              </w:rPr>
              <w:t>3</w:t>
            </w:r>
            <w:r>
              <w:rPr>
                <w:rFonts w:ascii="仿宋_GB2312" w:hAnsi="仿宋_GB2312" w:cs="仿宋_GB2312" w:eastAsia="仿宋_GB2312"/>
                <w:sz w:val="21"/>
              </w:rPr>
              <w:t>含量≥15%，每亩用量2.5公斤。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 xml:space="preserve">    工期：60日历天；</w:t>
            </w:r>
          </w:p>
          <w:p>
            <w:pPr>
              <w:pStyle w:val="null3"/>
            </w:pPr>
            <w:r>
              <w:rPr>
                <w:rFonts w:ascii="仿宋_GB2312" w:hAnsi="仿宋_GB2312" w:cs="仿宋_GB2312" w:eastAsia="仿宋_GB2312"/>
                <w:sz w:val="21"/>
              </w:rPr>
              <w:t xml:space="preserve">    质量标准：符合国家现行有关质量验收规范“合格”标准及作业设计要求；</w:t>
            </w:r>
          </w:p>
          <w:p>
            <w:pPr>
              <w:pStyle w:val="null3"/>
            </w:pPr>
            <w:r>
              <w:rPr>
                <w:rFonts w:ascii="仿宋_GB2312" w:hAnsi="仿宋_GB2312" w:cs="仿宋_GB2312" w:eastAsia="仿宋_GB2312"/>
                <w:sz w:val="21"/>
              </w:rPr>
              <w:t xml:space="preserve">    安全目标：无安全责任事故。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符合国家现行有关质量验收规范“合格”标准及作业设计要求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符合国家现行有关质量验收规范“合格”标准及作业设计要求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符合国家现行有关质量验收规范“合格”标准及作业设计要求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符合国家现行有关质量验收规范“合格”标准及作业设计要求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符合国家现行有关质量验收规范“合格”标准及作业设计要求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符合国家现行有关质量验收规范“合格”标准及作业设计要求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一、本项目为专门面向中小企业项目，供应商应为中型企业或小型、微型企业或监狱企业或残疾人福利性单位，监狱企业或残疾人福利性单位视同小型、微型企业。供应商为中小企业的，须提供《中小企业声明函》；供应商为监狱企业的，应提供《监狱企业证明函》；供应商为残疾人福利性单位的，应提供《残疾人福利性单位声明函》。 采购标的对应的中小企业划分标准所属行业为：农、林、牧、渔业。 中小微企业划型标准：营业收入20000万元以下的为中小微型企业。其中，营业收入500万元及以上，20000万元及以下的为中型企业；营业收入50万元及以上，500万元及以下的为小型企业；营业收入50万元及以下的为微型企业。 二、根据政府采购公平竞争优化营商环境的相关要求，供应商在获取采购文件后，如不参与项目投标，应在投标文件递交截止时间前一日以书面形式告知采购代理机构。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封面.docx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封面.docx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封面.docx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封面.docx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封面.docx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封面.docx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供应商应为在中华人民共和国境内注册的法人或其他组织，提交有效的营业执照(或事业单位法人证书等相关证明)；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法定代表人授权委托书(附法定代表人、被授权委托人身份证复印件)及被授权委托人身份证(法定代表人参加投标只须提供法定代表人身份证明)；</w:t>
            </w:r>
          </w:p>
        </w:tc>
        <w:tc>
          <w:tcPr>
            <w:tcW w:type="dxa" w:w="1661"/>
          </w:tcPr>
          <w:p>
            <w:pPr>
              <w:pStyle w:val="null3"/>
            </w:pPr>
            <w:r>
              <w:rPr>
                <w:rFonts w:ascii="仿宋_GB2312" w:hAnsi="仿宋_GB2312" w:cs="仿宋_GB2312" w:eastAsia="仿宋_GB2312"/>
              </w:rPr>
              <w:t>资格审查资料.docx 法定代表人身份证明书及授权委托书.docx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企业财务情况</w:t>
            </w:r>
          </w:p>
        </w:tc>
        <w:tc>
          <w:tcPr>
            <w:tcW w:type="dxa" w:w="3322"/>
          </w:tcPr>
          <w:p>
            <w:pPr>
              <w:pStyle w:val="null3"/>
            </w:pPr>
            <w:r>
              <w:rPr>
                <w:rFonts w:ascii="仿宋_GB2312" w:hAnsi="仿宋_GB2312" w:cs="仿宋_GB2312" w:eastAsia="仿宋_GB2312"/>
              </w:rPr>
              <w:t>提供2025年完整的财务审计报告(成立时间至提交投标响应文件截止时间不足一年的可提供成立后任意时段的资产负债表)，或其基本存款账户开户银行出具的资信证明；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企业纳税情况</w:t>
            </w:r>
          </w:p>
        </w:tc>
        <w:tc>
          <w:tcPr>
            <w:tcW w:type="dxa" w:w="3322"/>
          </w:tcPr>
          <w:p>
            <w:pPr>
              <w:pStyle w:val="null3"/>
            </w:pPr>
            <w:r>
              <w:rPr>
                <w:rFonts w:ascii="仿宋_GB2312" w:hAnsi="仿宋_GB2312" w:cs="仿宋_GB2312" w:eastAsia="仿宋_GB2312"/>
              </w:rPr>
              <w:t>提供磋商截止日前近六个月内任意一个月的纳税证明或完税证明(任意税种)，依法免税的单位应提供相关证明材料；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企业社保缴纳情况</w:t>
            </w:r>
          </w:p>
        </w:tc>
        <w:tc>
          <w:tcPr>
            <w:tcW w:type="dxa" w:w="3322"/>
          </w:tcPr>
          <w:p>
            <w:pPr>
              <w:pStyle w:val="null3"/>
            </w:pPr>
            <w:r>
              <w:rPr>
                <w:rFonts w:ascii="仿宋_GB2312" w:hAnsi="仿宋_GB2312" w:cs="仿宋_GB2312" w:eastAsia="仿宋_GB2312"/>
              </w:rPr>
              <w:t>提供磋商截止日前近六个月内任意一个月的社会保障资金缴存单据或社保机构开具的社会保险参保缴费情况证明，依法不需要缴纳社会保障资金的单位应提供相关证明材料；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近三年无重大违法记录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供应商应为在中华人民共和国境内注册的法人或其他组织，提交有效的营业执照(或事业单位法人证书等相关证明)；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法定代表人授权委托书(附法定代表人、被授权委托人身份证复印件)及被授权委托人身份证(法定代表人参加投标只须提供法定代表人身份证明)；</w:t>
            </w:r>
          </w:p>
        </w:tc>
        <w:tc>
          <w:tcPr>
            <w:tcW w:type="dxa" w:w="1661"/>
          </w:tcPr>
          <w:p>
            <w:pPr>
              <w:pStyle w:val="null3"/>
            </w:pPr>
            <w:r>
              <w:rPr>
                <w:rFonts w:ascii="仿宋_GB2312" w:hAnsi="仿宋_GB2312" w:cs="仿宋_GB2312" w:eastAsia="仿宋_GB2312"/>
              </w:rPr>
              <w:t>资格审查资料.docx 法定代表人身份证明书及授权委托书.docx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企业财务情况</w:t>
            </w:r>
          </w:p>
        </w:tc>
        <w:tc>
          <w:tcPr>
            <w:tcW w:type="dxa" w:w="3322"/>
          </w:tcPr>
          <w:p>
            <w:pPr>
              <w:pStyle w:val="null3"/>
            </w:pPr>
            <w:r>
              <w:rPr>
                <w:rFonts w:ascii="仿宋_GB2312" w:hAnsi="仿宋_GB2312" w:cs="仿宋_GB2312" w:eastAsia="仿宋_GB2312"/>
              </w:rPr>
              <w:t>提供2025年完整的财务审计报告(成立时间至提交投标响应文件截止时间不足一年的可提供成立后任意时段的资产负债表)，或其基本存款账户开户银行出具的资信证明；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企业纳税情况</w:t>
            </w:r>
          </w:p>
        </w:tc>
        <w:tc>
          <w:tcPr>
            <w:tcW w:type="dxa" w:w="3322"/>
          </w:tcPr>
          <w:p>
            <w:pPr>
              <w:pStyle w:val="null3"/>
            </w:pPr>
            <w:r>
              <w:rPr>
                <w:rFonts w:ascii="仿宋_GB2312" w:hAnsi="仿宋_GB2312" w:cs="仿宋_GB2312" w:eastAsia="仿宋_GB2312"/>
              </w:rPr>
              <w:t>提供磋商截止日前近六个月内任意一个月的纳税证明或完税证明(任意税种)，依法免税的单位应提供相关证明材料；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企业社保缴纳情况</w:t>
            </w:r>
          </w:p>
        </w:tc>
        <w:tc>
          <w:tcPr>
            <w:tcW w:type="dxa" w:w="3322"/>
          </w:tcPr>
          <w:p>
            <w:pPr>
              <w:pStyle w:val="null3"/>
            </w:pPr>
            <w:r>
              <w:rPr>
                <w:rFonts w:ascii="仿宋_GB2312" w:hAnsi="仿宋_GB2312" w:cs="仿宋_GB2312" w:eastAsia="仿宋_GB2312"/>
              </w:rPr>
              <w:t>提供磋商截止日前近六个月内任意一个月的社会保障资金缴存单据或社保机构开具的社会保险参保缴费情况证明，依法不需要缴纳社会保障资金的单位应提供相关证明材料；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近三年无重大违法记录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供应商应为在中华人民共和国境内注册的法人或其他组织，提交有效的营业执照(或事业单位法人证书等相关证明)；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法定代表人授权委托书(附法定代表人、被授权委托人身份证复印件)及被授权委托人身份证(法定代表人参加投标只须提供法定代表人身份证明)；</w:t>
            </w:r>
          </w:p>
        </w:tc>
        <w:tc>
          <w:tcPr>
            <w:tcW w:type="dxa" w:w="1661"/>
          </w:tcPr>
          <w:p>
            <w:pPr>
              <w:pStyle w:val="null3"/>
            </w:pPr>
            <w:r>
              <w:rPr>
                <w:rFonts w:ascii="仿宋_GB2312" w:hAnsi="仿宋_GB2312" w:cs="仿宋_GB2312" w:eastAsia="仿宋_GB2312"/>
              </w:rPr>
              <w:t>资格审查资料.docx 法定代表人身份证明书及授权委托书.docx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企业财务情况</w:t>
            </w:r>
          </w:p>
        </w:tc>
        <w:tc>
          <w:tcPr>
            <w:tcW w:type="dxa" w:w="3322"/>
          </w:tcPr>
          <w:p>
            <w:pPr>
              <w:pStyle w:val="null3"/>
            </w:pPr>
            <w:r>
              <w:rPr>
                <w:rFonts w:ascii="仿宋_GB2312" w:hAnsi="仿宋_GB2312" w:cs="仿宋_GB2312" w:eastAsia="仿宋_GB2312"/>
              </w:rPr>
              <w:t>提供2025年完整的财务审计报告(成立时间至提交投标响应文件截止时间不足一年的可提供成立后任意时段的资产负债表)，或其基本存款账户开户银行出具的资信证明；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企业纳税情况</w:t>
            </w:r>
          </w:p>
        </w:tc>
        <w:tc>
          <w:tcPr>
            <w:tcW w:type="dxa" w:w="3322"/>
          </w:tcPr>
          <w:p>
            <w:pPr>
              <w:pStyle w:val="null3"/>
            </w:pPr>
            <w:r>
              <w:rPr>
                <w:rFonts w:ascii="仿宋_GB2312" w:hAnsi="仿宋_GB2312" w:cs="仿宋_GB2312" w:eastAsia="仿宋_GB2312"/>
              </w:rPr>
              <w:t>提供磋商截止日前近六个月内任意一个月的纳税证明或完税证明(任意税种)，依法免税的单位应提供相关证明材料；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企业社保缴纳情况</w:t>
            </w:r>
          </w:p>
        </w:tc>
        <w:tc>
          <w:tcPr>
            <w:tcW w:type="dxa" w:w="3322"/>
          </w:tcPr>
          <w:p>
            <w:pPr>
              <w:pStyle w:val="null3"/>
            </w:pPr>
            <w:r>
              <w:rPr>
                <w:rFonts w:ascii="仿宋_GB2312" w:hAnsi="仿宋_GB2312" w:cs="仿宋_GB2312" w:eastAsia="仿宋_GB2312"/>
              </w:rPr>
              <w:t>提供磋商截止日前近六个月内任意一个月的社会保障资金缴存单据或社保机构开具的社会保险参保缴费情况证明，依法不需要缴纳社会保障资金的单位应提供相关证明材料；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近三年无重大违法记录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供应商应为在中华人民共和国境内注册的法人或其他组织，提交有效的营业执照(或事业单位法人证书等相关证明)；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法定代表人授权委托书(附法定代表人、被授权委托人身份证复印件)及被授权委托人身份证(法定代表人参加投标只须提供法定代表人身份证明)；</w:t>
            </w:r>
          </w:p>
        </w:tc>
        <w:tc>
          <w:tcPr>
            <w:tcW w:type="dxa" w:w="1661"/>
          </w:tcPr>
          <w:p>
            <w:pPr>
              <w:pStyle w:val="null3"/>
            </w:pPr>
            <w:r>
              <w:rPr>
                <w:rFonts w:ascii="仿宋_GB2312" w:hAnsi="仿宋_GB2312" w:cs="仿宋_GB2312" w:eastAsia="仿宋_GB2312"/>
              </w:rPr>
              <w:t>资格审查资料.docx 法定代表人身份证明书及授权委托书.docx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企业财务情况</w:t>
            </w:r>
          </w:p>
        </w:tc>
        <w:tc>
          <w:tcPr>
            <w:tcW w:type="dxa" w:w="3322"/>
          </w:tcPr>
          <w:p>
            <w:pPr>
              <w:pStyle w:val="null3"/>
            </w:pPr>
            <w:r>
              <w:rPr>
                <w:rFonts w:ascii="仿宋_GB2312" w:hAnsi="仿宋_GB2312" w:cs="仿宋_GB2312" w:eastAsia="仿宋_GB2312"/>
              </w:rPr>
              <w:t>提供2025年完整的财务审计报告(成立时间至提交投标响应文件截止时间不足一年的可提供成立后任意时段的资产负债表)，或其基本存款账户开户银行出具的资信证明；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企业纳税情况</w:t>
            </w:r>
          </w:p>
        </w:tc>
        <w:tc>
          <w:tcPr>
            <w:tcW w:type="dxa" w:w="3322"/>
          </w:tcPr>
          <w:p>
            <w:pPr>
              <w:pStyle w:val="null3"/>
            </w:pPr>
            <w:r>
              <w:rPr>
                <w:rFonts w:ascii="仿宋_GB2312" w:hAnsi="仿宋_GB2312" w:cs="仿宋_GB2312" w:eastAsia="仿宋_GB2312"/>
              </w:rPr>
              <w:t>提供磋商截止日前近六个月内任意一个月的纳税证明或完税证明(任意税种)，依法免税的单位应提供相关证明材料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企业社保缴纳情况</w:t>
            </w:r>
          </w:p>
        </w:tc>
        <w:tc>
          <w:tcPr>
            <w:tcW w:type="dxa" w:w="3322"/>
          </w:tcPr>
          <w:p>
            <w:pPr>
              <w:pStyle w:val="null3"/>
            </w:pPr>
            <w:r>
              <w:rPr>
                <w:rFonts w:ascii="仿宋_GB2312" w:hAnsi="仿宋_GB2312" w:cs="仿宋_GB2312" w:eastAsia="仿宋_GB2312"/>
              </w:rPr>
              <w:t>提供磋商截止日前近六个月内任意一个月的社会保障资金缴存单据或社保机构开具的社会保险参保缴费情况证明，依法不需要缴纳社会保障资金的单位应提供相关证明材料；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近三年无重大违法记录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供应商应为在中华人民共和国境内注册的法人或其他组织，提交有效的营业执照(或事业单位法人证书等相关证明)；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法定代表人授权委托书(附法定代表人、被授权委托人身份证复印件)及被授权委托人身份证(法定代表人参加投标只须提供法定代表人身份证明)；</w:t>
            </w:r>
          </w:p>
        </w:tc>
        <w:tc>
          <w:tcPr>
            <w:tcW w:type="dxa" w:w="1661"/>
          </w:tcPr>
          <w:p>
            <w:pPr>
              <w:pStyle w:val="null3"/>
            </w:pPr>
            <w:r>
              <w:rPr>
                <w:rFonts w:ascii="仿宋_GB2312" w:hAnsi="仿宋_GB2312" w:cs="仿宋_GB2312" w:eastAsia="仿宋_GB2312"/>
              </w:rPr>
              <w:t>资格审查资料.docx 法定代表人身份证明书及授权委托书.docx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企业财务情况</w:t>
            </w:r>
          </w:p>
        </w:tc>
        <w:tc>
          <w:tcPr>
            <w:tcW w:type="dxa" w:w="3322"/>
          </w:tcPr>
          <w:p>
            <w:pPr>
              <w:pStyle w:val="null3"/>
            </w:pPr>
            <w:r>
              <w:rPr>
                <w:rFonts w:ascii="仿宋_GB2312" w:hAnsi="仿宋_GB2312" w:cs="仿宋_GB2312" w:eastAsia="仿宋_GB2312"/>
              </w:rPr>
              <w:t>提供2025年完整的财务审计报告(成立时间至提交投标响应文件截止时间不足一年的可提供成立后任意时段的资产负债表)，或其基本存款账户开户银行出具的资信证明；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企业纳税情况</w:t>
            </w:r>
          </w:p>
        </w:tc>
        <w:tc>
          <w:tcPr>
            <w:tcW w:type="dxa" w:w="3322"/>
          </w:tcPr>
          <w:p>
            <w:pPr>
              <w:pStyle w:val="null3"/>
            </w:pPr>
            <w:r>
              <w:rPr>
                <w:rFonts w:ascii="仿宋_GB2312" w:hAnsi="仿宋_GB2312" w:cs="仿宋_GB2312" w:eastAsia="仿宋_GB2312"/>
              </w:rPr>
              <w:t>提供磋商截止日前近六个月内任意一个月的纳税证明或完税证明(任意税种)，依法免税的单位应提供相关证明材料；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企业社保缴纳情况</w:t>
            </w:r>
          </w:p>
        </w:tc>
        <w:tc>
          <w:tcPr>
            <w:tcW w:type="dxa" w:w="3322"/>
          </w:tcPr>
          <w:p>
            <w:pPr>
              <w:pStyle w:val="null3"/>
            </w:pPr>
            <w:r>
              <w:rPr>
                <w:rFonts w:ascii="仿宋_GB2312" w:hAnsi="仿宋_GB2312" w:cs="仿宋_GB2312" w:eastAsia="仿宋_GB2312"/>
              </w:rPr>
              <w:t>提供磋商截止日前近六个月内任意一个月的社会保障资金缴存单据或社保机构开具的社会保险参保缴费情况证明，依法不需要缴纳社会保障资金的单位应提供相关证明材料；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近三年无重大违法记录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供应商应为在中华人民共和国境内注册的法人或其他组织，提交有效的营业执照(或事业单位法人证书等相关证明)；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法定代表人授权委托书(附法定代表人、被授权委托人身份证复印件)及被授权委托人身份证(法定代表人参加投标只须提供法定代表人身份证明)；</w:t>
            </w:r>
          </w:p>
        </w:tc>
        <w:tc>
          <w:tcPr>
            <w:tcW w:type="dxa" w:w="1661"/>
          </w:tcPr>
          <w:p>
            <w:pPr>
              <w:pStyle w:val="null3"/>
            </w:pPr>
            <w:r>
              <w:rPr>
                <w:rFonts w:ascii="仿宋_GB2312" w:hAnsi="仿宋_GB2312" w:cs="仿宋_GB2312" w:eastAsia="仿宋_GB2312"/>
              </w:rPr>
              <w:t>资格审查资料.docx 法定代表人身份证明书及授权委托书.docx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供应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企业财务情况</w:t>
            </w:r>
          </w:p>
        </w:tc>
        <w:tc>
          <w:tcPr>
            <w:tcW w:type="dxa" w:w="3322"/>
          </w:tcPr>
          <w:p>
            <w:pPr>
              <w:pStyle w:val="null3"/>
            </w:pPr>
            <w:r>
              <w:rPr>
                <w:rFonts w:ascii="仿宋_GB2312" w:hAnsi="仿宋_GB2312" w:cs="仿宋_GB2312" w:eastAsia="仿宋_GB2312"/>
              </w:rPr>
              <w:t>提供2025年完整的财务审计报告(成立时间至提交投标响应文件截止时间不足一年的可提供成立后任意时段的资产负债表)，或其基本存款账户开户银行出具的资信证明；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企业纳税情况</w:t>
            </w:r>
          </w:p>
        </w:tc>
        <w:tc>
          <w:tcPr>
            <w:tcW w:type="dxa" w:w="3322"/>
          </w:tcPr>
          <w:p>
            <w:pPr>
              <w:pStyle w:val="null3"/>
            </w:pPr>
            <w:r>
              <w:rPr>
                <w:rFonts w:ascii="仿宋_GB2312" w:hAnsi="仿宋_GB2312" w:cs="仿宋_GB2312" w:eastAsia="仿宋_GB2312"/>
              </w:rPr>
              <w:t>提供磋商截止日前近六个月内任意一个月的纳税证明或完税证明(任意税种)，依法免税的单位应提供相关证明材料；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企业社保缴纳情况</w:t>
            </w:r>
          </w:p>
        </w:tc>
        <w:tc>
          <w:tcPr>
            <w:tcW w:type="dxa" w:w="3322"/>
          </w:tcPr>
          <w:p>
            <w:pPr>
              <w:pStyle w:val="null3"/>
            </w:pPr>
            <w:r>
              <w:rPr>
                <w:rFonts w:ascii="仿宋_GB2312" w:hAnsi="仿宋_GB2312" w:cs="仿宋_GB2312" w:eastAsia="仿宋_GB2312"/>
              </w:rPr>
              <w:t>提供磋商截止日前近六个月内任意一个月的社会保障资金缴存单据或社保机构开具的社会保险参保缴费情况证明，依法不需要缴纳社会保障资金的单位应提供相关证明材料；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近三年无重大违法记录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唯⼀报价，且未超出采购预算</w:t>
            </w:r>
          </w:p>
        </w:tc>
        <w:tc>
          <w:tcPr>
            <w:tcW w:type="dxa" w:w="1661"/>
          </w:tcPr>
          <w:p>
            <w:pPr>
              <w:pStyle w:val="null3"/>
            </w:pPr>
            <w:r>
              <w:rPr>
                <w:rFonts w:ascii="仿宋_GB2312" w:hAnsi="仿宋_GB2312" w:cs="仿宋_GB2312" w:eastAsia="仿宋_GB2312"/>
              </w:rPr>
              <w:t>报价一览表.docx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安全⽬标</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磋商响应⽂件有效期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封面.docx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封面.docx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唯⼀报价，且未超出采购预算</w:t>
            </w:r>
          </w:p>
        </w:tc>
        <w:tc>
          <w:tcPr>
            <w:tcW w:type="dxa" w:w="1661"/>
          </w:tcPr>
          <w:p>
            <w:pPr>
              <w:pStyle w:val="null3"/>
            </w:pPr>
            <w:r>
              <w:rPr>
                <w:rFonts w:ascii="仿宋_GB2312" w:hAnsi="仿宋_GB2312" w:cs="仿宋_GB2312" w:eastAsia="仿宋_GB2312"/>
              </w:rPr>
              <w:t>报价一览表.docx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安全⽬标</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磋商响应⽂件有效期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封面.docx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封面.docx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唯⼀报价，且未超出采购预算</w:t>
            </w:r>
          </w:p>
        </w:tc>
        <w:tc>
          <w:tcPr>
            <w:tcW w:type="dxa" w:w="1661"/>
          </w:tcPr>
          <w:p>
            <w:pPr>
              <w:pStyle w:val="null3"/>
            </w:pPr>
            <w:r>
              <w:rPr>
                <w:rFonts w:ascii="仿宋_GB2312" w:hAnsi="仿宋_GB2312" w:cs="仿宋_GB2312" w:eastAsia="仿宋_GB2312"/>
              </w:rPr>
              <w:t>报价一览表.docx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安全⽬标</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磋商响应⽂件有效期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封面.docx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封面.docx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唯⼀报价，且未超出采购预算</w:t>
            </w:r>
          </w:p>
        </w:tc>
        <w:tc>
          <w:tcPr>
            <w:tcW w:type="dxa" w:w="1661"/>
          </w:tcPr>
          <w:p>
            <w:pPr>
              <w:pStyle w:val="null3"/>
            </w:pPr>
            <w:r>
              <w:rPr>
                <w:rFonts w:ascii="仿宋_GB2312" w:hAnsi="仿宋_GB2312" w:cs="仿宋_GB2312" w:eastAsia="仿宋_GB2312"/>
              </w:rPr>
              <w:t>报价一览表.docx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安全⽬标</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磋商响应⽂件有效期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封面.docx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封面.docx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唯⼀报价，且未超出采购预算</w:t>
            </w:r>
          </w:p>
        </w:tc>
        <w:tc>
          <w:tcPr>
            <w:tcW w:type="dxa" w:w="1661"/>
          </w:tcPr>
          <w:p>
            <w:pPr>
              <w:pStyle w:val="null3"/>
            </w:pPr>
            <w:r>
              <w:rPr>
                <w:rFonts w:ascii="仿宋_GB2312" w:hAnsi="仿宋_GB2312" w:cs="仿宋_GB2312" w:eastAsia="仿宋_GB2312"/>
              </w:rPr>
              <w:t>报价一览表.docx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安全⽬标</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磋商响应⽂件有效期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封面.docx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封面.docx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唯⼀报价，且未超出采购预算</w:t>
            </w:r>
          </w:p>
        </w:tc>
        <w:tc>
          <w:tcPr>
            <w:tcW w:type="dxa" w:w="1661"/>
          </w:tcPr>
          <w:p>
            <w:pPr>
              <w:pStyle w:val="null3"/>
            </w:pPr>
            <w:r>
              <w:rPr>
                <w:rFonts w:ascii="仿宋_GB2312" w:hAnsi="仿宋_GB2312" w:cs="仿宋_GB2312" w:eastAsia="仿宋_GB2312"/>
              </w:rPr>
              <w:t>报价一览表.docx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安全⽬标</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磋商响应⽂件有效期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封面.docx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封面.docx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供应商针对本项目制定的施工方案包含：①对项目投标标段概况表述和管理思路；②施工部署及措施；③对项目主要及关键方案的表述；④施工流程布置。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 评审标准（满分6分） 1. 总工期及节点工期安排（2分）：总工期及各关键节点起止时间，符合项目实际要求，内容完整、条理清晰得2分；未提供/内容不完整/未量化/不针对本项目不得分。 2. 施工进度计划安排（2分）：编制详细施工进度计划（可含横道图/网络图），工序逻辑合理、资源配置清晰，符合项目实际得2分；未提供/内容不完整/未量化/不针对本项目不得分。 3. 进度保证措施（2分）：制定切实可行的进度保障措施（含人员、设备、技术、应急预案等），针对性强、可落地得2分；未提供/内容不完整/未量化/不针对本项目不得分。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文明施工技术组织措施</w:t>
            </w:r>
          </w:p>
        </w:tc>
        <w:tc>
          <w:tcPr>
            <w:tcW w:type="dxa" w:w="2492"/>
          </w:tcPr>
          <w:p>
            <w:pPr>
              <w:pStyle w:val="null3"/>
            </w:pPr>
            <w:r>
              <w:rPr>
                <w:rFonts w:ascii="仿宋_GB2312" w:hAnsi="仿宋_GB2312" w:cs="仿宋_GB2312" w:eastAsia="仿宋_GB2312"/>
              </w:rPr>
              <w:t>供应商针对本项目制定文明施工技术组织措施方案包含： ① 文明施工目标及现场管理制度；② 文明施工保障措施。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主要包含工程指挥车、油锯、汽油、高枝剪、修枝剪、手锯、砍刀、锄头、安全绳、安全帽、反光背心、防护手套、医用急救包、板刷、桶等）；④资源调配计划。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供应商针对本项目制定的应急预案包含：①风险识别和应急组织机构；②突发事件的应急保障措施。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供应商针对本项目的服务承诺包含：①施工质量承诺；②响应时间承诺（包括施工前后的公示和入户征求意见）。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项目经理的资质</w:t>
            </w:r>
          </w:p>
        </w:tc>
        <w:tc>
          <w:tcPr>
            <w:tcW w:type="dxa" w:w="2492"/>
          </w:tcPr>
          <w:p>
            <w:pPr>
              <w:pStyle w:val="null3"/>
            </w:pPr>
            <w:r>
              <w:rPr>
                <w:rFonts w:ascii="仿宋_GB2312" w:hAnsi="仿宋_GB2312" w:cs="仿宋_GB2312" w:eastAsia="仿宋_GB2312"/>
              </w:rPr>
              <w:t>具备林业相关专业高级职称得5分，中级职称得3分，初级职称得1.5分；提供相应证明材料，材料不全的不得分。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拟委任的项目经理简历表.docx</w:t>
            </w:r>
          </w:p>
        </w:tc>
      </w:tr>
      <w:tr>
        <w:tc>
          <w:tcPr>
            <w:tcW w:type="dxa" w:w="831"/>
            <w:vMerge/>
          </w:tcPr>
          <w:p/>
        </w:tc>
        <w:tc>
          <w:tcPr>
            <w:tcW w:type="dxa" w:w="1661"/>
          </w:tcPr>
          <w:p>
            <w:pPr>
              <w:pStyle w:val="null3"/>
            </w:pPr>
            <w:r>
              <w:rPr>
                <w:rFonts w:ascii="仿宋_GB2312" w:hAnsi="仿宋_GB2312" w:cs="仿宋_GB2312" w:eastAsia="仿宋_GB2312"/>
              </w:rPr>
              <w:t>拟委任的其他管理人员</w:t>
            </w:r>
          </w:p>
        </w:tc>
        <w:tc>
          <w:tcPr>
            <w:tcW w:type="dxa" w:w="2492"/>
          </w:tcPr>
          <w:p>
            <w:pPr>
              <w:pStyle w:val="null3"/>
            </w:pPr>
            <w:r>
              <w:rPr>
                <w:rFonts w:ascii="仿宋_GB2312" w:hAnsi="仿宋_GB2312" w:cs="仿宋_GB2312" w:eastAsia="仿宋_GB2312"/>
              </w:rPr>
              <w:t>本项目拟委任的其他管理人员，每提供一人得0.5分，最高得3分，提供相应证明材料。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拟投入本项目其他人员情况表.docx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近年来承担过的类似项目业绩(附中标通知书或合同)，单项业绩得1分，最高得4分。证明材料不全不予赋分。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近年来类似项目业绩.docx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以满足竞争性磋商文件要求且最终报价最低的有效磋商报价为评审基准价，其价格分为满分。其他供应商的价格分统一按照下列公式计算：磋商报价得分=(评审基准价/磋商报价)×30。| 备注：当磋商小组认为某个供应商的报价明显低于其他通过资格性审查供应商的报价，有可能影响服务质量和不能诚信履约的，应要求该供应商在评标现场合理的时间内提供书面说明，必要时提交相关证明材料；供应商不能证明其报价合理的，评标委员会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供应商针对本项目制定的施工方案包含：①对项目投标标段概况表述和管理思路；②施工部署及措施；③对项目主要及关键方案的表述；④施工流程布置。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 评审标准（满分6分） 1. 总工期及节点工期安排（2分）：总工期及各关键节点起止时间，符合项目实际要求，内容完整、条理清晰得2分；未提供/内容不完整/未量化/不针对本项目不得分。 2. 施工进度计划安排（2分）：编制详细施工进度计划（可含横道图/网络图），工序逻辑合理、资源配置清晰，符合项目实际得2分；未提供/内容不完整/未量化/不针对本项目不得分。 3. 进度保证措施（2分）：制定切实可行的进度保障措施（含人员、设备、技术、应急预案等），针对性强、可落地得2分；未提供/内容不完整/未量化/不针对本项目不得分。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文明施工技术组织措施</w:t>
            </w:r>
          </w:p>
        </w:tc>
        <w:tc>
          <w:tcPr>
            <w:tcW w:type="dxa" w:w="2492"/>
          </w:tcPr>
          <w:p>
            <w:pPr>
              <w:pStyle w:val="null3"/>
            </w:pPr>
            <w:r>
              <w:rPr>
                <w:rFonts w:ascii="仿宋_GB2312" w:hAnsi="仿宋_GB2312" w:cs="仿宋_GB2312" w:eastAsia="仿宋_GB2312"/>
              </w:rPr>
              <w:t>供应商针对本项目制定文明施工技术组织措施方案包含： ① 文明施工目标及现场管理制度；② 文明施工保障措施。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主要包含工程指挥车、油锯、汽油、高枝剪、修枝剪、手锯、砍刀、锄头、安全绳、安全帽、反光背心、防护手套、医用急救包、板刷、桶等）；④资源调配计划。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供应商针对本项目制定的应急预案包含：①风险识别和应急组织机构；②突发事件的应急保障措施。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供应商针对本项目的服务承诺包含：①施工质量承诺；②响应时间承诺（包括施工前后的公示和入户征求意见）。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项目经理的资质</w:t>
            </w:r>
          </w:p>
        </w:tc>
        <w:tc>
          <w:tcPr>
            <w:tcW w:type="dxa" w:w="2492"/>
          </w:tcPr>
          <w:p>
            <w:pPr>
              <w:pStyle w:val="null3"/>
            </w:pPr>
            <w:r>
              <w:rPr>
                <w:rFonts w:ascii="仿宋_GB2312" w:hAnsi="仿宋_GB2312" w:cs="仿宋_GB2312" w:eastAsia="仿宋_GB2312"/>
              </w:rPr>
              <w:t>具备林业相关专业高级职称得5分，中级职称得3分，初级职称得1.5分；提供相应证明材料，材料不全的不得分。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拟委任的项目经理简历表.docx</w:t>
            </w:r>
          </w:p>
        </w:tc>
      </w:tr>
      <w:tr>
        <w:tc>
          <w:tcPr>
            <w:tcW w:type="dxa" w:w="831"/>
            <w:vMerge/>
          </w:tcPr>
          <w:p/>
        </w:tc>
        <w:tc>
          <w:tcPr>
            <w:tcW w:type="dxa" w:w="1661"/>
          </w:tcPr>
          <w:p>
            <w:pPr>
              <w:pStyle w:val="null3"/>
            </w:pPr>
            <w:r>
              <w:rPr>
                <w:rFonts w:ascii="仿宋_GB2312" w:hAnsi="仿宋_GB2312" w:cs="仿宋_GB2312" w:eastAsia="仿宋_GB2312"/>
              </w:rPr>
              <w:t>拟委任的其他管理人员</w:t>
            </w:r>
          </w:p>
        </w:tc>
        <w:tc>
          <w:tcPr>
            <w:tcW w:type="dxa" w:w="2492"/>
          </w:tcPr>
          <w:p>
            <w:pPr>
              <w:pStyle w:val="null3"/>
            </w:pPr>
            <w:r>
              <w:rPr>
                <w:rFonts w:ascii="仿宋_GB2312" w:hAnsi="仿宋_GB2312" w:cs="仿宋_GB2312" w:eastAsia="仿宋_GB2312"/>
              </w:rPr>
              <w:t>本项目拟委任的其他管理人员，每提供一人得0.5分，最高得3分，提供相应证明材料。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拟投入本项目其他人员情况表.docx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近年来承担过的类似项目业绩(附中标通知书或合同)，单项业绩得1分，最高得4分。证明材料不全不予赋分。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近年来类似项目业绩.docx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以满足竞争性磋商文件要求且最终报价最低的有效磋商报价为评审基准价，其价格分为满分。其他供应商的价格分统一按照下列公式计算：磋商报价得分=(评审基准价/磋商报价)×30。| 备注：当磋商小组认为某个供应商的报价明显低于其他通过资格性审查供应商的报价，有可能影响服务质量和不能诚信履约的，应要求该供应商在评标现场合理的时间内提供书面说明，必要时提交相关证明材料；供应商不能证明其报价合理的，评标委员会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供应商针对本项目制定的施工方案包含：①对项目投标标段概况表述和管理思路；②施工部署及措施；③对项目主要及关键方案的表述；④施工流程布置。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 评审标准（满分6分） 1. 总工期及节点工期安排（2分）：总工期及各关键节点起止时间，符合项目实际要求，内容完整、条理清晰得2分；未提供/内容不完整/未量化/不针对本项目不得分。 2. 施工进度计划安排（2分）：编制详细施工进度计划（可含横道图/网络图），工序逻辑合理、资源配置清晰，符合项目实际得2分；未提供/内容不完整/未量化/不针对本项目不得分。 3. 进度保证措施（2分）：制定切实可行的进度保障措施（含人员、设备、技术、应急预案等），针对性强、可落地得2分；未提供/内容不完整/未量化/不针对本项目不得分。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文明施工技术组织措施</w:t>
            </w:r>
          </w:p>
        </w:tc>
        <w:tc>
          <w:tcPr>
            <w:tcW w:type="dxa" w:w="2492"/>
          </w:tcPr>
          <w:p>
            <w:pPr>
              <w:pStyle w:val="null3"/>
            </w:pPr>
            <w:r>
              <w:rPr>
                <w:rFonts w:ascii="仿宋_GB2312" w:hAnsi="仿宋_GB2312" w:cs="仿宋_GB2312" w:eastAsia="仿宋_GB2312"/>
              </w:rPr>
              <w:t>供应商针对本项目制定文明施工技术组织措施方案包含： ① 文明施工目标及现场管理制度；② 文明施工保障措施。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主要包含工程指挥车、油锯、汽油、高枝剪、修枝剪、手锯、砍刀、锄头、安全绳、安全帽、反光背心、防护手套、医用急救包、板刷、桶等）；④资源调配计划。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供应商针对本项目制定的应急预案包含：①风险识别和应急组织机构；②突发事件的应急保障措施。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供应商针对本项目的服务承诺包含：①施工质量承诺；②响应时间承诺（包括施工前后的公示和入户征求意见）。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项目经理的资质</w:t>
            </w:r>
          </w:p>
        </w:tc>
        <w:tc>
          <w:tcPr>
            <w:tcW w:type="dxa" w:w="2492"/>
          </w:tcPr>
          <w:p>
            <w:pPr>
              <w:pStyle w:val="null3"/>
            </w:pPr>
            <w:r>
              <w:rPr>
                <w:rFonts w:ascii="仿宋_GB2312" w:hAnsi="仿宋_GB2312" w:cs="仿宋_GB2312" w:eastAsia="仿宋_GB2312"/>
              </w:rPr>
              <w:t>具备林业相关专业高级职称得5分，中级职称得3分，初级职称得1.5分；提供相应证明材料，材料不全的不得分。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拟委任的项目经理简历表.docx</w:t>
            </w:r>
          </w:p>
        </w:tc>
      </w:tr>
      <w:tr>
        <w:tc>
          <w:tcPr>
            <w:tcW w:type="dxa" w:w="831"/>
            <w:vMerge/>
          </w:tcPr>
          <w:p/>
        </w:tc>
        <w:tc>
          <w:tcPr>
            <w:tcW w:type="dxa" w:w="1661"/>
          </w:tcPr>
          <w:p>
            <w:pPr>
              <w:pStyle w:val="null3"/>
            </w:pPr>
            <w:r>
              <w:rPr>
                <w:rFonts w:ascii="仿宋_GB2312" w:hAnsi="仿宋_GB2312" w:cs="仿宋_GB2312" w:eastAsia="仿宋_GB2312"/>
              </w:rPr>
              <w:t>拟委任的其他管理人员</w:t>
            </w:r>
          </w:p>
        </w:tc>
        <w:tc>
          <w:tcPr>
            <w:tcW w:type="dxa" w:w="2492"/>
          </w:tcPr>
          <w:p>
            <w:pPr>
              <w:pStyle w:val="null3"/>
            </w:pPr>
            <w:r>
              <w:rPr>
                <w:rFonts w:ascii="仿宋_GB2312" w:hAnsi="仿宋_GB2312" w:cs="仿宋_GB2312" w:eastAsia="仿宋_GB2312"/>
              </w:rPr>
              <w:t>本项目拟委任的其他管理人员，每提供一人得0.5分，最高得3分，提供相应证明材料。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拟投入本项目其他人员情况表.docx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近年来承担过的类似项目业绩(附中标通知书或合同)，单项业绩得1分，最高得4分。证明材料不全不予赋分。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近年来类似项目业绩.docx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以满足竞争性磋商文件要求且最终报价最低的有效磋商报价为评审基准价，其价格分为满分。其他供应商的价格分统一按照下列公式计算：磋商报价得分=(评审基准价/磋商报价)×30。| 备注：当磋商小组认为某个供应商的报价明显低于其他通过资格性审查供应商的报价，有可能影响服务质量和不能诚信履约的，应要求该供应商在评标现场合理的时间内提供书面说明，必要时提交相关证明材料；供应商不能证明其报价合理的，评标委员会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供应商针对本项目制定的施工方案包含：①对项目投标标段概况表述和管理思路；②施工部署及措施；③对项目主要及关键方案的表述；④施工流程布置。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 评审标准（满分6分） 1. 总工期及节点工期安排（2分）：总工期及各关键节点起止时间，符合项目实际要求，内容完整、条理清晰得2分；未提供/内容不完整/未量化/不针对本项目不得分。 2. 施工进度计划安排（2分）：编制详细施工进度计划（可含横道图/网络图），工序逻辑合理、资源配置清晰，符合项目实际得2分；未提供/内容不完整/未量化/不针对本项目不得分。 3. 进度保证措施（2分）：制定切实可行的进度保障措施（含人员、设备、技术、应急预案等），针对性强、可落地得2分；未提供/内容不完整/未量化/不针对本项目不得分。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文明施工技术组织措施</w:t>
            </w:r>
          </w:p>
        </w:tc>
        <w:tc>
          <w:tcPr>
            <w:tcW w:type="dxa" w:w="2492"/>
          </w:tcPr>
          <w:p>
            <w:pPr>
              <w:pStyle w:val="null3"/>
            </w:pPr>
            <w:r>
              <w:rPr>
                <w:rFonts w:ascii="仿宋_GB2312" w:hAnsi="仿宋_GB2312" w:cs="仿宋_GB2312" w:eastAsia="仿宋_GB2312"/>
              </w:rPr>
              <w:t>供应商针对本项目制定文明施工技术组织措施方案包含： ① 文明施工目标及现场管理制度；② 文明施工保障措施。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主要包含工程指挥车、油锯、汽油、高枝剪、修枝剪、手锯、砍刀、锄头、安全绳、安全帽、反光背心、防护手套、医用急救包、板刷、桶等）；④资源调配计划。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供应商针对本项目制定的应急预案包含：①风险识别和应急组织机构；②突发事件的应急保障措施。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供应商针对本项目的服务承诺包含：①施工质量承诺；②响应时间承诺（包括施工前后的公示和入户征求意见）。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项目经理的资质</w:t>
            </w:r>
          </w:p>
        </w:tc>
        <w:tc>
          <w:tcPr>
            <w:tcW w:type="dxa" w:w="2492"/>
          </w:tcPr>
          <w:p>
            <w:pPr>
              <w:pStyle w:val="null3"/>
            </w:pPr>
            <w:r>
              <w:rPr>
                <w:rFonts w:ascii="仿宋_GB2312" w:hAnsi="仿宋_GB2312" w:cs="仿宋_GB2312" w:eastAsia="仿宋_GB2312"/>
              </w:rPr>
              <w:t>具备林业相关专业高级职称得5分，中级职称得3分，初级职称得1.5分；提供相应证明材料，材料不全的不得分。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拟委任的项目经理简历表.docx</w:t>
            </w:r>
          </w:p>
        </w:tc>
      </w:tr>
      <w:tr>
        <w:tc>
          <w:tcPr>
            <w:tcW w:type="dxa" w:w="831"/>
            <w:vMerge/>
          </w:tcPr>
          <w:p/>
        </w:tc>
        <w:tc>
          <w:tcPr>
            <w:tcW w:type="dxa" w:w="1661"/>
          </w:tcPr>
          <w:p>
            <w:pPr>
              <w:pStyle w:val="null3"/>
            </w:pPr>
            <w:r>
              <w:rPr>
                <w:rFonts w:ascii="仿宋_GB2312" w:hAnsi="仿宋_GB2312" w:cs="仿宋_GB2312" w:eastAsia="仿宋_GB2312"/>
              </w:rPr>
              <w:t>拟委任的其他管理人员</w:t>
            </w:r>
          </w:p>
        </w:tc>
        <w:tc>
          <w:tcPr>
            <w:tcW w:type="dxa" w:w="2492"/>
          </w:tcPr>
          <w:p>
            <w:pPr>
              <w:pStyle w:val="null3"/>
            </w:pPr>
            <w:r>
              <w:rPr>
                <w:rFonts w:ascii="仿宋_GB2312" w:hAnsi="仿宋_GB2312" w:cs="仿宋_GB2312" w:eastAsia="仿宋_GB2312"/>
              </w:rPr>
              <w:t>本项目拟委任的其他管理人员，每提供一人得0.5分，最高得3分，提供相应证明材料。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拟投入本项目其他人员情况表.docx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近年来承担过的类似项目业绩(附中标通知书或合同)，单项业绩得1分，最高得4分。证明材料不全不予赋分。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近年来类似项目业绩.docx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以满足竞争性磋商文件要求且最终报价最低的有效磋商报价为评审基准价，其价格分为满分。其他供应商的价格分统一按照下列公式计算： 磋商报价得分=(评审基准价/磋商报价)×30 备注：当磋商小组认为某个供应商的报价明显低于其他通过资格性审查供应商的报价，有可能影响服务质量和不能诚信履约的，应要求该供应商在评标现场合理的时间内提供书面说明，必要时提交相关证明材料；供应商不能证明其报价合理的，评标委员会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供应商针对本项目制定的施工方案包含：①对项目投标标段概况表述和管理思路；②施工部署及措施；③对项目主要及关键方案的表述；④施工流程布置。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 评审标准（满分6分） 1. 总工期及节点工期安排（2分）：总工期及各关键节点起止时间，符合项目实际要求，内容完整、条理清晰得2分；未提供/内容不完整/未量化/不针对本项目不得分。 2. 施工进度计划安排（2分）：编制详细施工进度计划（可含横道图/网络图），工序逻辑合理、资源配置清晰，符合项目实际得2分；未提供/内容不完整/未量化/不针对本项目不得分。 3. 进度保证措施（2分）：制定切实可行的进度保障措施（含人员、设备、技术、应急预案等），针对性强、可落地得2分；未提供/内容不完整/未量化/不针对本项目不得分。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文明施工技术组织措施</w:t>
            </w:r>
          </w:p>
        </w:tc>
        <w:tc>
          <w:tcPr>
            <w:tcW w:type="dxa" w:w="2492"/>
          </w:tcPr>
          <w:p>
            <w:pPr>
              <w:pStyle w:val="null3"/>
            </w:pPr>
            <w:r>
              <w:rPr>
                <w:rFonts w:ascii="仿宋_GB2312" w:hAnsi="仿宋_GB2312" w:cs="仿宋_GB2312" w:eastAsia="仿宋_GB2312"/>
              </w:rPr>
              <w:t>供应商针对本项目制定文明施工技术组织措施方案包含： ① 文明施工目标及现场管理制度；② 文明施工保障措施。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主要包含工程指挥车、油锯、汽油、高枝剪、修枝剪、手锯、砍刀、锄头、安全绳、安全帽、反光背心、防护手套、医用急救包、板刷、桶等）；④资源调配计划。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供应商针对本项目制定的应急预案包含：①风险识别和应急组织机构；②突发事件的应急保障措施。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供应商针对本项目的服务承诺包含：①施工质量承诺；②响应时间承诺（包括施工前后的公示和入户征求意见）。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项目经理的资质</w:t>
            </w:r>
          </w:p>
        </w:tc>
        <w:tc>
          <w:tcPr>
            <w:tcW w:type="dxa" w:w="2492"/>
          </w:tcPr>
          <w:p>
            <w:pPr>
              <w:pStyle w:val="null3"/>
            </w:pPr>
            <w:r>
              <w:rPr>
                <w:rFonts w:ascii="仿宋_GB2312" w:hAnsi="仿宋_GB2312" w:cs="仿宋_GB2312" w:eastAsia="仿宋_GB2312"/>
              </w:rPr>
              <w:t>具备林业相关专业高级职称得5分，中级职称得3分，初级职称得1.5分；提供相应证明材料，材料不全的不得分。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拟委任的项目经理简历表.docx</w:t>
            </w:r>
          </w:p>
        </w:tc>
      </w:tr>
      <w:tr>
        <w:tc>
          <w:tcPr>
            <w:tcW w:type="dxa" w:w="831"/>
            <w:vMerge/>
          </w:tcPr>
          <w:p/>
        </w:tc>
        <w:tc>
          <w:tcPr>
            <w:tcW w:type="dxa" w:w="1661"/>
          </w:tcPr>
          <w:p>
            <w:pPr>
              <w:pStyle w:val="null3"/>
            </w:pPr>
            <w:r>
              <w:rPr>
                <w:rFonts w:ascii="仿宋_GB2312" w:hAnsi="仿宋_GB2312" w:cs="仿宋_GB2312" w:eastAsia="仿宋_GB2312"/>
              </w:rPr>
              <w:t>拟委任的其他管理人员</w:t>
            </w:r>
          </w:p>
        </w:tc>
        <w:tc>
          <w:tcPr>
            <w:tcW w:type="dxa" w:w="2492"/>
          </w:tcPr>
          <w:p>
            <w:pPr>
              <w:pStyle w:val="null3"/>
            </w:pPr>
            <w:r>
              <w:rPr>
                <w:rFonts w:ascii="仿宋_GB2312" w:hAnsi="仿宋_GB2312" w:cs="仿宋_GB2312" w:eastAsia="仿宋_GB2312"/>
              </w:rPr>
              <w:t>本项目拟委任的其他管理人员，每提供一人得0.5分，最高得3分，提供相应证明材料。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拟投入本项目其他人员情况表.docx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近年来承担过的类似项目业绩(附中标通知书或合同)，单项业绩得1分，最高得4分。证明材料不全不予赋分。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近年来类似项目业绩.docx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以满足竞争性磋商文件要求且最终报价最低的有效磋商报价为评审基准价，其价格分为满分。其他供应商的价格分统一按照下列公式计算：磋商报价得分=(评审基准价/磋商报价)×30。| 备注：当磋商小组认为某个供应商的报价明显低于其他通过资格性审查供应商的报价，有可能影响服务质量和不能诚信履约的，应要求该供应商在评标现场合理的时间内提供书面说明，必要时提交相关证明材料；供应商不能证明其报价合理的，评标委员会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供应商针对本项目制定的施工方案包含：①对项目投标标段概况表述和管理思路；②施工部署及措施；③对项目主要及关键方案的表述；④施工流程布置。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 评审标准（满分6分） 1. 总工期及节点工期安排（2分）：总工期及各关键节点起止时间，符合项目实际要求，内容完整、条理清晰得2分；未提供/内容不完整/未量化/不针对本项目不得分。 2. 施工进度计划安排（2分）：编制详细施工进度计划（可含横道图/网络图），工序逻辑合理、资源配置清晰，符合项目实际得2分；未提供/内容不完整/未量化/不针对本项目不得分。 3. 进度保证措施（2分）：制定切实可行的进度保障措施（含人员、设备、技术、应急预案等），针对性强、可落地得2分；未提供/内容不完整/未量化/不针对本项目不得分。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文明施工技术组织措施</w:t>
            </w:r>
          </w:p>
        </w:tc>
        <w:tc>
          <w:tcPr>
            <w:tcW w:type="dxa" w:w="2492"/>
          </w:tcPr>
          <w:p>
            <w:pPr>
              <w:pStyle w:val="null3"/>
            </w:pPr>
            <w:r>
              <w:rPr>
                <w:rFonts w:ascii="仿宋_GB2312" w:hAnsi="仿宋_GB2312" w:cs="仿宋_GB2312" w:eastAsia="仿宋_GB2312"/>
              </w:rPr>
              <w:t>供应商针对本项目制定文明施工技术组织措施方案包含： ① 文明施工目标及现场管理制度；② 文明施工保障措施。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主要包含工程指挥车、油锯、汽油、高枝剪、修枝剪、手锯、砍刀、锄头、安全绳、安全帽、反光背心、防护手套、医用急救包、板刷、桶等）；④资源调配计划。 评审标准：以上4项内容无缺项，符合本项目实际情况，内容完整、条理清晰、能够保障项目顺利实施的得8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供应商针对本项目制定的应急预案包含：①风险识别和应急组织机构；②突发事件的应急保障措施。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供应商针对本项目的服务承诺包含：①施工质量承诺；②响应时间承诺（包括施工前后的公示和入户征求意见）。 评审标准：以上2项内容无缺项，符合本项目实际情况，内容完整、条理清晰、能够保障项目顺利实施的得4分。根据供应商对每项内容的响应程度：每缺少一项内容扣2分，每有一处缺陷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项目经理的资质</w:t>
            </w:r>
          </w:p>
        </w:tc>
        <w:tc>
          <w:tcPr>
            <w:tcW w:type="dxa" w:w="2492"/>
          </w:tcPr>
          <w:p>
            <w:pPr>
              <w:pStyle w:val="null3"/>
            </w:pPr>
            <w:r>
              <w:rPr>
                <w:rFonts w:ascii="仿宋_GB2312" w:hAnsi="仿宋_GB2312" w:cs="仿宋_GB2312" w:eastAsia="仿宋_GB2312"/>
              </w:rPr>
              <w:t>具备林业相关专业高级职称得5分，中级职称得3分，初级职称得1.5分；提供相应证明材料，材料不全的不得分。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拟委任的项目经理简历表.docx</w:t>
            </w:r>
          </w:p>
        </w:tc>
      </w:tr>
      <w:tr>
        <w:tc>
          <w:tcPr>
            <w:tcW w:type="dxa" w:w="831"/>
            <w:vMerge/>
          </w:tcPr>
          <w:p/>
        </w:tc>
        <w:tc>
          <w:tcPr>
            <w:tcW w:type="dxa" w:w="1661"/>
          </w:tcPr>
          <w:p>
            <w:pPr>
              <w:pStyle w:val="null3"/>
            </w:pPr>
            <w:r>
              <w:rPr>
                <w:rFonts w:ascii="仿宋_GB2312" w:hAnsi="仿宋_GB2312" w:cs="仿宋_GB2312" w:eastAsia="仿宋_GB2312"/>
              </w:rPr>
              <w:t>拟委任的其他管理人员</w:t>
            </w:r>
          </w:p>
        </w:tc>
        <w:tc>
          <w:tcPr>
            <w:tcW w:type="dxa" w:w="2492"/>
          </w:tcPr>
          <w:p>
            <w:pPr>
              <w:pStyle w:val="null3"/>
            </w:pPr>
            <w:r>
              <w:rPr>
                <w:rFonts w:ascii="仿宋_GB2312" w:hAnsi="仿宋_GB2312" w:cs="仿宋_GB2312" w:eastAsia="仿宋_GB2312"/>
              </w:rPr>
              <w:t>本项目拟委任的其他管理人员，每提供一人得0.5分，最高得3分，提供相应证明材料。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拟投入本项目其他人员情况表.docx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近年来承担过的类似项目业绩(附中标通知书或合同)，单项业绩得1分，最高得4分。证明材料不全不予赋分。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近年来类似项目业绩.docx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以满足竞争性磋商文件要求且最终报价最低的有效磋商报价为评审基准价，其价格分为满分。其他供应商的价格分统一按照下列公式计算：磋商报价得分=(评审基准价/磋商报价)×30。| 备注：当磋商小组认为某个供应商的报价明显低于其他通过资格性审查供应商的报价，有可能影响服务质量和不能诚信履约的，应要求该供应商在评标现场合理的时间内提供书面说明，必要时提交相关证明材料；供应商不能证明其报价合理的，评标委员会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详见附件：拟委任的项目经理简历表.docx</w:t>
      </w:r>
    </w:p>
    <w:p>
      <w:pPr>
        <w:pStyle w:val="null3"/>
        <w:ind w:firstLine="960"/>
      </w:pPr>
      <w:r>
        <w:rPr>
          <w:rFonts w:ascii="仿宋_GB2312" w:hAnsi="仿宋_GB2312" w:cs="仿宋_GB2312" w:eastAsia="仿宋_GB2312"/>
        </w:rPr>
        <w:t>详见附件：拟投入本项目其他人员情况表.docx</w:t>
      </w:r>
    </w:p>
    <w:p>
      <w:pPr>
        <w:pStyle w:val="null3"/>
        <w:ind w:firstLine="960"/>
      </w:pPr>
      <w:r>
        <w:rPr>
          <w:rFonts w:ascii="仿宋_GB2312" w:hAnsi="仿宋_GB2312" w:cs="仿宋_GB2312" w:eastAsia="仿宋_GB2312"/>
        </w:rPr>
        <w:t>详见附件：近年来类似项目业绩.docx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详见附件：拟委任的项目经理简历表.docx</w:t>
      </w:r>
    </w:p>
    <w:p>
      <w:pPr>
        <w:pStyle w:val="null3"/>
        <w:ind w:firstLine="960"/>
      </w:pPr>
      <w:r>
        <w:rPr>
          <w:rFonts w:ascii="仿宋_GB2312" w:hAnsi="仿宋_GB2312" w:cs="仿宋_GB2312" w:eastAsia="仿宋_GB2312"/>
        </w:rPr>
        <w:t>详见附件：拟投入本项目其他人员情况表.docx</w:t>
      </w:r>
    </w:p>
    <w:p>
      <w:pPr>
        <w:pStyle w:val="null3"/>
        <w:ind w:firstLine="960"/>
      </w:pPr>
      <w:r>
        <w:rPr>
          <w:rFonts w:ascii="仿宋_GB2312" w:hAnsi="仿宋_GB2312" w:cs="仿宋_GB2312" w:eastAsia="仿宋_GB2312"/>
        </w:rPr>
        <w:t>详见附件：近年来类似项目业绩.docx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详见附件：拟委任的项目经理简历表.docx</w:t>
      </w:r>
    </w:p>
    <w:p>
      <w:pPr>
        <w:pStyle w:val="null3"/>
        <w:ind w:firstLine="960"/>
      </w:pPr>
      <w:r>
        <w:rPr>
          <w:rFonts w:ascii="仿宋_GB2312" w:hAnsi="仿宋_GB2312" w:cs="仿宋_GB2312" w:eastAsia="仿宋_GB2312"/>
        </w:rPr>
        <w:t>详见附件：拟投入本项目其他人员情况表.docx</w:t>
      </w:r>
    </w:p>
    <w:p>
      <w:pPr>
        <w:pStyle w:val="null3"/>
        <w:ind w:firstLine="960"/>
      </w:pPr>
      <w:r>
        <w:rPr>
          <w:rFonts w:ascii="仿宋_GB2312" w:hAnsi="仿宋_GB2312" w:cs="仿宋_GB2312" w:eastAsia="仿宋_GB2312"/>
        </w:rPr>
        <w:t>详见附件：近年来类似项目业绩.docx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详见附件：拟委任的项目经理简历表.docx</w:t>
      </w:r>
    </w:p>
    <w:p>
      <w:pPr>
        <w:pStyle w:val="null3"/>
        <w:ind w:firstLine="960"/>
      </w:pPr>
      <w:r>
        <w:rPr>
          <w:rFonts w:ascii="仿宋_GB2312" w:hAnsi="仿宋_GB2312" w:cs="仿宋_GB2312" w:eastAsia="仿宋_GB2312"/>
        </w:rPr>
        <w:t>详见附件：拟投入本项目其他人员情况表.docx</w:t>
      </w:r>
    </w:p>
    <w:p>
      <w:pPr>
        <w:pStyle w:val="null3"/>
        <w:ind w:firstLine="960"/>
      </w:pPr>
      <w:r>
        <w:rPr>
          <w:rFonts w:ascii="仿宋_GB2312" w:hAnsi="仿宋_GB2312" w:cs="仿宋_GB2312" w:eastAsia="仿宋_GB2312"/>
        </w:rPr>
        <w:t>详见附件：近年来类似项目业绩.docx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详见附件：拟委任的项目经理简历表.docx</w:t>
      </w:r>
    </w:p>
    <w:p>
      <w:pPr>
        <w:pStyle w:val="null3"/>
        <w:ind w:firstLine="960"/>
      </w:pPr>
      <w:r>
        <w:rPr>
          <w:rFonts w:ascii="仿宋_GB2312" w:hAnsi="仿宋_GB2312" w:cs="仿宋_GB2312" w:eastAsia="仿宋_GB2312"/>
        </w:rPr>
        <w:t>详见附件：拟投入本项目其他人员情况表.docx</w:t>
      </w:r>
    </w:p>
    <w:p>
      <w:pPr>
        <w:pStyle w:val="null3"/>
        <w:ind w:firstLine="960"/>
      </w:pPr>
      <w:r>
        <w:rPr>
          <w:rFonts w:ascii="仿宋_GB2312" w:hAnsi="仿宋_GB2312" w:cs="仿宋_GB2312" w:eastAsia="仿宋_GB2312"/>
        </w:rPr>
        <w:t>详见附件：近年来类似项目业绩.docx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详见附件：拟委任的项目经理简历表.docx</w:t>
      </w:r>
    </w:p>
    <w:p>
      <w:pPr>
        <w:pStyle w:val="null3"/>
        <w:ind w:firstLine="960"/>
      </w:pPr>
      <w:r>
        <w:rPr>
          <w:rFonts w:ascii="仿宋_GB2312" w:hAnsi="仿宋_GB2312" w:cs="仿宋_GB2312" w:eastAsia="仿宋_GB2312"/>
        </w:rPr>
        <w:t>详见附件：拟投入本项目其他人员情况表.docx</w:t>
      </w:r>
    </w:p>
    <w:p>
      <w:pPr>
        <w:pStyle w:val="null3"/>
        <w:ind w:firstLine="960"/>
      </w:pPr>
      <w:r>
        <w:rPr>
          <w:rFonts w:ascii="仿宋_GB2312" w:hAnsi="仿宋_GB2312" w:cs="仿宋_GB2312" w:eastAsia="仿宋_GB2312"/>
        </w:rPr>
        <w:t>详见附件：近年来类似项目业绩.docx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详见附件：制式合同.docx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