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版本号：SXZCZB2026-ZCCS-064220260721001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西安市涉农地区中小学教师及校长业务能力提升培训项目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SXZCZB2026-ZCCS-0642</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西安市涉农地区中小学教师及校长业务能力提升培训项目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SXZCZB2026-ZCCS-0642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西安市涉农地区中小学教师及校长业务能力提升培训项目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西安市涉农地区中小学教师及校长业务能力提升培训项目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财务状况报告：提供磋商响应文件递交截止之日前两年内（2024年度和2025年度）任意一个年度经审计的财务报告（包括资产负债表和支出收入表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4、税收缴纳证明：提供磋商响应文件递交截止日前近一年内任意一个月的纳税证明或完税证明（任意税种），依法免税的单位应提供相关证明材料；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响应文件递交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7、具有履行合同所必需的设备和专业技术能力的声明：提供具有履行合同所必需的设备和专业技术能力的承诺函；</w:t>
      </w:r>
    </w:p>
    <w:p>
      <w:pPr>
        <w:pStyle w:val="null3"/>
      </w:pPr>
      <w:r>
        <w:rPr>
          <w:rFonts w:ascii="仿宋_GB2312" w:hAnsi="仿宋_GB2312" w:cs="仿宋_GB2312" w:eastAsia="仿宋_GB2312"/>
        </w:rPr>
        <w:t>8、没有重大违法记录的书面声明：参加政府采购活动前3年内，在经营活动中没有重大违法记录的书面声明；</w:t>
      </w:r>
    </w:p>
    <w:p>
      <w:pPr>
        <w:pStyle w:val="null3"/>
      </w:pPr>
      <w:r>
        <w:rPr>
          <w:rFonts w:ascii="仿宋_GB2312" w:hAnsi="仿宋_GB2312" w:cs="仿宋_GB2312" w:eastAsia="仿宋_GB2312"/>
        </w:rPr>
        <w:t>9、直接控股和管理关系清单：提供直接控股和管理关系清单。若与其他供应商存在单位负责人为同一人或者存在直接控股、管理关系的，则投标无效；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10、本项目不接受联合体磋商：本项目不接受联合体磋商（提供承诺书）。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乙方参照国家计委关于印发《采购代理服务收费管理暂行办法的通知》（计价格〔2002〕1980号）、《国家发展和改革委员会办公厅关于招标代理服务收费有关问题的通知》（发改办价格〔2003〕857号）以及《国家发展和改革委员会关于降低部分建设项目收费标准规范收费行为等有关问题的通知》(发改价格〔2011〕534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西安市涉农地区中小学教师及校长业务能力提升培训项目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西安市涉农地区中小学教师及校长业务能力提升培训项目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标的名称：西安市涉农地区中小学教师及校长业务能力提升培训项目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b/>
              </w:rPr>
              <w:t>一、项目实施背景和依据</w:t>
            </w:r>
          </w:p>
          <w:p>
            <w:pPr>
              <w:pStyle w:val="null3"/>
              <w:ind w:firstLine="420"/>
              <w:jc w:val="both"/>
            </w:pPr>
            <w:r>
              <w:rPr>
                <w:rFonts w:ascii="仿宋_GB2312" w:hAnsi="仿宋_GB2312" w:cs="仿宋_GB2312" w:eastAsia="仿宋_GB2312"/>
                <w:sz w:val="21"/>
              </w:rPr>
              <w:t>落实乡村振兴战略部署，乡村教育是乡村振兴基础性支撑，涉农学校办学质量直接关系县域育人水平与城乡公共教育公平；当前新课程改革、“双减”落地、智慧教育普及、育人方式转型等改革任务推进，涉农一线教师、校长需系统化集中研修补齐能力短板。促进义务教育均衡发展和城乡教育协调发展，提升乡村中小学校长素质，有利于缩小城乡教育差距，实现教育公平。</w:t>
            </w:r>
          </w:p>
          <w:p>
            <w:pPr>
              <w:pStyle w:val="null3"/>
              <w:ind w:firstLine="420"/>
              <w:jc w:val="both"/>
            </w:pPr>
            <w:r>
              <w:rPr>
                <w:rFonts w:ascii="仿宋_GB2312" w:hAnsi="仿宋_GB2312" w:cs="仿宋_GB2312" w:eastAsia="仿宋_GB2312"/>
                <w:sz w:val="21"/>
                <w:b/>
              </w:rPr>
              <w:t>二、培训人数及时长安排</w:t>
            </w:r>
          </w:p>
          <w:p>
            <w:pPr>
              <w:pStyle w:val="null3"/>
              <w:ind w:firstLine="420"/>
              <w:jc w:val="both"/>
            </w:pPr>
            <w:r>
              <w:rPr>
                <w:rFonts w:ascii="仿宋_GB2312" w:hAnsi="仿宋_GB2312" w:cs="仿宋_GB2312" w:eastAsia="仿宋_GB2312"/>
                <w:sz w:val="21"/>
              </w:rPr>
              <w:t>培训人数：</w:t>
            </w:r>
            <w:r>
              <w:rPr>
                <w:rFonts w:ascii="仿宋_GB2312" w:hAnsi="仿宋_GB2312" w:cs="仿宋_GB2312" w:eastAsia="仿宋_GB2312"/>
                <w:sz w:val="21"/>
              </w:rPr>
              <w:t>200</w:t>
            </w:r>
            <w:r>
              <w:rPr>
                <w:rFonts w:ascii="仿宋_GB2312" w:hAnsi="仿宋_GB2312" w:cs="仿宋_GB2312" w:eastAsia="仿宋_GB2312"/>
                <w:sz w:val="21"/>
              </w:rPr>
              <w:t>人，培训时长：</w:t>
            </w:r>
            <w:r>
              <w:rPr>
                <w:rFonts w:ascii="仿宋_GB2312" w:hAnsi="仿宋_GB2312" w:cs="仿宋_GB2312" w:eastAsia="仿宋_GB2312"/>
                <w:sz w:val="21"/>
              </w:rPr>
              <w:t>3</w:t>
            </w:r>
            <w:r>
              <w:rPr>
                <w:rFonts w:ascii="仿宋_GB2312" w:hAnsi="仿宋_GB2312" w:cs="仿宋_GB2312" w:eastAsia="仿宋_GB2312"/>
                <w:sz w:val="21"/>
              </w:rPr>
              <w:t>天（分批开展）</w:t>
            </w:r>
          </w:p>
          <w:p>
            <w:pPr>
              <w:pStyle w:val="null3"/>
              <w:ind w:firstLine="420"/>
              <w:jc w:val="both"/>
            </w:pPr>
            <w:r>
              <w:rPr>
                <w:rFonts w:ascii="仿宋_GB2312" w:hAnsi="仿宋_GB2312" w:cs="仿宋_GB2312" w:eastAsia="仿宋_GB2312"/>
                <w:sz w:val="21"/>
                <w:b/>
              </w:rPr>
              <w:t>三、项目需求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培训对象：西安市涉农区县中小学教师及校长</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培训人数：</w:t>
            </w:r>
            <w:r>
              <w:rPr>
                <w:rFonts w:ascii="仿宋_GB2312" w:hAnsi="仿宋_GB2312" w:cs="仿宋_GB2312" w:eastAsia="仿宋_GB2312"/>
                <w:sz w:val="21"/>
              </w:rPr>
              <w:t>200</w:t>
            </w:r>
            <w:r>
              <w:rPr>
                <w:rFonts w:ascii="仿宋_GB2312" w:hAnsi="仿宋_GB2312" w:cs="仿宋_GB2312" w:eastAsia="仿宋_GB2312"/>
                <w:sz w:val="21"/>
              </w:rPr>
              <w:t>人。</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培训时间：</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r>
              <w:rPr>
                <w:rFonts w:ascii="仿宋_GB2312" w:hAnsi="仿宋_GB2312" w:cs="仿宋_GB2312" w:eastAsia="仿宋_GB2312"/>
                <w:sz w:val="21"/>
              </w:rPr>
              <w:t>31</w:t>
            </w:r>
            <w:r>
              <w:rPr>
                <w:rFonts w:ascii="仿宋_GB2312" w:hAnsi="仿宋_GB2312" w:cs="仿宋_GB2312" w:eastAsia="仿宋_GB2312"/>
                <w:sz w:val="21"/>
              </w:rPr>
              <w:t>日之前</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培训形式：集中培训</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培训内容：帮助参训乡村校长了解教育发展的新形势，把握教育热点问题；围绕校长专业标准，优化专业知识结构等主题；提高学校管理能力和水平，引领学校创新发展；增强教育改革与发展的意识，促进自身专业发展。促进义务教育均衡发展和城乡教育协调发展。</w:t>
            </w:r>
          </w:p>
          <w:p>
            <w:pPr>
              <w:pStyle w:val="null3"/>
              <w:ind w:firstLine="420"/>
              <w:jc w:val="both"/>
            </w:pPr>
            <w:r>
              <w:rPr>
                <w:rFonts w:ascii="仿宋_GB2312" w:hAnsi="仿宋_GB2312" w:cs="仿宋_GB2312" w:eastAsia="仿宋_GB2312"/>
                <w:sz w:val="21"/>
                <w:b/>
              </w:rPr>
              <w:t>四、服务要求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负责整合研修资源，组织专家团队、确定集中培训研修基地，安排课程、组织经验交流、现场教学等研修工作；</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负责研修期间组织日常事务，以及协调学员的住宿、用餐、交通等工作；</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负责做好培训跟进管理，建立学员考勤制度，由班主任负责学员考勤，确保学员顺利完成研修学习；</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培训结束后提交给相关研修过程中的生成性资料，完成总结汇编等培训必备资料；</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做好学员考核和结业工作等。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自合同签订之日起至2026年12月31日之前（具体培训时间以甲方通知为准）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其他，培训结束并验收合格后，达到付款条件起10个工作日内，支付合同总金额的100.0%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代理服务费账户： 采购代理机构开户名称: 陕西至诚项目管理集团有限公司； 开户行名称：中国建设银行股份有限公司 西安高新技术产业开发区支行； 账号：61050192090000002152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磋商响应文件递交截止之日前两年内（2024年度和2025年度）任意一个年度经审计的财务报告（包括资产负债表和支出收入表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具有履行合同所必需的设备和专业技术能力的声明</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直接控股和管理关系清单</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6投标分项报价表.docx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6投标分项报价表.docx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服务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6投标分项报价表.docx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培训场地硬件保障</w:t>
            </w:r>
          </w:p>
        </w:tc>
        <w:tc>
          <w:tcPr>
            <w:tcW w:type="dxa" w:w="2492"/>
          </w:tcPr>
          <w:p>
            <w:pPr>
              <w:pStyle w:val="null3"/>
            </w:pPr>
            <w:r>
              <w:rPr>
                <w:rFonts w:ascii="仿宋_GB2312" w:hAnsi="仿宋_GB2312" w:cs="仿宋_GB2312" w:eastAsia="仿宋_GB2312"/>
              </w:rPr>
              <w:t>1、自有专属培训基地（9分） 同时满足：①不少于3间标准化多媒体教室； ②配套独立研讨室、分组实训室； ③单批次可容纳80人封闭式3天培训，完全满足200人分批授课需求，全部条件达标得9分，缺任意一项扣3分，最低0分。 2、长期定点合作公办研学/教育基地（6分） 长期合作基地，配备多媒体教室、会议室，可单批次容纳 50 人以上培训，得6分，提供不全得3分。 3、酒店临时租赁会议场地（3分） 仅提供酒店普通会议室，无固定教学配套、无现场教学观摩点位，仅能临时授课，得3分。 4、无任何场地证明材料（0分） 未提供产权/合作协议、场地配套佐证，本项不得分。 佐证材料：场地产权证书或有效期覆盖2026年12月31日的长期场地合作协议、场地实拍图、教室配置清单。</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专职项目实施人员配置</w:t>
            </w:r>
          </w:p>
        </w:tc>
        <w:tc>
          <w:tcPr>
            <w:tcW w:type="dxa" w:w="2492"/>
          </w:tcPr>
          <w:p>
            <w:pPr>
              <w:pStyle w:val="null3"/>
            </w:pPr>
            <w:r>
              <w:rPr>
                <w:rFonts w:ascii="仿宋_GB2312" w:hAnsi="仿宋_GB2312" w:cs="仿宋_GB2312" w:eastAsia="仿宋_GB2312"/>
              </w:rPr>
              <w:t>1、项目总负责人（4分） 配备专职项目负责人，具备3年及以上中小学教师校长培训统筹经验，提供履历/社保/劳动合同得 4 分；无专职负责人或从业年限不足3年，0分。 2、专职班主任团队（3分） 配备不少于3名专职驻班班主任，全程跟岗管理学员考勤、课堂、后勤，提供人员材料得3分；配备2名得1分；不足2名0分。 3、专职后勤保障专员（3 分） 配备不少于2名专职后勤专员，负责食宿、交通、物资、应急协调，提供人员材料得3分；仅1名后勤专员得1分；无专职后勤人员0分。 佐证材料：身份证、劳动合同或近3个月社保缴纳证明、岗位分工表，缺材料对应人员不计分。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履约服务承诺及配套保障</w:t>
            </w:r>
          </w:p>
        </w:tc>
        <w:tc>
          <w:tcPr>
            <w:tcW w:type="dxa" w:w="2492"/>
          </w:tcPr>
          <w:p>
            <w:pPr>
              <w:pStyle w:val="null3"/>
            </w:pPr>
            <w:r>
              <w:rPr>
                <w:rFonts w:ascii="仿宋_GB2312" w:hAnsi="仿宋_GB2312" w:cs="仿宋_GB2312" w:eastAsia="仿宋_GB2312"/>
              </w:rPr>
              <w:t>磋商响应文件须附加盖公章的正式服务承诺函，每条对应固定分值，缺承诺、承诺模糊均不得对应分值，逐条计分： ①数字化培训管理承诺（3分） 承诺提供人脸考勤系统、电子学员档案、培训影像全程留存、电子结业台账，全流程无纸化归档，得2分；缺少任意一项数字化服务承诺，0分。 ②培训成果资料交付时效承诺（3分） 承诺培训全部结束后7个工作日内，完整提交培训总结、学员考勤、考核试卷、授课课件、活动影像、优秀案例汇编全套纸质+电子档案，得2分；交付时限超过7个工作日0分。 ③现场教学资源保障承诺（2分） 承诺对接西安市涉农优质中小学作为现场教学观摩点位，免费组织学员入校参观、校长座谈交流，得2分；无涉农名校观摩承诺0分。 ④应急处置服务承诺（2分） 承诺设立专属应急专班，针对学员突发疾病、教学调整、场地变动、食宿纠纷等问题2小时内到场处置，配备应急医药箱、备用师资、备用教室预案，得2分；无应急处置专班承诺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针对采购需求提出适用于本项目的质量保证措施方案①组织机构及工作安排②质量管理体系③应急保障方案，每提供一个方案得1分，满分3分。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针对本项目及采购人实际需求提供详细具体可行的合理化建议，每提供1条可行的建议得1分，最多得3分；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培训整体实施方案</w:t>
            </w:r>
          </w:p>
        </w:tc>
        <w:tc>
          <w:tcPr>
            <w:tcW w:type="dxa" w:w="2492"/>
          </w:tcPr>
          <w:p>
            <w:pPr>
              <w:pStyle w:val="null3"/>
            </w:pPr>
            <w:r>
              <w:rPr>
                <w:rFonts w:ascii="仿宋_GB2312" w:hAnsi="仿宋_GB2312" w:cs="仿宋_GB2312" w:eastAsia="仿宋_GB2312"/>
              </w:rPr>
              <w:t>一、评审内容： 针对本项目提出适用于本项目的总体服务方案，包括： ①课程体系设计方案 ②分批次实施进度规划 ③研修资源整合方案 二、评审标准： 1、完整性：方案必须全面，对评审内容中的各项要求有详细描述； 2、可实施性：切合本项目实际情况，提出步骤清晰、合理的方案； 3、针对性：方案能够紧扣项目实际情况，内容科学合理。 三、赋分标准（满分15分） ①课程体系设计方案：每完全满足一个评审标准得 1分，满分3分； ②分批次实施进度规划：每完全满足一个评审标准得 2分，满分6分； ③研修资源整合方案：每完全满足一个评审标准得 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全流程食宿交通后勤保障方案</w:t>
            </w:r>
          </w:p>
        </w:tc>
        <w:tc>
          <w:tcPr>
            <w:tcW w:type="dxa" w:w="2492"/>
          </w:tcPr>
          <w:p>
            <w:pPr>
              <w:pStyle w:val="null3"/>
            </w:pPr>
            <w:r>
              <w:rPr>
                <w:rFonts w:ascii="仿宋_GB2312" w:hAnsi="仿宋_GB2312" w:cs="仿宋_GB2312" w:eastAsia="仿宋_GB2312"/>
              </w:rPr>
              <w:t>一、评审内容： 针对本项目提出适用于本项目的详细服务方案，包括： ①学员统一住宿标准、住宿安全管理措施 ②统一用餐安排、食品安全保障机制 ③参训人员往返交通统筹、车辆安全保障方案 ④研修基地配套设施、现场教学点位配套保障方案 二、评审标准： 1、完整性：方案必须全面，对评审内容中的各项要求有详细描述； 2、可实施性：切合本项目实际情况，提出步骤清晰、合理的方案； 3、针对性：方案能够紧扣项目实际情况，内容科学合理。 三、赋分标准（满分12分） ①学员统一住宿标准、住宿安全管理措施：每完全满足一个评审标准得 1分，满分3分； ②统一用餐安排、食品安全保障机制：每完全满足一个评审标准得 1分，满分3分； ③参训人员往返交通统筹、车辆安全保障方案：每完全满足一个评审标准得 1分，满分3分； ④研修基地配套设施、现场教学点位配套保障方案：每完全满足一个评审标准得 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培训成果归档、考核结业与长效增值服务方案</w:t>
            </w:r>
          </w:p>
        </w:tc>
        <w:tc>
          <w:tcPr>
            <w:tcW w:type="dxa" w:w="2492"/>
          </w:tcPr>
          <w:p>
            <w:pPr>
              <w:pStyle w:val="null3"/>
            </w:pPr>
            <w:r>
              <w:rPr>
                <w:rFonts w:ascii="仿宋_GB2312" w:hAnsi="仿宋_GB2312" w:cs="仿宋_GB2312" w:eastAsia="仿宋_GB2312"/>
              </w:rPr>
              <w:t>一、评审内容： 针对本项目提出适用于本项目的项目保障措施，包括： ①学员课堂考核、课后测评、学时登记管理细则 ②全套培训过程资料收集、整理、汇编归档流程 ③结业证书发放、结业评价管理机制 ④培训后回访、案例资源库、线上答疑等长效增值服务 二、评审标准： 1、完整性：方案必须全面，对评审内容中的各项要求有详细描述； 2、可实施性：切合本项目实际情况，提出步骤清晰、合理的方案； 三、赋分标准（满分13分） ①学员课堂考核、课后测评、学时登记管理细则：每完全满足一个评审标准得1.5分，满分3分； ②全套培训过程资料收集、整理、汇编归档流程：每完全满足一个评审标准得1.5分，满分3分； ③结业证书发放、结业评价管理机制：每完全满足一个评审标准得1.5分，满分3分； ④培训后回访、案例资源库、线上答疑等长效增值服务：每完全满足一个评审标准得2分，满分4分；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提供2023年1月以后类似本项目业绩，每提供一份计2分，满分10分（业绩以合同复印件或中标通知书为依据）。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满足磋商文件商务及技术要求且最后报价最低的供应商的价格为磋商基准价，其价格分为满分。 报价得分=（磋商基准价/最后磋商报价）*价格分值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