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版本号：HXGJXM2026-ZC-CS103720260709001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岗位外包服务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HXGJXM2026-ZC-CS1037</w:t>
      </w:r>
      <w:r>
        <w:br/>
      </w:r>
      <w:r>
        <w:br/>
      </w:r>
      <w:r>
        <w:br/>
      </w:r>
    </w:p>
    <w:p>
      <w:pPr>
        <w:pStyle w:val="null3"/>
        <w:jc w:val="center"/>
        <w:outlineLvl w:val="2"/>
      </w:pPr>
      <w:r>
        <w:rPr>
          <w:rFonts w:ascii="仿宋_GB2312" w:hAnsi="仿宋_GB2312" w:cs="仿宋_GB2312" w:eastAsia="仿宋_GB2312"/>
          <w:sz w:val="28"/>
          <w:b/>
        </w:rPr>
        <w:t>西安市胸科医院</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西安市胸科医院</w:t>
      </w:r>
      <w:r>
        <w:rPr>
          <w:rFonts w:ascii="仿宋_GB2312" w:hAnsi="仿宋_GB2312" w:cs="仿宋_GB2312" w:eastAsia="仿宋_GB2312"/>
        </w:rPr>
        <w:t>委托，拟对</w:t>
      </w:r>
      <w:r>
        <w:rPr>
          <w:rFonts w:ascii="仿宋_GB2312" w:hAnsi="仿宋_GB2312" w:cs="仿宋_GB2312" w:eastAsia="仿宋_GB2312"/>
        </w:rPr>
        <w:t>岗位外包服务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HXGJXM2026-ZC-CS1037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岗位外包服务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岗位外包服务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采购包1（岗位外包服务）：属于专门面向中小企业采购。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磋商截止日前一年内在本单位已缴存的至少一个月的社会保障资金凭证）；法定代表人直接参加磋商，须提供法定代表人身份证明。</w:t>
      </w:r>
    </w:p>
    <w:p>
      <w:pPr>
        <w:pStyle w:val="null3"/>
      </w:pPr>
      <w:r>
        <w:rPr>
          <w:rFonts w:ascii="仿宋_GB2312" w:hAnsi="仿宋_GB2312" w:cs="仿宋_GB2312" w:eastAsia="仿宋_GB2312"/>
        </w:rPr>
        <w:t>2、信用记录：供应商未被“信用中国”网站列入失信被执行人和重大税收违法失信主体，未被中国政府采购 网列入政府采购严重违法失信行为记录名单(处罚期限届满的除外)（以现场信用记录查询结果为准）。</w:t>
      </w:r>
    </w:p>
    <w:p>
      <w:pPr>
        <w:pStyle w:val="null3"/>
      </w:pPr>
      <w:r>
        <w:rPr>
          <w:rFonts w:ascii="仿宋_GB2312" w:hAnsi="仿宋_GB2312" w:cs="仿宋_GB2312" w:eastAsia="仿宋_GB2312"/>
        </w:rPr>
        <w:t>3、供应商资质：具备有效期内的《人力资源服务许可证》及《劳务派遣经营许可证》。</w:t>
      </w:r>
    </w:p>
    <w:p>
      <w:pPr>
        <w:pStyle w:val="null3"/>
      </w:pPr>
      <w:r>
        <w:rPr>
          <w:rFonts w:ascii="仿宋_GB2312" w:hAnsi="仿宋_GB2312" w:cs="仿宋_GB2312" w:eastAsia="仿宋_GB2312"/>
        </w:rPr>
        <w:t>4、非联合体：本项目不接受联合体磋商。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西安市胸科医院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西安市长安区航天大道东段杜陵西路2000号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029-62500115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西安市莲湖区二环南路西段202号九座花园16层1605室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宋文倩、张艳萍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029-88899970-863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下浮20%执行。 成交单位在领取成交通知书前，须向采购代理机构一次性支付招标代理服务费。 户名：华夏国际项目管理（西安）有限公司 开户行：中国工商银行股份有限公司西安城南科技支行 账号：3700024819200130193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西安市胸科医院</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西安市胸科医院</w:t>
      </w:r>
      <w:r>
        <w:rPr>
          <w:rFonts w:ascii="仿宋_GB2312" w:hAnsi="仿宋_GB2312" w:cs="仿宋_GB2312" w:eastAsia="仿宋_GB2312"/>
        </w:rPr>
        <w:t>负责解释。除上述磋商文件内容，其他内容由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西安市胸科医院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联系人：宋文倩、张艳萍</w:t>
      </w:r>
    </w:p>
    <w:p>
      <w:pPr>
        <w:pStyle w:val="null3"/>
      </w:pPr>
      <w:r>
        <w:rPr>
          <w:rFonts w:ascii="仿宋_GB2312" w:hAnsi="仿宋_GB2312" w:cs="仿宋_GB2312" w:eastAsia="仿宋_GB2312"/>
        </w:rPr>
        <w:t>联系电话：029-88899970-863</w:t>
      </w:r>
    </w:p>
    <w:p>
      <w:pPr>
        <w:pStyle w:val="null3"/>
      </w:pPr>
      <w:r>
        <w:rPr>
          <w:rFonts w:ascii="仿宋_GB2312" w:hAnsi="仿宋_GB2312" w:cs="仿宋_GB2312" w:eastAsia="仿宋_GB2312"/>
        </w:rPr>
        <w:t>地址：西安市莲湖区二环南路西段202号九座花园16层1605室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岗位外包服务项目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岗位外包服务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标的名称：岗位外包服务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right="30"/>
              <w:jc w:val="center"/>
            </w:pPr>
            <w:r>
              <w:rPr>
                <w:rFonts w:ascii="仿宋_GB2312" w:hAnsi="仿宋_GB2312" w:cs="仿宋_GB2312" w:eastAsia="仿宋_GB2312"/>
                <w:sz w:val="21"/>
                <w:b/>
              </w:rPr>
              <w:t>服务内容及要求</w:t>
            </w:r>
          </w:p>
          <w:p>
            <w:pPr>
              <w:pStyle w:val="null3"/>
              <w:ind w:right="30" w:firstLine="442"/>
              <w:jc w:val="left"/>
            </w:pPr>
            <w:r>
              <w:rPr>
                <w:rFonts w:ascii="仿宋_GB2312" w:hAnsi="仿宋_GB2312" w:cs="仿宋_GB2312" w:eastAsia="仿宋_GB2312"/>
                <w:sz w:val="21"/>
                <w:b/>
              </w:rPr>
              <w:t>一、服务内容</w:t>
            </w:r>
            <w:r>
              <w:rPr>
                <w:rFonts w:ascii="仿宋_GB2312" w:hAnsi="仿宋_GB2312" w:cs="仿宋_GB2312" w:eastAsia="仿宋_GB2312"/>
                <w:sz w:val="21"/>
              </w:rPr>
              <w:t xml:space="preserve"> </w:t>
            </w:r>
          </w:p>
          <w:p>
            <w:pPr>
              <w:pStyle w:val="null3"/>
              <w:ind w:right="30" w:firstLine="440"/>
              <w:jc w:val="left"/>
            </w:pPr>
            <w:r>
              <w:rPr>
                <w:rFonts w:ascii="仿宋_GB2312" w:hAnsi="仿宋_GB2312" w:cs="仿宋_GB2312" w:eastAsia="仿宋_GB2312"/>
                <w:sz w:val="21"/>
              </w:rPr>
              <w:t>为西安市胸科医院提供辅助岗位外包服务，服务内容包括：</w:t>
            </w:r>
          </w:p>
          <w:p>
            <w:pPr>
              <w:pStyle w:val="null3"/>
              <w:ind w:right="30" w:firstLine="442"/>
              <w:jc w:val="left"/>
            </w:pPr>
            <w:r>
              <w:rPr>
                <w:rFonts w:ascii="仿宋_GB2312" w:hAnsi="仿宋_GB2312" w:cs="仿宋_GB2312" w:eastAsia="仿宋_GB2312"/>
                <w:sz w:val="21"/>
                <w:b/>
              </w:rPr>
              <w:t>（一）全周期人事管理服务</w:t>
            </w:r>
          </w:p>
          <w:p>
            <w:pPr>
              <w:pStyle w:val="null3"/>
              <w:ind w:right="30" w:firstLine="440"/>
              <w:jc w:val="left"/>
            </w:pPr>
            <w:r>
              <w:rPr>
                <w:rFonts w:ascii="仿宋_GB2312" w:hAnsi="仿宋_GB2312" w:cs="仿宋_GB2312" w:eastAsia="仿宋_GB2312"/>
                <w:sz w:val="21"/>
              </w:rPr>
              <w:t>1.按岗位特性开展招聘，把控人员资质，组织笔试、面试，办理劳动合同签订/解除。</w:t>
            </w:r>
          </w:p>
          <w:p>
            <w:pPr>
              <w:pStyle w:val="null3"/>
              <w:ind w:right="30" w:firstLine="440"/>
              <w:jc w:val="left"/>
            </w:pPr>
            <w:r>
              <w:rPr>
                <w:rFonts w:ascii="仿宋_GB2312" w:hAnsi="仿宋_GB2312" w:cs="仿宋_GB2312" w:eastAsia="仿宋_GB2312"/>
                <w:sz w:val="21"/>
              </w:rPr>
              <w:t>2.完成上岗前相关培训工作。</w:t>
            </w:r>
          </w:p>
          <w:p>
            <w:pPr>
              <w:pStyle w:val="null3"/>
              <w:ind w:right="30" w:firstLine="440"/>
              <w:jc w:val="left"/>
            </w:pPr>
            <w:r>
              <w:rPr>
                <w:rFonts w:ascii="仿宋_GB2312" w:hAnsi="仿宋_GB2312" w:cs="仿宋_GB2312" w:eastAsia="仿宋_GB2312"/>
                <w:sz w:val="21"/>
              </w:rPr>
              <w:t>3.代行薪酬核算发放、社保公积金缴纳、个税申报等法定雇主责任。</w:t>
            </w:r>
          </w:p>
          <w:p>
            <w:pPr>
              <w:pStyle w:val="null3"/>
              <w:ind w:right="30" w:firstLine="440"/>
              <w:jc w:val="left"/>
            </w:pPr>
            <w:r>
              <w:rPr>
                <w:rFonts w:ascii="仿宋_GB2312" w:hAnsi="仿宋_GB2312" w:cs="仿宋_GB2312" w:eastAsia="仿宋_GB2312"/>
                <w:sz w:val="21"/>
              </w:rPr>
              <w:t>4.承担日常人事管理，包括但不限于员工考勤、绩效考核、奖惩执行、人事档案管理、各类证明开具、劳动关系转移、政审材料办理等，承担劳动纠纷等全部责任。</w:t>
            </w:r>
          </w:p>
          <w:p>
            <w:pPr>
              <w:pStyle w:val="null3"/>
              <w:ind w:right="30" w:firstLine="440"/>
              <w:jc w:val="left"/>
            </w:pPr>
            <w:r>
              <w:rPr>
                <w:rFonts w:ascii="仿宋_GB2312" w:hAnsi="仿宋_GB2312" w:cs="仿宋_GB2312" w:eastAsia="仿宋_GB2312"/>
                <w:sz w:val="21"/>
              </w:rPr>
              <w:t>5.所需岗位及岗位费用如下：</w:t>
            </w:r>
          </w:p>
          <w:tbl>
            <w:tblPr>
              <w:tblInd w:type="dxa" w:w="120"/>
              <w:tblBorders>
                <w:top w:val="none" w:color="000000" w:sz="4"/>
                <w:left w:val="none" w:color="000000" w:sz="4"/>
                <w:bottom w:val="none" w:color="000000" w:sz="4"/>
                <w:right w:val="none" w:color="000000" w:sz="4"/>
                <w:insideH w:val="none"/>
                <w:insideV w:val="none"/>
              </w:tblBorders>
            </w:tblPr>
            <w:tblGrid>
              <w:gridCol w:w="424"/>
              <w:gridCol w:w="634"/>
              <w:gridCol w:w="713"/>
              <w:gridCol w:w="775"/>
            </w:tblGrid>
            <w:tr>
              <w:tc>
                <w:tcPr>
                  <w:tcW w:type="dxa" w:w="42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rFonts w:ascii="仿宋_GB2312" w:hAnsi="仿宋_GB2312" w:cs="仿宋_GB2312" w:eastAsia="仿宋_GB2312"/>
                      <w:sz w:val="21"/>
                      <w:b/>
                      <w:color w:val="000000"/>
                    </w:rPr>
                    <w:t>序号</w:t>
                  </w:r>
                </w:p>
              </w:tc>
              <w:tc>
                <w:tcPr>
                  <w:tcW w:type="dxa" w:w="63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rFonts w:ascii="仿宋_GB2312" w:hAnsi="仿宋_GB2312" w:cs="仿宋_GB2312" w:eastAsia="仿宋_GB2312"/>
                      <w:sz w:val="21"/>
                      <w:b/>
                      <w:color w:val="000000"/>
                    </w:rPr>
                    <w:t>岗位</w:t>
                  </w:r>
                </w:p>
              </w:tc>
              <w:tc>
                <w:tcPr>
                  <w:tcW w:type="dxa" w:w="71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rFonts w:ascii="仿宋_GB2312" w:hAnsi="仿宋_GB2312" w:cs="仿宋_GB2312" w:eastAsia="仿宋_GB2312"/>
                      <w:sz w:val="21"/>
                      <w:b/>
                      <w:color w:val="000000"/>
                    </w:rPr>
                    <w:t>报价限额</w:t>
                  </w:r>
                  <w:r>
                    <w:br/>
                  </w:r>
                  <w:r>
                    <w:rPr>
                      <w:rFonts w:ascii="仿宋_GB2312" w:hAnsi="仿宋_GB2312" w:cs="仿宋_GB2312" w:eastAsia="仿宋_GB2312"/>
                      <w:sz w:val="21"/>
                      <w:b/>
                      <w:color w:val="000000"/>
                    </w:rPr>
                    <w:t>（单位：元/月）</w:t>
                  </w:r>
                </w:p>
              </w:tc>
              <w:tc>
                <w:tcPr>
                  <w:tcW w:type="dxa" w:w="7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rFonts w:ascii="仿宋_GB2312" w:hAnsi="仿宋_GB2312" w:cs="仿宋_GB2312" w:eastAsia="仿宋_GB2312"/>
                      <w:sz w:val="21"/>
                      <w:b/>
                      <w:color w:val="000000"/>
                    </w:rPr>
                    <w:t>人员费用</w:t>
                  </w:r>
                </w:p>
              </w:tc>
            </w:tr>
            <w:tr>
              <w:tc>
                <w:tcPr>
                  <w:tcW w:type="dxa" w:w="424"/>
                  <w:vMerge/>
                  <w:tcBorders>
                    <w:top w:val="single" w:color="000000" w:sz="4"/>
                    <w:left w:val="single" w:color="000000" w:sz="4"/>
                    <w:bottom w:val="single" w:color="000000" w:sz="4"/>
                    <w:right w:val="single" w:color="000000" w:sz="4"/>
                  </w:tcBorders>
                </w:tcPr>
                <w:p/>
              </w:tc>
              <w:tc>
                <w:tcPr>
                  <w:tcW w:type="dxa" w:w="634"/>
                  <w:vMerge/>
                  <w:tcBorders>
                    <w:top w:val="single" w:color="000000" w:sz="4"/>
                    <w:left w:val="none" w:color="000000" w:sz="4"/>
                    <w:bottom w:val="single" w:color="000000" w:sz="4"/>
                    <w:right w:val="single" w:color="000000" w:sz="4"/>
                  </w:tcBorders>
                </w:tcPr>
                <w:p/>
              </w:tc>
              <w:tc>
                <w:tcPr>
                  <w:tcW w:type="dxa" w:w="713"/>
                  <w:vMerge/>
                  <w:tcBorders>
                    <w:top w:val="single" w:color="000000" w:sz="4"/>
                    <w:left w:val="none" w:color="000000" w:sz="4"/>
                    <w:bottom w:val="single" w:color="000000" w:sz="4"/>
                    <w:right w:val="single" w:color="000000" w:sz="4"/>
                  </w:tcBorders>
                </w:tc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rFonts w:ascii="仿宋_GB2312" w:hAnsi="仿宋_GB2312" w:cs="仿宋_GB2312" w:eastAsia="仿宋_GB2312"/>
                      <w:sz w:val="21"/>
                      <w:b/>
                      <w:color w:val="000000"/>
                    </w:rPr>
                    <w:t>计划薪酬</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rFonts w:ascii="仿宋_GB2312" w:hAnsi="仿宋_GB2312" w:cs="仿宋_GB2312" w:eastAsia="仿宋_GB2312"/>
                      <w:sz w:val="21"/>
                      <w:color w:val="000000"/>
                    </w:rPr>
                    <w:t>1</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rFonts w:ascii="仿宋_GB2312" w:hAnsi="仿宋_GB2312" w:cs="仿宋_GB2312" w:eastAsia="仿宋_GB2312"/>
                      <w:sz w:val="21"/>
                      <w:color w:val="000000"/>
                    </w:rPr>
                    <w:t>采血</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rFonts w:ascii="仿宋_GB2312" w:hAnsi="仿宋_GB2312" w:cs="仿宋_GB2312" w:eastAsia="仿宋_GB2312"/>
                      <w:sz w:val="21"/>
                      <w:color w:val="000000"/>
                    </w:rPr>
                    <w:t>5975</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rFonts w:ascii="仿宋_GB2312" w:hAnsi="仿宋_GB2312" w:cs="仿宋_GB2312" w:eastAsia="仿宋_GB2312"/>
                      <w:sz w:val="21"/>
                      <w:color w:val="000000"/>
                    </w:rPr>
                    <w:t>4500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rFonts w:ascii="仿宋_GB2312" w:hAnsi="仿宋_GB2312" w:cs="仿宋_GB2312" w:eastAsia="仿宋_GB2312"/>
                      <w:sz w:val="21"/>
                      <w:color w:val="000000"/>
                    </w:rPr>
                    <w:t>2</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rFonts w:ascii="仿宋_GB2312" w:hAnsi="仿宋_GB2312" w:cs="仿宋_GB2312" w:eastAsia="仿宋_GB2312"/>
                      <w:sz w:val="21"/>
                      <w:color w:val="000000"/>
                    </w:rPr>
                    <w:t>陪检</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rFonts w:ascii="仿宋_GB2312" w:hAnsi="仿宋_GB2312" w:cs="仿宋_GB2312" w:eastAsia="仿宋_GB2312"/>
                      <w:sz w:val="21"/>
                      <w:color w:val="000000"/>
                    </w:rPr>
                    <w:t>5440</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rFonts w:ascii="仿宋_GB2312" w:hAnsi="仿宋_GB2312" w:cs="仿宋_GB2312" w:eastAsia="仿宋_GB2312"/>
                      <w:sz w:val="21"/>
                      <w:color w:val="000000"/>
                    </w:rPr>
                    <w:t>4000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rFonts w:ascii="仿宋_GB2312" w:hAnsi="仿宋_GB2312" w:cs="仿宋_GB2312" w:eastAsia="仿宋_GB2312"/>
                      <w:sz w:val="21"/>
                      <w:color w:val="000000"/>
                    </w:rPr>
                    <w:t>3</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rFonts w:ascii="仿宋_GB2312" w:hAnsi="仿宋_GB2312" w:cs="仿宋_GB2312" w:eastAsia="仿宋_GB2312"/>
                      <w:sz w:val="21"/>
                      <w:color w:val="000000"/>
                    </w:rPr>
                    <w:t>导医</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rFonts w:ascii="仿宋_GB2312" w:hAnsi="仿宋_GB2312" w:cs="仿宋_GB2312" w:eastAsia="仿宋_GB2312"/>
                      <w:sz w:val="21"/>
                      <w:color w:val="000000"/>
                    </w:rPr>
                    <w:t>4905</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rFonts w:ascii="仿宋_GB2312" w:hAnsi="仿宋_GB2312" w:cs="仿宋_GB2312" w:eastAsia="仿宋_GB2312"/>
                      <w:sz w:val="21"/>
                      <w:color w:val="000000"/>
                    </w:rPr>
                    <w:t>3500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rFonts w:ascii="仿宋_GB2312" w:hAnsi="仿宋_GB2312" w:cs="仿宋_GB2312" w:eastAsia="仿宋_GB2312"/>
                      <w:sz w:val="21"/>
                      <w:color w:val="000000"/>
                    </w:rPr>
                    <w:t>4</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rFonts w:ascii="仿宋_GB2312" w:hAnsi="仿宋_GB2312" w:cs="仿宋_GB2312" w:eastAsia="仿宋_GB2312"/>
                      <w:sz w:val="21"/>
                      <w:color w:val="000000"/>
                    </w:rPr>
                    <w:t>助理护士</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rFonts w:ascii="仿宋_GB2312" w:hAnsi="仿宋_GB2312" w:cs="仿宋_GB2312" w:eastAsia="仿宋_GB2312"/>
                      <w:sz w:val="21"/>
                      <w:color w:val="000000"/>
                    </w:rPr>
                    <w:t>5975</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rFonts w:ascii="仿宋_GB2312" w:hAnsi="仿宋_GB2312" w:cs="仿宋_GB2312" w:eastAsia="仿宋_GB2312"/>
                      <w:sz w:val="21"/>
                      <w:color w:val="000000"/>
                    </w:rPr>
                    <w:t>4500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rFonts w:ascii="仿宋_GB2312" w:hAnsi="仿宋_GB2312" w:cs="仿宋_GB2312" w:eastAsia="仿宋_GB2312"/>
                      <w:sz w:val="21"/>
                      <w:color w:val="000000"/>
                    </w:rPr>
                    <w:t>5</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rFonts w:ascii="仿宋_GB2312" w:hAnsi="仿宋_GB2312" w:cs="仿宋_GB2312" w:eastAsia="仿宋_GB2312"/>
                      <w:sz w:val="21"/>
                      <w:color w:val="000000"/>
                    </w:rPr>
                    <w:t>超声报告员</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rFonts w:ascii="仿宋_GB2312" w:hAnsi="仿宋_GB2312" w:cs="仿宋_GB2312" w:eastAsia="仿宋_GB2312"/>
                      <w:sz w:val="21"/>
                      <w:color w:val="000000"/>
                    </w:rPr>
                    <w:t>7580</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rFonts w:ascii="仿宋_GB2312" w:hAnsi="仿宋_GB2312" w:cs="仿宋_GB2312" w:eastAsia="仿宋_GB2312"/>
                      <w:sz w:val="21"/>
                      <w:color w:val="000000"/>
                    </w:rPr>
                    <w:t>6000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rFonts w:ascii="仿宋_GB2312" w:hAnsi="仿宋_GB2312" w:cs="仿宋_GB2312" w:eastAsia="仿宋_GB2312"/>
                      <w:sz w:val="21"/>
                      <w:color w:val="000000"/>
                    </w:rPr>
                    <w:t>6</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rFonts w:ascii="仿宋_GB2312" w:hAnsi="仿宋_GB2312" w:cs="仿宋_GB2312" w:eastAsia="仿宋_GB2312"/>
                      <w:sz w:val="21"/>
                      <w:color w:val="000000"/>
                    </w:rPr>
                    <w:t>物资配送</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rFonts w:ascii="仿宋_GB2312" w:hAnsi="仿宋_GB2312" w:cs="仿宋_GB2312" w:eastAsia="仿宋_GB2312"/>
                      <w:sz w:val="21"/>
                      <w:color w:val="000000"/>
                    </w:rPr>
                    <w:t>4370</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rFonts w:ascii="仿宋_GB2312" w:hAnsi="仿宋_GB2312" w:cs="仿宋_GB2312" w:eastAsia="仿宋_GB2312"/>
                      <w:sz w:val="21"/>
                      <w:color w:val="000000"/>
                    </w:rPr>
                    <w:t>3000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rFonts w:ascii="仿宋_GB2312" w:hAnsi="仿宋_GB2312" w:cs="仿宋_GB2312" w:eastAsia="仿宋_GB2312"/>
                      <w:sz w:val="21"/>
                      <w:color w:val="000000"/>
                    </w:rPr>
                    <w:t>7</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rFonts w:ascii="仿宋_GB2312" w:hAnsi="仿宋_GB2312" w:cs="仿宋_GB2312" w:eastAsia="仿宋_GB2312"/>
                      <w:sz w:val="21"/>
                      <w:color w:val="000000"/>
                    </w:rPr>
                    <w:t>司机</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rFonts w:ascii="仿宋_GB2312" w:hAnsi="仿宋_GB2312" w:cs="仿宋_GB2312" w:eastAsia="仿宋_GB2312"/>
                      <w:sz w:val="21"/>
                      <w:color w:val="000000"/>
                    </w:rPr>
                    <w:t>5440</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rFonts w:ascii="仿宋_GB2312" w:hAnsi="仿宋_GB2312" w:cs="仿宋_GB2312" w:eastAsia="仿宋_GB2312"/>
                      <w:sz w:val="21"/>
                      <w:color w:val="000000"/>
                    </w:rPr>
                    <w:t>4000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rFonts w:ascii="仿宋_GB2312" w:hAnsi="仿宋_GB2312" w:cs="仿宋_GB2312" w:eastAsia="仿宋_GB2312"/>
                      <w:sz w:val="21"/>
                      <w:color w:val="000000"/>
                    </w:rPr>
                    <w:t>8</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rFonts w:ascii="仿宋_GB2312" w:hAnsi="仿宋_GB2312" w:cs="仿宋_GB2312" w:eastAsia="仿宋_GB2312"/>
                      <w:sz w:val="21"/>
                      <w:color w:val="000000"/>
                    </w:rPr>
                    <w:t>水电工</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rFonts w:ascii="仿宋_GB2312" w:hAnsi="仿宋_GB2312" w:cs="仿宋_GB2312" w:eastAsia="仿宋_GB2312"/>
                      <w:sz w:val="21"/>
                      <w:color w:val="000000"/>
                    </w:rPr>
                    <w:t>6510</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rFonts w:ascii="仿宋_GB2312" w:hAnsi="仿宋_GB2312" w:cs="仿宋_GB2312" w:eastAsia="仿宋_GB2312"/>
                      <w:sz w:val="21"/>
                      <w:color w:val="000000"/>
                    </w:rPr>
                    <w:t>5000</w:t>
                  </w:r>
                </w:p>
              </w:tc>
            </w:tr>
            <w:tr>
              <w:tc>
                <w:tcPr>
                  <w:tcW w:type="dxa" w:w="254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
                    <w:jc w:val="both"/>
                  </w:pPr>
                  <w:r>
                    <w:rPr>
                      <w:rFonts w:ascii="仿宋_GB2312" w:hAnsi="仿宋_GB2312" w:cs="仿宋_GB2312" w:eastAsia="仿宋_GB2312"/>
                      <w:sz w:val="21"/>
                      <w:color w:val="000000"/>
                    </w:rPr>
                    <w:t>备注：</w:t>
                  </w:r>
                </w:p>
                <w:p>
                  <w:pPr>
                    <w:pStyle w:val="null3"/>
                    <w:ind w:right="3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以上岗位费用包含岗位工资、社保费用和管理费</w:t>
                  </w:r>
                  <w:r>
                    <w:rPr>
                      <w:rFonts w:ascii="仿宋_GB2312" w:hAnsi="仿宋_GB2312" w:cs="仿宋_GB2312" w:eastAsia="仿宋_GB2312"/>
                      <w:sz w:val="21"/>
                      <w:color w:val="000000"/>
                    </w:rPr>
                    <w:t>、</w:t>
                  </w:r>
                  <w:r>
                    <w:rPr>
                      <w:rFonts w:ascii="仿宋_GB2312" w:hAnsi="仿宋_GB2312" w:cs="仿宋_GB2312" w:eastAsia="仿宋_GB2312"/>
                      <w:sz w:val="21"/>
                      <w:color w:val="000000"/>
                    </w:rPr>
                    <w:t>保险费、加班费、劳保费、培训费、税费和管理费等乙方履行</w:t>
                  </w:r>
                  <w:r>
                    <w:rPr>
                      <w:rFonts w:ascii="仿宋_GB2312" w:hAnsi="仿宋_GB2312" w:cs="仿宋_GB2312" w:eastAsia="仿宋_GB2312"/>
                      <w:sz w:val="21"/>
                      <w:color w:val="000000"/>
                    </w:rPr>
                    <w:t>合同</w:t>
                  </w:r>
                  <w:r>
                    <w:rPr>
                      <w:rFonts w:ascii="仿宋_GB2312" w:hAnsi="仿宋_GB2312" w:cs="仿宋_GB2312" w:eastAsia="仿宋_GB2312"/>
                      <w:sz w:val="21"/>
                      <w:color w:val="000000"/>
                    </w:rPr>
                    <w:t>义务所需的一切费用</w:t>
                  </w:r>
                </w:p>
                <w:p>
                  <w:pPr>
                    <w:pStyle w:val="null3"/>
                    <w:ind w:right="30"/>
                    <w:jc w:val="both"/>
                  </w:pPr>
                  <w:r>
                    <w:rPr>
                      <w:rFonts w:ascii="仿宋_GB2312" w:hAnsi="仿宋_GB2312" w:cs="仿宋_GB2312" w:eastAsia="仿宋_GB2312"/>
                      <w:sz w:val="21"/>
                      <w:color w:val="000000"/>
                    </w:rPr>
                    <w:t>2、所有派驻人员资质符合国家行业从业要求与医院规定，身体健康，无违法违规不良记录；供应商与派驻人员建立合法劳动关系，承担全部用工责任。</w:t>
                  </w:r>
                </w:p>
                <w:p>
                  <w:pPr>
                    <w:pStyle w:val="null3"/>
                    <w:ind w:right="30"/>
                    <w:jc w:val="both"/>
                  </w:pPr>
                  <w:r>
                    <w:rPr>
                      <w:rFonts w:ascii="仿宋_GB2312" w:hAnsi="仿宋_GB2312" w:cs="仿宋_GB2312" w:eastAsia="仿宋_GB2312"/>
                      <w:sz w:val="21"/>
                      <w:color w:val="000000"/>
                    </w:rPr>
                    <w:t>3、对应岗位人员需匹配岗位相关专业、技能、经验要求，经医院培训考核合格后方可上岗，服从医院日常管理与工作安排。</w:t>
                  </w:r>
                </w:p>
                <w:p>
                  <w:pPr>
                    <w:pStyle w:val="null3"/>
                    <w:ind w:right="30"/>
                    <w:jc w:val="both"/>
                  </w:pPr>
                  <w:r>
                    <w:rPr>
                      <w:rFonts w:ascii="仿宋_GB2312" w:hAnsi="仿宋_GB2312" w:cs="仿宋_GB2312" w:eastAsia="仿宋_GB2312"/>
                      <w:sz w:val="21"/>
                      <w:color w:val="000000"/>
                    </w:rPr>
                    <w:t>4、涉及技能资质类岗位（如司机、水电工等）需持有对应有效资格证书上岗，保障按要求履职，满足医院工作规范。</w:t>
                  </w:r>
                </w:p>
              </w:tc>
            </w:tr>
          </w:tbl>
          <w:p>
            <w:pPr>
              <w:pStyle w:val="null3"/>
              <w:ind w:right="30" w:firstLine="442"/>
              <w:jc w:val="left"/>
            </w:pPr>
            <w:r>
              <w:rPr>
                <w:rFonts w:ascii="仿宋_GB2312" w:hAnsi="仿宋_GB2312" w:cs="仿宋_GB2312" w:eastAsia="仿宋_GB2312"/>
                <w:sz w:val="21"/>
                <w:b/>
              </w:rPr>
              <w:t>(</w:t>
            </w:r>
            <w:r>
              <w:rPr>
                <w:rFonts w:ascii="仿宋_GB2312" w:hAnsi="仿宋_GB2312" w:cs="仿宋_GB2312" w:eastAsia="仿宋_GB2312"/>
                <w:sz w:val="21"/>
                <w:b/>
              </w:rPr>
              <w:t>二）风险管理与应急服务</w:t>
            </w:r>
          </w:p>
          <w:p>
            <w:pPr>
              <w:pStyle w:val="null3"/>
              <w:ind w:right="30" w:firstLine="440"/>
              <w:jc w:val="left"/>
            </w:pPr>
            <w:r>
              <w:rPr>
                <w:rFonts w:ascii="仿宋_GB2312" w:hAnsi="仿宋_GB2312" w:cs="仿宋_GB2312" w:eastAsia="仿宋_GB2312"/>
                <w:sz w:val="21"/>
              </w:rPr>
              <w:t>1.规范劳动合同全周期管理（含试用期考核、续签、终止等全流程程序）。</w:t>
            </w:r>
          </w:p>
          <w:p>
            <w:pPr>
              <w:pStyle w:val="null3"/>
              <w:ind w:right="30" w:firstLine="440"/>
              <w:jc w:val="left"/>
            </w:pPr>
            <w:r>
              <w:rPr>
                <w:rFonts w:ascii="仿宋_GB2312" w:hAnsi="仿宋_GB2312" w:cs="仿宋_GB2312" w:eastAsia="仿宋_GB2312"/>
                <w:sz w:val="21"/>
              </w:rPr>
              <w:t>2.制定职业暴露、医患纠纷等突发事件标准化处置预案并落地执行。</w:t>
            </w:r>
          </w:p>
          <w:p>
            <w:pPr>
              <w:pStyle w:val="null3"/>
              <w:ind w:right="30" w:firstLine="440"/>
              <w:jc w:val="left"/>
            </w:pPr>
            <w:r>
              <w:rPr>
                <w:rFonts w:ascii="仿宋_GB2312" w:hAnsi="仿宋_GB2312" w:cs="仿宋_GB2312" w:eastAsia="仿宋_GB2312"/>
                <w:sz w:val="21"/>
              </w:rPr>
              <w:t>3.承担劳动关系存续期间的劳动争议协商调解主体责任。</w:t>
            </w:r>
          </w:p>
          <w:p>
            <w:pPr>
              <w:pStyle w:val="null3"/>
              <w:ind w:right="30" w:firstLine="440"/>
              <w:jc w:val="left"/>
            </w:pPr>
            <w:r>
              <w:rPr>
                <w:rFonts w:ascii="仿宋_GB2312" w:hAnsi="仿宋_GB2312" w:cs="仿宋_GB2312" w:eastAsia="仿宋_GB2312"/>
                <w:sz w:val="21"/>
              </w:rPr>
              <w:t>4.制定员工保密协议，约束患者及医院隐私泄露风险。</w:t>
            </w:r>
          </w:p>
          <w:p>
            <w:pPr>
              <w:pStyle w:val="null3"/>
              <w:ind w:right="30" w:firstLine="442"/>
              <w:jc w:val="left"/>
            </w:pPr>
            <w:r>
              <w:rPr>
                <w:rFonts w:ascii="仿宋_GB2312" w:hAnsi="仿宋_GB2312" w:cs="仿宋_GB2312" w:eastAsia="仿宋_GB2312"/>
                <w:sz w:val="21"/>
                <w:b/>
              </w:rPr>
              <w:t>二、服务要求</w:t>
            </w:r>
          </w:p>
          <w:p>
            <w:pPr>
              <w:pStyle w:val="null3"/>
              <w:ind w:right="30" w:firstLine="442"/>
              <w:jc w:val="left"/>
            </w:pPr>
            <w:r>
              <w:rPr>
                <w:rFonts w:ascii="仿宋_GB2312" w:hAnsi="仿宋_GB2312" w:cs="仿宋_GB2312" w:eastAsia="仿宋_GB2312"/>
                <w:sz w:val="21"/>
                <w:b/>
              </w:rPr>
              <w:t>（一）人员配置与资质要求</w:t>
            </w:r>
          </w:p>
          <w:p>
            <w:pPr>
              <w:pStyle w:val="null3"/>
              <w:ind w:right="30" w:firstLine="440"/>
              <w:jc w:val="left"/>
            </w:pPr>
            <w:r>
              <w:rPr>
                <w:rFonts w:ascii="仿宋_GB2312" w:hAnsi="仿宋_GB2312" w:cs="仿宋_GB2312" w:eastAsia="仿宋_GB2312"/>
                <w:sz w:val="21"/>
              </w:rPr>
              <w:t>1.</w:t>
            </w:r>
            <w:r>
              <w:rPr>
                <w:rFonts w:ascii="仿宋_GB2312" w:hAnsi="仿宋_GB2312" w:cs="仿宋_GB2312" w:eastAsia="仿宋_GB2312"/>
                <w:sz w:val="21"/>
              </w:rPr>
              <w:t>本次采购人数约为20人，后期</w:t>
            </w:r>
            <w:r>
              <w:rPr>
                <w:rFonts w:ascii="仿宋_GB2312" w:hAnsi="仿宋_GB2312" w:cs="仿宋_GB2312" w:eastAsia="仿宋_GB2312"/>
                <w:sz w:val="21"/>
              </w:rPr>
              <w:t>根据医院工作量变化灵活调整在岗人员数量，避免因人力不足导致服务延迟或人力资源浪费。</w:t>
            </w:r>
          </w:p>
          <w:p>
            <w:pPr>
              <w:pStyle w:val="null3"/>
              <w:ind w:right="30" w:firstLine="440"/>
              <w:jc w:val="left"/>
            </w:pPr>
            <w:r>
              <w:rPr>
                <w:rFonts w:ascii="仿宋_GB2312" w:hAnsi="仿宋_GB2312" w:cs="仿宋_GB2312" w:eastAsia="仿宋_GB2312"/>
                <w:sz w:val="21"/>
              </w:rPr>
              <w:t>2.建立人员储备机制，确保突发情况下及时补充岗位空缺。</w:t>
            </w:r>
          </w:p>
          <w:p>
            <w:pPr>
              <w:pStyle w:val="null3"/>
              <w:ind w:right="30" w:firstLine="440"/>
              <w:jc w:val="left"/>
            </w:pPr>
            <w:r>
              <w:rPr>
                <w:rFonts w:ascii="仿宋_GB2312" w:hAnsi="仿宋_GB2312" w:cs="仿宋_GB2312" w:eastAsia="仿宋_GB2312"/>
                <w:sz w:val="21"/>
              </w:rPr>
              <w:t>3.所有岗位男性45岁及以下、女性40岁及以下，须具备岗位所需相关职业技能证书。</w:t>
            </w:r>
          </w:p>
          <w:p>
            <w:pPr>
              <w:pStyle w:val="null3"/>
              <w:ind w:right="30" w:firstLine="440"/>
              <w:jc w:val="left"/>
            </w:pPr>
            <w:r>
              <w:rPr>
                <w:rFonts w:ascii="仿宋_GB2312" w:hAnsi="仿宋_GB2312" w:cs="仿宋_GB2312" w:eastAsia="仿宋_GB2312"/>
                <w:sz w:val="21"/>
              </w:rPr>
              <w:t>4.所有上岗人员资质</w:t>
            </w:r>
            <w:r>
              <w:rPr>
                <w:rFonts w:ascii="仿宋_GB2312" w:hAnsi="仿宋_GB2312" w:cs="仿宋_GB2312" w:eastAsia="仿宋_GB2312"/>
                <w:sz w:val="21"/>
              </w:rPr>
              <w:t>及薪酬组成发放须</w:t>
            </w:r>
            <w:r>
              <w:rPr>
                <w:rFonts w:ascii="仿宋_GB2312" w:hAnsi="仿宋_GB2312" w:cs="仿宋_GB2312" w:eastAsia="仿宋_GB2312"/>
                <w:sz w:val="21"/>
              </w:rPr>
              <w:t>经医院审核确认。</w:t>
            </w:r>
          </w:p>
          <w:p>
            <w:pPr>
              <w:pStyle w:val="null3"/>
              <w:ind w:right="30" w:firstLine="442"/>
              <w:jc w:val="left"/>
            </w:pPr>
            <w:r>
              <w:rPr>
                <w:rFonts w:ascii="仿宋_GB2312" w:hAnsi="仿宋_GB2312" w:cs="仿宋_GB2312" w:eastAsia="仿宋_GB2312"/>
                <w:sz w:val="21"/>
                <w:b/>
              </w:rPr>
              <w:t>（二）服务质量要求</w:t>
            </w:r>
          </w:p>
          <w:p>
            <w:pPr>
              <w:pStyle w:val="null3"/>
              <w:ind w:right="30" w:firstLine="440"/>
              <w:jc w:val="left"/>
            </w:pPr>
            <w:r>
              <w:rPr>
                <w:rFonts w:ascii="仿宋_GB2312" w:hAnsi="仿宋_GB2312" w:cs="仿宋_GB2312" w:eastAsia="仿宋_GB2312"/>
                <w:sz w:val="21"/>
              </w:rPr>
              <w:t>1.待入职员工须通过岗前培训经医院考核合格后方可上岗。</w:t>
            </w:r>
          </w:p>
          <w:p>
            <w:pPr>
              <w:pStyle w:val="null3"/>
              <w:ind w:right="30" w:firstLine="440"/>
              <w:jc w:val="left"/>
            </w:pPr>
            <w:r>
              <w:rPr>
                <w:rFonts w:ascii="仿宋_GB2312" w:hAnsi="仿宋_GB2312" w:cs="仿宋_GB2312" w:eastAsia="仿宋_GB2312"/>
                <w:sz w:val="21"/>
              </w:rPr>
              <w:t>2.上岗人员须严格遵循医院各岗位服务规范与操作流程，做好交接班、考勤等文件记录。</w:t>
            </w:r>
          </w:p>
          <w:p>
            <w:pPr>
              <w:pStyle w:val="null3"/>
              <w:ind w:right="30" w:firstLine="440"/>
              <w:jc w:val="left"/>
            </w:pPr>
            <w:r>
              <w:rPr>
                <w:rFonts w:ascii="仿宋_GB2312" w:hAnsi="仿宋_GB2312" w:cs="仿宋_GB2312" w:eastAsia="仿宋_GB2312"/>
                <w:sz w:val="21"/>
              </w:rPr>
              <w:t>3.派驻1名项目管理人员。负责与院方的日常对接和沟通，快速处理服务中突发问题、投诉与纠纷，及时整改不合格项。该人员须具备人力资源和社会保障部门颁发的人力资源类/管理类/经济类资质（资格）证书。</w:t>
            </w:r>
          </w:p>
          <w:p>
            <w:pPr>
              <w:pStyle w:val="null3"/>
              <w:ind w:right="30" w:firstLine="442"/>
              <w:jc w:val="left"/>
            </w:pPr>
            <w:r>
              <w:rPr>
                <w:rFonts w:ascii="仿宋_GB2312" w:hAnsi="仿宋_GB2312" w:cs="仿宋_GB2312" w:eastAsia="仿宋_GB2312"/>
                <w:sz w:val="21"/>
                <w:b/>
              </w:rPr>
              <w:t>（三）合规和风险管控</w:t>
            </w:r>
          </w:p>
          <w:p>
            <w:pPr>
              <w:pStyle w:val="null3"/>
              <w:ind w:right="30" w:firstLine="440"/>
              <w:jc w:val="left"/>
            </w:pPr>
            <w:r>
              <w:rPr>
                <w:rFonts w:ascii="仿宋_GB2312" w:hAnsi="仿宋_GB2312" w:cs="仿宋_GB2312" w:eastAsia="仿宋_GB2312"/>
                <w:sz w:val="21"/>
              </w:rPr>
              <w:t>1.依法履行劳动合同签订、工资代发、社保缴纳及个税申报等日常人事管理义务，保障员工权益。</w:t>
            </w:r>
          </w:p>
          <w:p>
            <w:pPr>
              <w:pStyle w:val="null3"/>
              <w:ind w:right="30" w:firstLine="440"/>
              <w:jc w:val="left"/>
            </w:pPr>
            <w:r>
              <w:rPr>
                <w:rFonts w:ascii="仿宋_GB2312" w:hAnsi="仿宋_GB2312" w:cs="仿宋_GB2312" w:eastAsia="仿宋_GB2312"/>
                <w:sz w:val="21"/>
              </w:rPr>
              <w:t>2.规范管理员工档案，确保资料完整可追溯。</w:t>
            </w:r>
          </w:p>
          <w:p>
            <w:pPr>
              <w:pStyle w:val="null3"/>
              <w:ind w:right="30" w:firstLine="440"/>
              <w:jc w:val="left"/>
            </w:pPr>
            <w:r>
              <w:rPr>
                <w:rFonts w:ascii="仿宋_GB2312" w:hAnsi="仿宋_GB2312" w:cs="仿宋_GB2312" w:eastAsia="仿宋_GB2312"/>
                <w:sz w:val="21"/>
              </w:rPr>
              <w:t>3.严格执行患者隐私和医院秘密保护制度，杜绝信息泄露风险。</w:t>
            </w:r>
          </w:p>
          <w:p>
            <w:pPr>
              <w:pStyle w:val="null3"/>
              <w:ind w:right="30" w:firstLine="440"/>
              <w:jc w:val="left"/>
            </w:pPr>
            <w:r>
              <w:rPr>
                <w:rFonts w:ascii="仿宋_GB2312" w:hAnsi="仿宋_GB2312" w:cs="仿宋_GB2312" w:eastAsia="仿宋_GB2312"/>
                <w:sz w:val="21"/>
              </w:rPr>
              <w:t>4.承担用工风险主体责任。</w:t>
            </w:r>
          </w:p>
          <w:p>
            <w:pPr>
              <w:pStyle w:val="null3"/>
              <w:ind w:right="30" w:firstLine="440"/>
              <w:jc w:val="left"/>
            </w:pPr>
            <w:r>
              <w:rPr>
                <w:rFonts w:ascii="仿宋_GB2312" w:hAnsi="仿宋_GB2312" w:cs="仿宋_GB2312" w:eastAsia="仿宋_GB2312"/>
                <w:sz w:val="21"/>
              </w:rPr>
              <w:t>5.制定突发事件应急预案，确保医疗纠纷等突发事件标准化处理预案并落实执行。爱护医院建筑，设施设备，如劳务人员造成损失，由投标人承担赔偿。</w:t>
            </w:r>
          </w:p>
          <w:p>
            <w:pPr>
              <w:pStyle w:val="null3"/>
              <w:ind w:right="30" w:firstLine="442"/>
              <w:jc w:val="left"/>
            </w:pPr>
            <w:r>
              <w:rPr>
                <w:rFonts w:ascii="仿宋_GB2312" w:hAnsi="仿宋_GB2312" w:cs="仿宋_GB2312" w:eastAsia="仿宋_GB2312"/>
                <w:sz w:val="21"/>
                <w:b/>
              </w:rPr>
              <w:t>（四）协调与改进义务</w:t>
            </w:r>
          </w:p>
          <w:p>
            <w:pPr>
              <w:pStyle w:val="null3"/>
              <w:ind w:right="30" w:firstLine="440"/>
              <w:jc w:val="left"/>
            </w:pPr>
            <w:r>
              <w:rPr>
                <w:rFonts w:ascii="仿宋_GB2312" w:hAnsi="仿宋_GB2312" w:cs="仿宋_GB2312" w:eastAsia="仿宋_GB2312"/>
                <w:sz w:val="21"/>
              </w:rPr>
              <w:t>1.定期参与医院工作协调会议，及时调整服务策略。</w:t>
            </w:r>
          </w:p>
          <w:p>
            <w:pPr>
              <w:pStyle w:val="null3"/>
              <w:ind w:right="30" w:firstLine="440"/>
              <w:jc w:val="left"/>
            </w:pPr>
            <w:r>
              <w:rPr>
                <w:rFonts w:ascii="仿宋_GB2312" w:hAnsi="仿宋_GB2312" w:cs="仿宋_GB2312" w:eastAsia="仿宋_GB2312"/>
                <w:sz w:val="21"/>
              </w:rPr>
              <w:t>2.配合医院新政策、新流程实施，主动优化服务模式。</w:t>
            </w:r>
          </w:p>
          <w:p>
            <w:pPr>
              <w:pStyle w:val="null3"/>
              <w:ind w:right="30" w:firstLine="440"/>
              <w:jc w:val="left"/>
            </w:pPr>
            <w:r>
              <w:rPr>
                <w:rFonts w:ascii="仿宋_GB2312" w:hAnsi="仿宋_GB2312" w:cs="仿宋_GB2312" w:eastAsia="仿宋_GB2312"/>
                <w:sz w:val="21"/>
              </w:rPr>
              <w:t>3.对医院提出的整改要求限期落实，并反馈改进结果。</w:t>
            </w:r>
          </w:p>
          <w:p>
            <w:pPr>
              <w:pStyle w:val="null3"/>
              <w:ind w:right="30" w:firstLine="440"/>
              <w:jc w:val="left"/>
            </w:pPr>
            <w:r>
              <w:rPr>
                <w:rFonts w:ascii="仿宋_GB2312" w:hAnsi="仿宋_GB2312" w:cs="仿宋_GB2312" w:eastAsia="仿宋_GB2312"/>
                <w:sz w:val="21"/>
              </w:rPr>
              <w:t>4.探索服务创新方案，提升患者就诊体验。</w:t>
            </w:r>
          </w:p>
          <w:p>
            <w:pPr>
              <w:pStyle w:val="null3"/>
              <w:ind w:right="30"/>
              <w:jc w:val="left"/>
            </w:pPr>
            <w:r>
              <w:rPr>
                <w:rFonts w:ascii="仿宋_GB2312" w:hAnsi="仿宋_GB2312" w:cs="仿宋_GB2312" w:eastAsia="仿宋_GB2312"/>
                <w:sz w:val="21"/>
                <w:b/>
              </w:rPr>
              <w:t>三、服务期限：</w:t>
            </w:r>
            <w:r>
              <w:rPr>
                <w:rFonts w:ascii="仿宋_GB2312" w:hAnsi="仿宋_GB2312" w:cs="仿宋_GB2312" w:eastAsia="仿宋_GB2312"/>
                <w:sz w:val="21"/>
              </w:rPr>
              <w:t>自合同签订之日起1年。</w:t>
            </w:r>
          </w:p>
          <w:p>
            <w:pPr>
              <w:pStyle w:val="null3"/>
            </w:pPr>
            <w:r>
              <w:rPr>
                <w:rFonts w:ascii="仿宋_GB2312" w:hAnsi="仿宋_GB2312" w:cs="仿宋_GB2312" w:eastAsia="仿宋_GB2312"/>
                <w:sz w:val="21"/>
                <w:b/>
              </w:rPr>
              <w:t>四、付款方式：</w:t>
            </w:r>
            <w:r>
              <w:rPr>
                <w:rFonts w:ascii="仿宋_GB2312" w:hAnsi="仿宋_GB2312" w:cs="仿宋_GB2312" w:eastAsia="仿宋_GB2312"/>
                <w:sz w:val="21"/>
              </w:rPr>
              <w:t>采购人每月根据考核情况按实际在岗人数据实结算。每月结束后，供应商需向采购人提供:加盖公章的《结算确认单》和劳务人员当月考勤记录及工资明细清单;合法有效开具相应金额的发票；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（一）由采购人实施验收。 （二）验收依据：验收须以合同、磋商文件、响应文件、澄清及国家相应的标准、规范等为依据。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预付款，采购人每月根据考核情况按实际在岗人数据实结算。每月结束后，供应商需向采购人提供:加盖公章的《结算确认单》和劳务人员当月考勤记录及工资明细清单;合法有效开具相应金额的发票； 第一次付款，达到付款条件起10个工作日内，支付合同总金额的8.3%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进度款，第二次付款，，达到付款条件起10个工作日内，支付合同总金额的8.3%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进度款，第三次付款，，达到付款条件起10个工作日内，支付合同总金额的8.3%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进度款，第四次付款，，达到付款条件起10个工作日内，支付合同总金额的8.3%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进度款，第五次付款，，达到付款条件起10个工作日内，支付合同总金额的8.3%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进度款，第六次付款，，达到付款条件起10个工作日内，支付合同总金额的8.3%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进度款，第七次付款，，达到付款条件起10个工作日内，支付合同总金额的8.3%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进度款，第八次付款，，达到付款条件起10个工作日内，支付合同总金额的8.3%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进度款，第九次付款，，达到付款条件起10个工作日内，支付合同总金额的8.3%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进度款，第十次付款，，达到付款条件起10个工作日内，支付合同总金额的8.3%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进度款，第十一次付款，，达到付款条件起10个工作日内，支付合同总金额的8.3%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进度款，第十二次付款，，达到付款条件起10个工作日内，支付合同总金额的8.7%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结算方式： 结算方式： （一）采购人每月根据考核情况按实际在岗人数据实结算。每月结束后，供应商需向采购人提供:加盖公章的《结算确认单》和劳务人员当月考勤记录及工资明细清单;合法有效开具相应金额的发票； （二）采购人在收到完整结算材料后，应于 日内向供应商支付上月费用(遇节假日顺延);供应商收到采购人款项后，须于 日内将劳务人员工资足额发放至其指定银行账户，并提供工资发放回执凭证。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1.提供合格有效的法人或者其他组织的营业执照等证明文件，自然人的身份证明；供应商是法人或其他组织的应提供营业执照等证明文件，供应商是自然人的应提供有效的自然人身份证明。 2.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谈判响应文件截止时间不足一年的可提供成立后任意时段的资产负债表）】或【财政部门认可的政府采购专业担保机构出具的担保函】或【在磋商截止日期前三个月内其基本开户银行出具的资信证明（附开户许可证或开户备案证明或基本存款账户信息）】,以上形式的证明资料提供任何一种即可； 3.提供具有履行合同所必需的设备和专业技术能力的承诺； 4.税收缴纳证明：提供递交响应文件截止之日前一年内任意一个月的依法缴纳税收的完税证明，完税证明应有税务机关或代收机关的公章或业务专用章。依法免税或无须缴纳税收的供应商，应提供相应证明文件； 5.社会保障资金缴纳证明：提供投标文件递交截止日前一年内已缴存的至少一个月的社会保障资金缴存单据或社保机构开具的 社会保险参保缴费情况证明，依法不需要缴纳社会保障资金的单位应提供相关证明材料； 6.参加采购活动前3年内，在经营活动中没有重大违法记录的书面声明。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谈判响应文件截止时间不足一年的可提供成立后任意时段的资产负债表）】或【财政部门认可的政府采购专业担保机构出具的担保函】或【在磋商截止日期前三个月内其基本开户银行出具的资信证明（附开户许可证或开户备案证明或基本存款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法定代表人授权书（附法定代表人、被授权人身份证复印件及被授权人磋商截止日前一年内在本单位已缴存的至少一个月的社会保障资金凭证）；法定代表人直接参加磋商，须提供法定代表人身份证明。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供应商未被“信用中国”网站列入失信被执行人和重大税收违法失信主体，未被中国政府采购 网列入政府采购严重违法失信行为记录名单(处罚期限届满的除外)（以现场信用记录查询结果为准）。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具备有效期内的《人力资源服务许可证》及《劳务派遣经营许可证》。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供应商应提交的相关业绩证明材料.docx 中小企业声明函 服务内容及服务要求应答表 报价表 供应商承诺书.docx 资格证明文件.docx 响应文件封面 分项报价表.docx 本项目拟投入人员汇总表.docx 残疾人福利性单位声明函 服务方案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供应商应提交的相关业绩证明材料.docx 中小企业声明函 服务内容及服务要求应答表 报价表 供应商承诺书.docx 资格证明文件.docx 响应文件封面 分项报价表.docx 本项目拟投入人员汇总表.docx 残疾人福利性单位声明函 服务方案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符合“响应文件格式”的规定</w:t>
            </w:r>
          </w:p>
        </w:tc>
        <w:tc>
          <w:tcPr>
            <w:tcW w:type="dxa" w:w="1661"/>
          </w:tcPr>
          <w:p>
            <w:pPr>
              <w:pStyle w:val="null3"/>
            </w:pPr>
            <w:r>
              <w:rPr>
                <w:rFonts w:ascii="仿宋_GB2312" w:hAnsi="仿宋_GB2312" w:cs="仿宋_GB2312" w:eastAsia="仿宋_GB2312"/>
              </w:rPr>
              <w:t>供应商应提交的相关业绩证明材料.docx 中小企业声明函 服务内容及服务要求应答表 报价表 供应商承诺书.docx 资格证明文件.docx 响应文件封面 分项报价表.docx 本项目拟投入人员汇总表.docx 残疾人福利性单位声明函 服务方案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供应商应提交的相关业绩证明材料.docx 中小企业声明函 服务内容及服务要求应答表 报价表 供应商承诺书.docx 资格证明文件.docx 响应文件封面 分项报价表.docx 本项目拟投入人员汇总表.docx 残疾人福利性单位声明函 服务方案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服务期限（合同履行期限）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供应商应提交的相关业绩证明材料.docx 中小企业声明函 服务内容及服务要求应答表 报价表 供应商承诺书.docx 资格证明文件.docx 响应文件封面 分项报价表.docx 本项目拟投入人员汇总表.docx 残疾人福利性单位声明函 服务方案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供应商应提交的相关业绩证明材料.docx 中小企业声明函 服务内容及服务要求应答表 报价表 供应商承诺书.docx 资格证明文件.docx 响应文件封面 分项报价表.docx 本项目拟投入人员汇总表.docx 残疾人福利性单位声明函 服务方案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供应商应提交的相关业绩证明材料.docx 中小企业声明函 服务内容及服务要求应答表 报价表 供应商承诺书.docx 资格证明文件.docx 响应文件封面 分项报价表.docx 本项目拟投入人员汇总表.docx 残疾人福利性单位声明函 服务方案 标的清单 其他资料.docx 响应函 商务条款偏离表.docx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招聘及人员资质管控方案</w:t>
            </w:r>
          </w:p>
        </w:tc>
        <w:tc>
          <w:tcPr>
            <w:tcW w:type="dxa" w:w="2492"/>
          </w:tcPr>
          <w:p>
            <w:pPr>
              <w:pStyle w:val="null3"/>
            </w:pPr>
            <w:r>
              <w:rPr>
                <w:rFonts w:ascii="仿宋_GB2312" w:hAnsi="仿宋_GB2312" w:cs="仿宋_GB2312" w:eastAsia="仿宋_GB2312"/>
              </w:rPr>
              <w:t>方案完整覆盖①岗位画像搭建；②分层笔试面试体系③人员资质背调全流程，所有环节细节完全匹配采购人岗位特性； 内容全面详细、阐述条理清晰详尽、符合本项目采购需求，能有效保障本项目实施的得9分；每有一个缺项扣3分；每有一项内容存在缺陷，扣（0-3）分。未提供不得分。 备注:缺陷是指：非专门针对本项目或不适用项目特性的情形、内容不完整或缺少关键节点、套用其他项目方案、内容前后矛盾、涉及的规范及标准错误、不利于项目实施、不可能实现的情形等任意一种情形。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全流程人事事务执行方案</w:t>
            </w:r>
          </w:p>
        </w:tc>
        <w:tc>
          <w:tcPr>
            <w:tcW w:type="dxa" w:w="2492"/>
          </w:tcPr>
          <w:p>
            <w:pPr>
              <w:pStyle w:val="null3"/>
            </w:pPr>
            <w:r>
              <w:rPr>
                <w:rFonts w:ascii="仿宋_GB2312" w:hAnsi="仿宋_GB2312" w:cs="仿宋_GB2312" w:eastAsia="仿宋_GB2312"/>
              </w:rPr>
              <w:t>①方案完整覆盖岗前培训；②薪酬社保个税合规办理；③考勤绩效档案全模块管理； 各环节执行细则明确可落地，同步建立全流程劳动纠纷兜底处置机制，覆盖纠纷预判、调解、仲裁诉讼全节点责任划分，完全匹配采购人人事管理需求，得9分。每有一个缺项扣3分；每有一项内容存在缺陷，扣（0-3）分。未提供不得分。 备注:缺陷是指：非专门针对本项目或不适用项目特性的情形、内容不完整或缺少关键节点、套用其他项目方案、内容前后矛盾、涉及的规范及标准错误、不利于项目实施、不可能实现的情形等任意一种情形。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风险防控及合规保障方案</w:t>
            </w:r>
          </w:p>
        </w:tc>
        <w:tc>
          <w:tcPr>
            <w:tcW w:type="dxa" w:w="2492"/>
          </w:tcPr>
          <w:p>
            <w:pPr>
              <w:pStyle w:val="null3"/>
            </w:pPr>
            <w:r>
              <w:rPr>
                <w:rFonts w:ascii="仿宋_GB2312" w:hAnsi="仿宋_GB2312" w:cs="仿宋_GB2312" w:eastAsia="仿宋_GB2312"/>
              </w:rPr>
              <w:t>方案明确覆盖劳动用工全流程合规校验机制①劳动合同签署；②薪酬社保缴纳；③离职手续办理全节点设置合规校验标准④同步建立国家及地方劳动政策动态更新同步机制，可实现用工风险前置排查，完全规避常规用工合规隐患，匹配采购人人事管理全流程需求，得12分。每有一个缺项扣3分；每有一项内容存在缺陷，扣（0-3）分。未提供不得分。 备注:缺陷是指：非专门针对本项目或不适用项目特性的情形、内容不完整或缺少关键节点、套用其他项目方案、内容前后矛盾、涉及的规范及标准错误、不利于项目实施、不可能实现的情形等任意一种情形。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针对本项目提供具体可行的应急方案，包括但不限于①发生事故时的应急方案；②劳务纠纷；③工伤处置预案。 方案必须全面，对评审内容中的各项要求有详细阐述，切合本项目实际情况，提出步骤清晰、合理的方案；够紧扣项目实际情况，内容科学合理。得9分。每有一个缺项扣3分；每有一项内容存在缺陷，扣（0-3）分。未提供不得分。 备注:缺陷是指：非专门针对本项目或不适用项目特性的情形、内容不完整或缺少关键节点、套用其他项目方案、内容前后矛盾、涉及的规范及标准错误、不利于项目实施、不可能实现的情形等任意一种情形。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服务团队配置</w:t>
            </w:r>
          </w:p>
        </w:tc>
        <w:tc>
          <w:tcPr>
            <w:tcW w:type="dxa" w:w="2492"/>
          </w:tcPr>
          <w:p>
            <w:pPr>
              <w:pStyle w:val="null3"/>
            </w:pPr>
            <w:r>
              <w:rPr>
                <w:rFonts w:ascii="仿宋_GB2312" w:hAnsi="仿宋_GB2312" w:cs="仿宋_GB2312" w:eastAsia="仿宋_GB2312"/>
              </w:rPr>
              <w:t>1、项目管理人员：至少有大学专科及以上学历，并且具有三年以上类似业绩工作经验的得5分。 2、项目专属团队（项目管理人员除外）配置不少于5人，其中持有人力资源管理师二级及以上证书人员不少于3人得5分；在满足基础要求的前提下，额外配置1名持证人员得2分，累计最高加6分。提供人员磋商截止时间前半年内至少一个月社保或劳动合同，未提供或提供材料不全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本项目拟投入人员汇总表.docx</w:t>
            </w:r>
          </w:p>
        </w:tc>
      </w:tr>
      <w:tr>
        <w:tc>
          <w:tcPr>
            <w:tcW w:type="dxa" w:w="831"/>
            <w:vMerge/>
          </w:tcPr>
          <w:p/>
        </w:tc>
        <w:tc>
          <w:tcPr>
            <w:tcW w:type="dxa" w:w="1661"/>
          </w:tcPr>
          <w:p>
            <w:pPr>
              <w:pStyle w:val="null3"/>
            </w:pPr>
            <w:r>
              <w:rPr>
                <w:rFonts w:ascii="仿宋_GB2312" w:hAnsi="仿宋_GB2312" w:cs="仿宋_GB2312" w:eastAsia="仿宋_GB2312"/>
              </w:rPr>
              <w:t>服务响应时效</w:t>
            </w:r>
          </w:p>
        </w:tc>
        <w:tc>
          <w:tcPr>
            <w:tcW w:type="dxa" w:w="2492"/>
          </w:tcPr>
          <w:p>
            <w:pPr>
              <w:pStyle w:val="null3"/>
            </w:pPr>
            <w:r>
              <w:rPr>
                <w:rFonts w:ascii="仿宋_GB2312" w:hAnsi="仿宋_GB2312" w:cs="仿宋_GB2312" w:eastAsia="仿宋_GB2312"/>
              </w:rPr>
              <w:t>1、承诺人事常规事项2小时内响应+紧急事项30分钟内到场，得9分； 2、承诺人事常规事项3小时内响应+紧急事项1小时内到场，得7分； 3、仅承诺常规事项4小时内响应，得4.5分； 4、常规事项响应时效超过4小时的，得4.5分。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承诺至少包含以下 1、完全接受采购人的全流程监督与考核，建立常态化机制保障服务质量； 2、配套专项人员稳定保障方案，核心服务团队未经采购人许可不随意更换，确保服务连续性。 3、承诺全程接受采购人监督考核，若对采购人派驻人员不满意将及时更换。 每承诺一条得2分，最高6分。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6月1日至今（以合同签订时间为准），供应商提供同类项目业绩。需提供合同关键页（包括但不限于首页、内容页、金额页、盖章等）复印件并加盖供应商公章，每提供1份得3分，最多得15分。未提供或提供材料不全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价格评分将在合格投标人范围内进行，满足采购文件要求且投标价格最低的投标报价为评标基准价，评标基准价为满分。投标人的价格分统一按照下列公式计算： 投标报价得分=（评标基准价/投标报价）×15%×100； 注：以上计算结果小数点后保留两位小数，第三位四舍五入。</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详见附件：本项目拟投入人员汇总表.docx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详见附件：供应商应提交的相关业绩证明材料.docx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