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版本号：LDZB-26026220260630001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三原县嵯峨镇大盘村等7村市级占补平衡补充耕地项目施工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LDZB-260262</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三原县嵯峨镇大盘村等7村市级占补平衡补充耕地项目施工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LDZB-260262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三原县嵯峨镇大盘村等7村市级占补平衡补充耕地项目施工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三原县嵯峨镇大盘村、屈家村、嵯峨村、冯村、洪水村、天井岸村、杨杜村。项目建设规模面积44.6411公顷(669.62亩)，预计新增耕地面积36.0467公顷(540.70亩)。建设内容包括土地平整工程和其他工程。本项目分为2个采购包，具体内容详见采购需求、竞争性磋商文件、工程量清单等文件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采购包1（三原县嵯峨镇大盘村等7村市级占补平衡补充耕地项目施工（一标段））：属于专门面向中小企业采购。</w:t>
      </w:r>
    </w:p>
    <w:p>
      <w:pPr>
        <w:pStyle w:val="null3"/>
      </w:pPr>
      <w:r>
        <w:rPr>
          <w:rFonts w:ascii="仿宋_GB2312" w:hAnsi="仿宋_GB2312" w:cs="仿宋_GB2312" w:eastAsia="仿宋_GB2312"/>
        </w:rPr>
        <w:t>采购包2（三原县嵯峨镇大盘村等7村市级占补平衡补充耕地项目施工（二标段））：属于专门面向中小企业采购。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1、企业资质要求：供应商具有建设行政主管部门颁发的水利水电工程施工总承包三级及以上资质，并具有有效的安全生产许可证。</w:t>
      </w:r>
    </w:p>
    <w:p>
      <w:pPr>
        <w:pStyle w:val="null3"/>
      </w:pPr>
      <w:r>
        <w:rPr>
          <w:rFonts w:ascii="仿宋_GB2312" w:hAnsi="仿宋_GB2312" w:cs="仿宋_GB2312" w:eastAsia="仿宋_GB2312"/>
        </w:rPr>
        <w:t>2、项目经理要求：供应商拟派项目经理具备水利水电工程专业二级及以上注册建造师执业资格，同时具备有效的安全生产考核合格证书，在本单位注册且无在建工程。</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1、企业资质要求：供应商具有建设行政主管部门颁发的水利水电工程施工总承包三级及以上资质，并具有有效的安全生产许可证。</w:t>
      </w:r>
    </w:p>
    <w:p>
      <w:pPr>
        <w:pStyle w:val="null3"/>
      </w:pPr>
      <w:r>
        <w:rPr>
          <w:rFonts w:ascii="仿宋_GB2312" w:hAnsi="仿宋_GB2312" w:cs="仿宋_GB2312" w:eastAsia="仿宋_GB2312"/>
        </w:rPr>
        <w:t>2、项目经理要求：供应商拟派项目经理具备水利水电工程专业二级及以上注册建造师执业资格，同时具备有效的安全生产考核合格证书，在本单位注册且无在建工程。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029-32282448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采购包1：1,299,751.74元</w:t>
            </w:r>
          </w:p>
          <w:p>
            <w:pPr>
              <w:pStyle w:val="null3"/>
            </w:pPr>
            <w:r>
              <w:rPr>
                <w:rFonts w:ascii="仿宋_GB2312" w:hAnsi="仿宋_GB2312" w:cs="仿宋_GB2312" w:eastAsia="仿宋_GB2312"/>
              </w:rPr>
              <w:t>采购包2：1,567,831.21元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开户名称：立德项目咨询集团（陕西）有限公司</w:t>
            </w:r>
          </w:p>
          <w:p>
            <w:pPr>
              <w:pStyle w:val="null3"/>
            </w:pPr>
            <w:r>
              <w:rPr>
                <w:rFonts w:ascii="仿宋_GB2312" w:hAnsi="仿宋_GB2312" w:cs="仿宋_GB2312" w:eastAsia="仿宋_GB2312"/>
              </w:rPr>
              <w:t>开户银行：招商银行股份有限公司西安文景路支行</w:t>
            </w:r>
          </w:p>
          <w:p>
            <w:pPr>
              <w:pStyle w:val="null3"/>
            </w:pPr>
            <w:r>
              <w:rPr>
                <w:rFonts w:ascii="仿宋_GB2312" w:hAnsi="仿宋_GB2312" w:cs="仿宋_GB2312" w:eastAsia="仿宋_GB2312"/>
              </w:rPr>
              <w:t>银行账号：129916526210111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代理服务费收费标准：参照原国家计委颁发的《招标代理服务收费管理暂行办法》（计价格[2002]1980号）和国家发改委办公厅颁发的《关于招标代理服务收费有关问题的通知》（发改办价格[2003] 857号）的标准执行。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省市耕地占补平衡、土地开发整理、农田建设相关规范、招标文件技术标准、中标承诺施工，工程质量合格，耕地等级、面积、地力指标达到自然资源部门验收标准，确保项目顺利通过县级、市级耕地占补平衡专项验收及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国家、省市耕地占补平衡、土地开发整理、农田建设相关规范、招标文件技术标准、中标承诺施工，工程质量合格，耕地等级、面积、地力指标达到自然资源部门验收标准，确保项目顺利通过县级、市级耕地占补平衡专项验收及备案。</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地址：陕西省西安市浐灞生态区欧亚大道777号浐灞自贸中心E座803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1,299,751.74</w:t>
      </w:r>
    </w:p>
    <w:p>
      <w:pPr>
        <w:pStyle w:val="null3"/>
      </w:pPr>
      <w:r>
        <w:rPr>
          <w:rFonts w:ascii="仿宋_GB2312" w:hAnsi="仿宋_GB2312" w:cs="仿宋_GB2312" w:eastAsia="仿宋_GB2312"/>
        </w:rPr>
        <w:t>采购包最高限价（元）: 1,299,751.74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三原县嵯峨镇大盘村等7村市级占补平衡补充耕地项目施工（一标段）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1,299,751.74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1,567,831.21</w:t>
      </w:r>
    </w:p>
    <w:p>
      <w:pPr>
        <w:pStyle w:val="null3"/>
      </w:pPr>
      <w:r>
        <w:rPr>
          <w:rFonts w:ascii="仿宋_GB2312" w:hAnsi="仿宋_GB2312" w:cs="仿宋_GB2312" w:eastAsia="仿宋_GB2312"/>
        </w:rPr>
        <w:t>采购包最高限价（元）: 1,567,831.21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三原县嵯峨镇大盘村等7村市级占补平衡补充耕地项目施工（二标段）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1,567,831.21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标的名称：三原县嵯峨镇大盘村等7村市级占补平衡补充耕地项目施工（一标段）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B0F0"/>
              </w:rPr>
              <w:t>一、</w:t>
            </w:r>
            <w:r>
              <w:rPr>
                <w:rFonts w:ascii="仿宋_GB2312" w:hAnsi="仿宋_GB2312" w:cs="仿宋_GB2312" w:eastAsia="仿宋_GB2312"/>
                <w:sz w:val="21"/>
                <w:b/>
                <w:color w:val="00B0F0"/>
              </w:rPr>
              <w:t>建设</w:t>
            </w:r>
            <w:r>
              <w:rPr>
                <w:rFonts w:ascii="仿宋_GB2312" w:hAnsi="仿宋_GB2312" w:cs="仿宋_GB2312" w:eastAsia="仿宋_GB2312"/>
                <w:sz w:val="21"/>
                <w:b/>
                <w:color w:val="00B0F0"/>
              </w:rPr>
              <w:t>内容</w:t>
            </w:r>
          </w:p>
          <w:p>
            <w:pPr>
              <w:pStyle w:val="null3"/>
              <w:ind w:firstLine="420"/>
              <w:jc w:val="both"/>
            </w:pPr>
            <w:r>
              <w:rPr>
                <w:rFonts w:ascii="仿宋_GB2312" w:hAnsi="仿宋_GB2312" w:cs="仿宋_GB2312" w:eastAsia="仿宋_GB2312"/>
                <w:color w:val="00B0F0"/>
              </w:rPr>
              <w:t>建设内容包括土地平整工程和其他工程。</w:t>
            </w:r>
          </w:p>
          <w:p>
            <w:pPr>
              <w:pStyle w:val="null3"/>
              <w:ind w:firstLine="420"/>
              <w:jc w:val="both"/>
            </w:pPr>
            <w:r>
              <w:rPr>
                <w:rFonts w:ascii="仿宋_GB2312" w:hAnsi="仿宋_GB2312" w:cs="仿宋_GB2312" w:eastAsia="仿宋_GB2312"/>
                <w:color w:val="00B0F0"/>
              </w:rPr>
              <w:t>采购预算：</w:t>
            </w:r>
            <w:r>
              <w:rPr>
                <w:rFonts w:ascii="仿宋_GB2312" w:hAnsi="仿宋_GB2312" w:cs="仿宋_GB2312" w:eastAsia="仿宋_GB2312"/>
                <w:color w:val="00B0F0"/>
              </w:rPr>
              <w:t>1299751.74元</w:t>
            </w:r>
          </w:p>
          <w:p>
            <w:pPr>
              <w:pStyle w:val="null3"/>
              <w:ind w:firstLine="420"/>
              <w:jc w:val="both"/>
            </w:pPr>
            <w:r>
              <w:rPr>
                <w:rFonts w:ascii="仿宋_GB2312" w:hAnsi="仿宋_GB2312" w:cs="仿宋_GB2312" w:eastAsia="仿宋_GB2312"/>
                <w:color w:val="00B0F0"/>
              </w:rPr>
              <w:t>最高限价：</w:t>
            </w:r>
            <w:r>
              <w:rPr>
                <w:rFonts w:ascii="仿宋_GB2312" w:hAnsi="仿宋_GB2312" w:cs="仿宋_GB2312" w:eastAsia="仿宋_GB2312"/>
                <w:color w:val="00B0F0"/>
              </w:rPr>
              <w:t>1299751.74元。</w:t>
            </w:r>
          </w:p>
          <w:p>
            <w:pPr>
              <w:pStyle w:val="null3"/>
              <w:ind w:firstLine="422"/>
              <w:jc w:val="both"/>
            </w:pPr>
            <w:r>
              <w:rPr>
                <w:rFonts w:ascii="仿宋_GB2312" w:hAnsi="仿宋_GB2312" w:cs="仿宋_GB2312" w:eastAsia="仿宋_GB2312"/>
                <w:sz w:val="21"/>
                <w:b/>
                <w:color w:val="00B0F0"/>
              </w:rPr>
              <w:t>二、</w:t>
            </w:r>
            <w:r>
              <w:rPr>
                <w:rFonts w:ascii="仿宋_GB2312" w:hAnsi="仿宋_GB2312" w:cs="仿宋_GB2312" w:eastAsia="仿宋_GB2312"/>
                <w:sz w:val="21"/>
                <w:b/>
                <w:color w:val="00B0F0"/>
              </w:rPr>
              <w:t>工期要求：自合同签订之日起</w:t>
            </w:r>
            <w:r>
              <w:rPr>
                <w:rFonts w:ascii="仿宋_GB2312" w:hAnsi="仿宋_GB2312" w:cs="仿宋_GB2312" w:eastAsia="仿宋_GB2312"/>
                <w:sz w:val="21"/>
                <w:b/>
                <w:color w:val="00B0F0"/>
              </w:rPr>
              <w:t>90</w:t>
            </w:r>
            <w:r>
              <w:rPr>
                <w:rFonts w:ascii="仿宋_GB2312" w:hAnsi="仿宋_GB2312" w:cs="仿宋_GB2312" w:eastAsia="仿宋_GB2312"/>
                <w:sz w:val="21"/>
                <w:b/>
                <w:color w:val="00B0F0"/>
              </w:rPr>
              <w:t>天内完成。</w:t>
            </w:r>
          </w:p>
          <w:p>
            <w:pPr>
              <w:pStyle w:val="null3"/>
              <w:ind w:firstLine="422"/>
              <w:jc w:val="both"/>
            </w:pPr>
            <w:r>
              <w:rPr>
                <w:rFonts w:ascii="仿宋_GB2312" w:hAnsi="仿宋_GB2312" w:cs="仿宋_GB2312" w:eastAsia="仿宋_GB2312"/>
                <w:sz w:val="21"/>
                <w:b/>
                <w:color w:val="00B0F0"/>
              </w:rPr>
              <w:t>三、质量要求：达到国家现行施工验收规范</w:t>
            </w:r>
            <w:r>
              <w:rPr>
                <w:rFonts w:ascii="仿宋_GB2312" w:hAnsi="仿宋_GB2312" w:cs="仿宋_GB2312" w:eastAsia="仿宋_GB2312"/>
                <w:sz w:val="21"/>
                <w:b/>
                <w:color w:val="00B0F0"/>
              </w:rPr>
              <w:t>“合格”标准。</w:t>
            </w:r>
          </w:p>
          <w:p>
            <w:pPr>
              <w:pStyle w:val="null3"/>
              <w:ind w:firstLine="420"/>
              <w:jc w:val="both"/>
            </w:pPr>
            <w:r>
              <w:rPr>
                <w:rFonts w:ascii="仿宋_GB2312" w:hAnsi="仿宋_GB2312" w:cs="仿宋_GB2312" w:eastAsia="仿宋_GB2312"/>
                <w:sz w:val="21"/>
                <w:b/>
                <w:color w:val="00B0F0"/>
              </w:rPr>
              <w:t>四</w:t>
            </w:r>
            <w:r>
              <w:rPr>
                <w:rFonts w:ascii="仿宋_GB2312" w:hAnsi="仿宋_GB2312" w:cs="仿宋_GB2312" w:eastAsia="仿宋_GB2312"/>
                <w:sz w:val="21"/>
                <w:color w:val="00B0F0"/>
              </w:rPr>
              <w:t>、</w:t>
            </w:r>
            <w:r>
              <w:rPr>
                <w:rFonts w:ascii="仿宋_GB2312" w:hAnsi="仿宋_GB2312" w:cs="仿宋_GB2312" w:eastAsia="仿宋_GB2312"/>
                <w:b/>
                <w:color w:val="00B0F0"/>
              </w:rPr>
              <w:t>技术要求</w:t>
            </w:r>
          </w:p>
          <w:p>
            <w:pPr>
              <w:pStyle w:val="null3"/>
              <w:ind w:firstLine="420"/>
              <w:jc w:val="both"/>
            </w:pPr>
            <w:r>
              <w:rPr>
                <w:rFonts w:ascii="仿宋_GB2312" w:hAnsi="仿宋_GB2312" w:cs="仿宋_GB2312" w:eastAsia="仿宋_GB2312"/>
                <w:sz w:val="21"/>
                <w:color w:val="00B0F0"/>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ind w:firstLine="420"/>
              <w:jc w:val="both"/>
            </w:pPr>
            <w:r>
              <w:rPr>
                <w:rFonts w:ascii="仿宋_GB2312" w:hAnsi="仿宋_GB2312" w:cs="仿宋_GB2312" w:eastAsia="仿宋_GB2312"/>
                <w:sz w:val="21"/>
                <w:color w:val="00B0F0"/>
              </w:rPr>
              <w:t>承包人在施工过程中使用或参考上述标准、规范以外的技术标准、规范时，应征得业主或业主指定代表人的同意。</w:t>
            </w:r>
          </w:p>
          <w:p>
            <w:pPr>
              <w:pStyle w:val="null3"/>
              <w:ind w:firstLine="420"/>
              <w:jc w:val="both"/>
            </w:pPr>
            <w:r>
              <w:rPr>
                <w:rFonts w:ascii="仿宋_GB2312" w:hAnsi="仿宋_GB2312" w:cs="仿宋_GB2312" w:eastAsia="仿宋_GB2312"/>
                <w:sz w:val="21"/>
                <w:color w:val="00B0F0"/>
              </w:rPr>
              <w:t>在施工过程中，如果国家或有关部门颁布了新的技术标准或规范，则承包人应采用新的标准或规范进行施工。</w:t>
            </w:r>
          </w:p>
          <w:p>
            <w:pPr>
              <w:pStyle w:val="null3"/>
              <w:ind w:firstLine="422"/>
              <w:jc w:val="both"/>
            </w:pPr>
            <w:r>
              <w:rPr>
                <w:rFonts w:ascii="仿宋_GB2312" w:hAnsi="仿宋_GB2312" w:cs="仿宋_GB2312" w:eastAsia="仿宋_GB2312"/>
                <w:sz w:val="21"/>
                <w:b/>
                <w:color w:val="00B0F0"/>
              </w:rPr>
              <w:t>四、</w:t>
            </w:r>
            <w:r>
              <w:rPr>
                <w:rFonts w:ascii="仿宋_GB2312" w:hAnsi="仿宋_GB2312" w:cs="仿宋_GB2312" w:eastAsia="仿宋_GB2312"/>
                <w:sz w:val="21"/>
                <w:b/>
                <w:color w:val="00B0F0"/>
              </w:rPr>
              <w:t>工程量清单</w:t>
            </w:r>
          </w:p>
          <w:p>
            <w:pPr>
              <w:pStyle w:val="null3"/>
              <w:ind w:firstLine="420"/>
              <w:jc w:val="both"/>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w:t>
            </w:r>
            <w:r>
              <w:rPr>
                <w:rFonts w:ascii="仿宋_GB2312" w:hAnsi="仿宋_GB2312" w:cs="仿宋_GB2312" w:eastAsia="仿宋_GB2312"/>
                <w:sz w:val="21"/>
                <w:color w:val="00B0F0"/>
              </w:rPr>
              <w:t>嵯</w:t>
            </w:r>
            <w:r>
              <w:rPr>
                <w:rFonts w:ascii="仿宋_GB2312" w:hAnsi="仿宋_GB2312" w:cs="仿宋_GB2312" w:eastAsia="仿宋_GB2312"/>
                <w:sz w:val="21"/>
                <w:color w:val="00B0F0"/>
              </w:rPr>
              <w:t>峨村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1"/>
              <w:gridCol w:w="485"/>
              <w:gridCol w:w="541"/>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8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8268.70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田坎修筑</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298.96</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10151.82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表土回覆</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10151.82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3.5439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5591</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1878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1329.45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7469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3.5439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3.5439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3.5439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53.16</w:t>
                  </w:r>
                </w:p>
              </w:tc>
            </w:tr>
          </w:tbl>
          <w:p>
            <w:pPr>
              <w:pStyle w:val="null3"/>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-冯村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1"/>
              <w:gridCol w:w="485"/>
              <w:gridCol w:w="541"/>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8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18004.00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田坎修筑</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2717.42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18617.62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表土回覆</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18617.62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6.9665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5251</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7676</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4814.35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12927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6.9665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6.9665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6.9665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104.50</w:t>
                  </w:r>
                </w:p>
              </w:tc>
            </w:tr>
          </w:tbl>
          <w:p>
            <w:pPr>
              <w:pStyle w:val="null3"/>
              <w:ind w:firstLine="420"/>
              <w:jc w:val="both"/>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-天井岸村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1"/>
              <w:gridCol w:w="485"/>
              <w:gridCol w:w="541"/>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8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7507.70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田坎修筑</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339.75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7399.98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7399.98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3.7159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9001</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129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291.47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9130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3.7159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3.7159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3.7159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55.74</w:t>
                  </w:r>
                </w:p>
              </w:tc>
            </w:tr>
          </w:tbl>
          <w:p>
            <w:pPr>
              <w:pStyle w:val="null3"/>
              <w:ind w:firstLine="420"/>
              <w:jc w:val="both"/>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-杨杜村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1"/>
              <w:gridCol w:w="485"/>
              <w:gridCol w:w="541"/>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8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2471.40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2056.99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表土回覆</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2056.99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0.7527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1160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2138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1043.22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3298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0.7527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0.7527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0.7527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11.29</w:t>
                  </w:r>
                </w:p>
              </w:tc>
            </w:tr>
          </w:tbl>
          <w:p>
            <w:pPr>
              <w:pStyle w:val="null3"/>
              <w:ind w:firstLine="420"/>
              <w:jc w:val="both"/>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-洪水村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1"/>
              <w:gridCol w:w="485"/>
              <w:gridCol w:w="541"/>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8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1"/>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4132.50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6701.88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表土回覆</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6701.88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2.6299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1724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4602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2538.74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6326</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2.6299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2.6299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2.6299</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39.45</w:t>
                  </w:r>
                </w:p>
              </w:tc>
            </w:tr>
          </w:tbl>
          <w:p>
            <w:pPr>
              <w:pStyle w:val="null3"/>
            </w:pPr>
            <w:r>
              <w:rPr>
                <w:rFonts w:ascii="仿宋_GB2312" w:hAnsi="仿宋_GB2312" w:cs="仿宋_GB2312" w:eastAsia="仿宋_GB2312"/>
                <w:sz w:val="21"/>
                <w:color w:val="00B0F0"/>
              </w:rPr>
              <w:t>注：以上施工内容及工程数量为暂定内容，具体以实地勘测计算为准。</w:t>
            </w:r>
          </w:p>
          <w:p>
            <w:pPr>
              <w:pStyle w:val="null3"/>
              <w:jc w:val="both"/>
            </w:pPr>
            <w:r>
              <w:rPr>
                <w:rFonts w:ascii="仿宋_GB2312" w:hAnsi="仿宋_GB2312" w:cs="仿宋_GB2312" w:eastAsia="仿宋_GB2312"/>
                <w:sz w:val="21"/>
                <w:b/>
                <w:color w:val="00B0F0"/>
              </w:rPr>
              <w:t>五、其他要求</w:t>
            </w:r>
          </w:p>
          <w:p>
            <w:pPr>
              <w:pStyle w:val="null3"/>
            </w:pPr>
            <w:r>
              <w:rPr>
                <w:rFonts w:ascii="仿宋_GB2312" w:hAnsi="仿宋_GB2312" w:cs="仿宋_GB2312" w:eastAsia="仿宋_GB2312"/>
                <w:sz w:val="21"/>
                <w:color w:val="00B0F0"/>
              </w:rPr>
              <w:t>质量保修期：</w:t>
            </w:r>
            <w:r>
              <w:rPr>
                <w:rFonts w:ascii="仿宋_GB2312" w:hAnsi="仿宋_GB2312" w:cs="仿宋_GB2312" w:eastAsia="仿宋_GB2312"/>
                <w:sz w:val="21"/>
                <w:color w:val="00B0F0"/>
              </w:rPr>
              <w:t>12个月，自项目整体竣工验收合格、完成耕地占补平衡备案之日起计算；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标的名称：三原县嵯峨镇大盘村等7村市级占补平衡补充耕地项目施工（二标段）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B0F0"/>
              </w:rPr>
              <w:t>一、</w:t>
            </w:r>
            <w:r>
              <w:rPr>
                <w:rFonts w:ascii="仿宋_GB2312" w:hAnsi="仿宋_GB2312" w:cs="仿宋_GB2312" w:eastAsia="仿宋_GB2312"/>
                <w:sz w:val="21"/>
                <w:b/>
                <w:color w:val="00B0F0"/>
              </w:rPr>
              <w:t>建设</w:t>
            </w:r>
            <w:r>
              <w:rPr>
                <w:rFonts w:ascii="仿宋_GB2312" w:hAnsi="仿宋_GB2312" w:cs="仿宋_GB2312" w:eastAsia="仿宋_GB2312"/>
                <w:sz w:val="21"/>
                <w:b/>
                <w:color w:val="00B0F0"/>
              </w:rPr>
              <w:t>内容</w:t>
            </w:r>
          </w:p>
          <w:p>
            <w:pPr>
              <w:pStyle w:val="null3"/>
              <w:ind w:firstLine="420"/>
              <w:jc w:val="both"/>
            </w:pPr>
            <w:r>
              <w:rPr>
                <w:rFonts w:ascii="仿宋_GB2312" w:hAnsi="仿宋_GB2312" w:cs="仿宋_GB2312" w:eastAsia="仿宋_GB2312"/>
                <w:color w:val="00B0F0"/>
              </w:rPr>
              <w:t>建设内容包括土地平整工程和其他工程。</w:t>
            </w:r>
          </w:p>
          <w:p>
            <w:pPr>
              <w:pStyle w:val="null3"/>
              <w:ind w:firstLine="420"/>
              <w:jc w:val="both"/>
            </w:pPr>
            <w:r>
              <w:rPr>
                <w:rFonts w:ascii="仿宋_GB2312" w:hAnsi="仿宋_GB2312" w:cs="仿宋_GB2312" w:eastAsia="仿宋_GB2312"/>
                <w:color w:val="00B0F0"/>
              </w:rPr>
              <w:t>采购预算：</w:t>
            </w:r>
            <w:r>
              <w:rPr>
                <w:rFonts w:ascii="仿宋_GB2312" w:hAnsi="仿宋_GB2312" w:cs="仿宋_GB2312" w:eastAsia="仿宋_GB2312"/>
                <w:color w:val="00B0F0"/>
              </w:rPr>
              <w:t>1567831.21</w:t>
            </w:r>
            <w:r>
              <w:rPr>
                <w:rFonts w:ascii="仿宋_GB2312" w:hAnsi="仿宋_GB2312" w:cs="仿宋_GB2312" w:eastAsia="仿宋_GB2312"/>
                <w:color w:val="00B0F0"/>
              </w:rPr>
              <w:t>元</w:t>
            </w:r>
          </w:p>
          <w:p>
            <w:pPr>
              <w:pStyle w:val="null3"/>
              <w:ind w:firstLine="420"/>
              <w:jc w:val="both"/>
            </w:pPr>
            <w:r>
              <w:rPr>
                <w:rFonts w:ascii="仿宋_GB2312" w:hAnsi="仿宋_GB2312" w:cs="仿宋_GB2312" w:eastAsia="仿宋_GB2312"/>
                <w:color w:val="00B0F0"/>
              </w:rPr>
              <w:t>最高限价：</w:t>
            </w:r>
            <w:r>
              <w:rPr>
                <w:rFonts w:ascii="仿宋_GB2312" w:hAnsi="仿宋_GB2312" w:cs="仿宋_GB2312" w:eastAsia="仿宋_GB2312"/>
                <w:color w:val="00B0F0"/>
              </w:rPr>
              <w:t>1567831.21</w:t>
            </w:r>
            <w:r>
              <w:rPr>
                <w:rFonts w:ascii="仿宋_GB2312" w:hAnsi="仿宋_GB2312" w:cs="仿宋_GB2312" w:eastAsia="仿宋_GB2312"/>
                <w:color w:val="00B0F0"/>
              </w:rPr>
              <w:t>元。</w:t>
            </w:r>
          </w:p>
          <w:p>
            <w:pPr>
              <w:pStyle w:val="null3"/>
              <w:ind w:firstLine="422"/>
              <w:jc w:val="both"/>
            </w:pPr>
            <w:r>
              <w:rPr>
                <w:rFonts w:ascii="仿宋_GB2312" w:hAnsi="仿宋_GB2312" w:cs="仿宋_GB2312" w:eastAsia="仿宋_GB2312"/>
                <w:sz w:val="21"/>
                <w:b/>
                <w:color w:val="00B0F0"/>
              </w:rPr>
              <w:t>二、</w:t>
            </w:r>
            <w:r>
              <w:rPr>
                <w:rFonts w:ascii="仿宋_GB2312" w:hAnsi="仿宋_GB2312" w:cs="仿宋_GB2312" w:eastAsia="仿宋_GB2312"/>
                <w:sz w:val="21"/>
                <w:b/>
                <w:color w:val="00B0F0"/>
              </w:rPr>
              <w:t>工期要求：自合同签订之日起</w:t>
            </w:r>
            <w:r>
              <w:rPr>
                <w:rFonts w:ascii="仿宋_GB2312" w:hAnsi="仿宋_GB2312" w:cs="仿宋_GB2312" w:eastAsia="仿宋_GB2312"/>
                <w:sz w:val="21"/>
                <w:b/>
                <w:color w:val="00B0F0"/>
              </w:rPr>
              <w:t>90</w:t>
            </w:r>
            <w:r>
              <w:rPr>
                <w:rFonts w:ascii="仿宋_GB2312" w:hAnsi="仿宋_GB2312" w:cs="仿宋_GB2312" w:eastAsia="仿宋_GB2312"/>
                <w:sz w:val="21"/>
                <w:b/>
                <w:color w:val="00B0F0"/>
              </w:rPr>
              <w:t>天内完成。</w:t>
            </w:r>
          </w:p>
          <w:p>
            <w:pPr>
              <w:pStyle w:val="null3"/>
              <w:ind w:firstLine="422"/>
              <w:jc w:val="both"/>
            </w:pPr>
            <w:r>
              <w:rPr>
                <w:rFonts w:ascii="仿宋_GB2312" w:hAnsi="仿宋_GB2312" w:cs="仿宋_GB2312" w:eastAsia="仿宋_GB2312"/>
                <w:sz w:val="21"/>
                <w:b/>
                <w:color w:val="00B0F0"/>
              </w:rPr>
              <w:t>三、质量要求：达到国家现行施工验收规范</w:t>
            </w:r>
            <w:r>
              <w:rPr>
                <w:rFonts w:ascii="仿宋_GB2312" w:hAnsi="仿宋_GB2312" w:cs="仿宋_GB2312" w:eastAsia="仿宋_GB2312"/>
                <w:sz w:val="21"/>
                <w:b/>
                <w:color w:val="00B0F0"/>
              </w:rPr>
              <w:t>“合格”标准。</w:t>
            </w:r>
          </w:p>
          <w:p>
            <w:pPr>
              <w:pStyle w:val="null3"/>
              <w:ind w:firstLine="420"/>
              <w:jc w:val="both"/>
            </w:pPr>
            <w:r>
              <w:rPr>
                <w:rFonts w:ascii="仿宋_GB2312" w:hAnsi="仿宋_GB2312" w:cs="仿宋_GB2312" w:eastAsia="仿宋_GB2312"/>
                <w:sz w:val="21"/>
                <w:b/>
                <w:color w:val="00B0F0"/>
              </w:rPr>
              <w:t>四</w:t>
            </w:r>
            <w:r>
              <w:rPr>
                <w:rFonts w:ascii="仿宋_GB2312" w:hAnsi="仿宋_GB2312" w:cs="仿宋_GB2312" w:eastAsia="仿宋_GB2312"/>
                <w:sz w:val="21"/>
                <w:color w:val="00B0F0"/>
              </w:rPr>
              <w:t>、</w:t>
            </w:r>
            <w:r>
              <w:rPr>
                <w:rFonts w:ascii="仿宋_GB2312" w:hAnsi="仿宋_GB2312" w:cs="仿宋_GB2312" w:eastAsia="仿宋_GB2312"/>
                <w:b/>
                <w:color w:val="00B0F0"/>
              </w:rPr>
              <w:t>技术要求</w:t>
            </w:r>
          </w:p>
          <w:p>
            <w:pPr>
              <w:pStyle w:val="null3"/>
              <w:ind w:firstLine="420"/>
              <w:jc w:val="both"/>
            </w:pPr>
            <w:r>
              <w:rPr>
                <w:rFonts w:ascii="仿宋_GB2312" w:hAnsi="仿宋_GB2312" w:cs="仿宋_GB2312" w:eastAsia="仿宋_GB2312"/>
                <w:sz w:val="21"/>
                <w:color w:val="00B0F0"/>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ind w:firstLine="420"/>
              <w:jc w:val="both"/>
            </w:pPr>
            <w:r>
              <w:rPr>
                <w:rFonts w:ascii="仿宋_GB2312" w:hAnsi="仿宋_GB2312" w:cs="仿宋_GB2312" w:eastAsia="仿宋_GB2312"/>
                <w:sz w:val="21"/>
                <w:color w:val="00B0F0"/>
              </w:rPr>
              <w:t>承包人在施工过程中使用或参考上述标准、规范以外的技术标准、规范时，应征得业主或业主指定代表人的同意。</w:t>
            </w:r>
          </w:p>
          <w:p>
            <w:pPr>
              <w:pStyle w:val="null3"/>
              <w:ind w:firstLine="420"/>
              <w:jc w:val="both"/>
            </w:pPr>
            <w:r>
              <w:rPr>
                <w:rFonts w:ascii="仿宋_GB2312" w:hAnsi="仿宋_GB2312" w:cs="仿宋_GB2312" w:eastAsia="仿宋_GB2312"/>
                <w:sz w:val="21"/>
                <w:color w:val="00B0F0"/>
              </w:rPr>
              <w:t>在施工过程中，如果国家或有关部门颁布了新的技术标准或规范，则承包人应采用新的标准或规范进行施工。</w:t>
            </w:r>
          </w:p>
          <w:p>
            <w:pPr>
              <w:pStyle w:val="null3"/>
              <w:ind w:firstLine="422"/>
              <w:jc w:val="both"/>
            </w:pPr>
            <w:r>
              <w:rPr>
                <w:rFonts w:ascii="仿宋_GB2312" w:hAnsi="仿宋_GB2312" w:cs="仿宋_GB2312" w:eastAsia="仿宋_GB2312"/>
                <w:sz w:val="21"/>
                <w:b/>
                <w:color w:val="00B0F0"/>
              </w:rPr>
              <w:t>四、工程量清单</w:t>
            </w:r>
          </w:p>
          <w:p>
            <w:pPr>
              <w:pStyle w:val="null3"/>
              <w:ind w:firstLine="420"/>
              <w:jc w:val="both"/>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-大盘村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7"/>
              <w:gridCol w:w="491"/>
              <w:gridCol w:w="547"/>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9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7"/>
                  <w:vMerge/>
                  <w:tcBorders>
                    <w:top w:val="single" w:color="000000" w:sz="4"/>
                    <w:left w:val="non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7"/>
                  <w:vMerge/>
                  <w:tcBorders>
                    <w:top w:val="single" w:color="000000" w:sz="4"/>
                    <w:left w:val="non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54939.07</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田坎修筑</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505.53</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32347.93</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表土回覆</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32347.93</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11.3854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6840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18061</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9495.24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24901</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11.3854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11.3854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11.3854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13</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170.78</w:t>
                  </w:r>
                </w:p>
              </w:tc>
            </w:tr>
          </w:tbl>
          <w:p>
            <w:pPr>
              <w:pStyle w:val="null3"/>
              <w:ind w:firstLine="420"/>
              <w:jc w:val="both"/>
            </w:pPr>
            <w:r>
              <w:rPr>
                <w:rFonts w:ascii="仿宋_GB2312" w:hAnsi="仿宋_GB2312" w:cs="仿宋_GB2312" w:eastAsia="仿宋_GB2312"/>
                <w:sz w:val="21"/>
                <w:color w:val="00B0F0"/>
              </w:rPr>
              <w:t>工程量清单</w:t>
            </w:r>
            <w:r>
              <w:rPr>
                <w:rFonts w:ascii="仿宋_GB2312" w:hAnsi="仿宋_GB2312" w:cs="仿宋_GB2312" w:eastAsia="仿宋_GB2312"/>
                <w:sz w:val="21"/>
                <w:color w:val="00B0F0"/>
              </w:rPr>
              <w:t>-屈家村</w:t>
            </w:r>
          </w:p>
          <w:tbl>
            <w:tblPr>
              <w:tblInd w:type="dxa" w:w="90"/>
              <w:tblBorders>
                <w:top w:val="none" w:color="000000" w:sz="4"/>
                <w:left w:val="none" w:color="000000" w:sz="4"/>
                <w:bottom w:val="none" w:color="000000" w:sz="4"/>
                <w:right w:val="none" w:color="000000" w:sz="4"/>
                <w:insideH w:val="none"/>
                <w:insideV w:val="none"/>
              </w:tblBorders>
            </w:tblPr>
            <w:tblGrid>
              <w:gridCol w:w="342"/>
              <w:gridCol w:w="541"/>
              <w:gridCol w:w="1257"/>
              <w:gridCol w:w="491"/>
              <w:gridCol w:w="547"/>
            </w:tblGrid>
            <w:tr>
              <w:tc>
                <w:tcPr>
                  <w:tcW w:type="dxa" w:w="3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序号</w:t>
                  </w:r>
                </w:p>
              </w:tc>
              <w:tc>
                <w:tcPr>
                  <w:tcW w:type="dxa" w:w="54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编号</w:t>
                  </w:r>
                </w:p>
              </w:tc>
              <w:tc>
                <w:tcPr>
                  <w:tcW w:type="dxa" w:w="125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单项名称</w:t>
                  </w:r>
                </w:p>
              </w:tc>
              <w:tc>
                <w:tcPr>
                  <w:tcW w:type="dxa" w:w="49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单位</w:t>
                  </w:r>
                </w:p>
              </w:tc>
              <w:tc>
                <w:tcPr>
                  <w:tcW w:type="dxa" w:w="54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工程量</w:t>
                  </w: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7"/>
                  <w:vMerge/>
                  <w:tcBorders>
                    <w:top w:val="single" w:color="000000" w:sz="4"/>
                    <w:left w:val="non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vMerge/>
                  <w:tcBorders>
                    <w:top w:val="single" w:color="000000" w:sz="4"/>
                    <w:left w:val="none" w:color="000000" w:sz="4"/>
                    <w:bottom w:val="single" w:color="000000" w:sz="4"/>
                    <w:right w:val="single" w:color="000000" w:sz="4"/>
                  </w:tcBorders>
                </w:tcPr>
                <w:p/>
              </w:tc>
              <w:tc>
                <w:tcPr>
                  <w:tcW w:type="dxa" w:w="1257"/>
                  <w:vMerge/>
                  <w:tcBorders>
                    <w:top w:val="single" w:color="000000" w:sz="4"/>
                    <w:left w:val="non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r>
            <w:tr>
              <w:tc>
                <w:tcPr>
                  <w:tcW w:type="dxa" w:w="342"/>
                  <w:vMerge/>
                  <w:tcBorders>
                    <w:top w:val="single" w:color="000000" w:sz="4"/>
                    <w:left w:val="single" w:color="000000" w:sz="4"/>
                    <w:bottom w:val="single" w:color="000000" w:sz="4"/>
                    <w:right w:val="single" w:color="000000" w:sz="4"/>
                  </w:tcBorders>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1）</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2）</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w:t>
                  </w:r>
                  <w:r>
                    <w:rPr>
                      <w:rFonts w:ascii="仿宋_GB2312" w:hAnsi="仿宋_GB2312" w:cs="仿宋_GB2312" w:eastAsia="仿宋_GB2312"/>
                      <w:sz w:val="18"/>
                      <w:color w:val="00B0F0"/>
                    </w:rPr>
                    <w:t>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土地平整工程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(一)</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耕作田块修筑工程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2</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推土机推土（一、二类土）</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27750.50</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田坎修筑</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397.45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耕作层地力保持工程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3</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表土剥离</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20040.56</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4</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表土回覆</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20040.56</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5</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土地翻耕</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7.0522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二</w:t>
                  </w: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其他工程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树木清杂工程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6</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≤10cm</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6815</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7</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推土机推树根</w:t>
                  </w:r>
                  <w:r>
                    <w:rPr>
                      <w:rFonts w:ascii="仿宋_GB2312" w:hAnsi="仿宋_GB2312" w:cs="仿宋_GB2312" w:eastAsia="仿宋_GB2312"/>
                      <w:sz w:val="18"/>
                      <w:color w:val="00B0F0"/>
                    </w:rPr>
                    <w:t>树身直径</w:t>
                  </w:r>
                  <w:r>
                    <w:rPr>
                      <w:rFonts w:ascii="仿宋_GB2312" w:hAnsi="仿宋_GB2312" w:cs="仿宋_GB2312" w:eastAsia="仿宋_GB2312"/>
                      <w:sz w:val="18"/>
                      <w:color w:val="00B0F0"/>
                    </w:rPr>
                    <w:t>10～20cm</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株</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8573</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8</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树坑土方回填与夯实</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m3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4929.01</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9</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树根清运</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15388</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土壤培肥工程</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10</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土壤培肥第一年</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7.0522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11</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土壤培肥第二年</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7.0522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12</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土壤培肥第三年</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公顷</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7.0522</w:t>
                  </w: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土地耕种费</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13</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耕种面积</w:t>
                  </w:r>
                </w:p>
              </w:tc>
              <w:tc>
                <w:tcPr>
                  <w:tcW w:type="dxa" w:w="4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B0F0"/>
                    </w:rPr>
                    <w:t>亩</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B0F0"/>
                    </w:rPr>
                    <w:t>105.78</w:t>
                  </w:r>
                </w:p>
              </w:tc>
            </w:tr>
          </w:tbl>
          <w:p>
            <w:pPr>
              <w:pStyle w:val="null3"/>
            </w:pPr>
            <w:r>
              <w:rPr>
                <w:rFonts w:ascii="仿宋_GB2312" w:hAnsi="仿宋_GB2312" w:cs="仿宋_GB2312" w:eastAsia="仿宋_GB2312"/>
                <w:sz w:val="21"/>
                <w:color w:val="00B0F0"/>
              </w:rPr>
              <w:t>注：以上施工内容及工程数量为暂定内容，具体以实地勘测计算为准。</w:t>
            </w:r>
          </w:p>
          <w:p>
            <w:pPr>
              <w:pStyle w:val="null3"/>
              <w:jc w:val="both"/>
            </w:pPr>
            <w:r>
              <w:rPr>
                <w:rFonts w:ascii="仿宋_GB2312" w:hAnsi="仿宋_GB2312" w:cs="仿宋_GB2312" w:eastAsia="仿宋_GB2312"/>
                <w:sz w:val="21"/>
                <w:b/>
                <w:color w:val="00B0F0"/>
              </w:rPr>
              <w:t>五、其他要求</w:t>
            </w:r>
          </w:p>
          <w:p>
            <w:pPr>
              <w:pStyle w:val="null3"/>
            </w:pPr>
            <w:r>
              <w:rPr>
                <w:rFonts w:ascii="仿宋_GB2312" w:hAnsi="仿宋_GB2312" w:cs="仿宋_GB2312" w:eastAsia="仿宋_GB2312"/>
                <w:sz w:val="21"/>
                <w:color w:val="00B0F0"/>
              </w:rPr>
              <w:t>质量保修期：</w:t>
            </w:r>
            <w:r>
              <w:rPr>
                <w:rFonts w:ascii="仿宋_GB2312" w:hAnsi="仿宋_GB2312" w:cs="仿宋_GB2312" w:eastAsia="仿宋_GB2312"/>
                <w:sz w:val="21"/>
                <w:color w:val="00B0F0"/>
              </w:rPr>
              <w:t>12个月，自项目整体竣工验收合格、完成耕地占补平衡备案之日起计算；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省市耕地占补平衡、土地开发整理、农田建设相关规范、招标文件技术标准、中标承诺施工，工程质量合格，耕地等级、面积、地力指标达到自然资源部门验收标准，确保项目顺利通过县级、省级耕地占补平衡专项验收及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国家、省市耕地占补平衡、土地开发整理、农田建设相关规范、招标文件技术标准、中标承诺施工，工程质量合格，耕地等级、面积、地力指标达到自然资源部门验收标准，确保项目顺利通过县级、省级耕地占补平衡专项验收及备案。</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满足采购人对本项目的其他要求。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采购包1： （1）各供应商以填报“总价及全费用单价”的形式，按照第三章 磋商项目技术、服务、商务及其他要求“采购包1:工程量清单”中给定的工程内容，供应商应充分考虑磋商文件的各项条款和所掌握的市场情况及本工程的实际情况，且应根据企业自身情况自主做出填报总价及全费用单价。供应商在计算报价时须全面考虑磋商文件及拟签订合同中所明示或可能涉及的全部风险。供应商在磋商报价时应仔细对磋商文件进行透彻地分析研究，对图纸进行仔细地阅读和理解，根据磋商文件中的工程量清单和有关要求、施工现场实际情况及拟定的施工方案或施工组织设计进行报价。招标人所发布的工程量清单的工程项目仅表达了主要工程做法，报价时各供应商应依据磋商文件、合同条款、技术规范及现场情况进行科学合理组价。所填报的全费用单价采购人视为是相应清单项在招标范围内的全部内容价格。结算时依据采购人审定的工程量，以成交供应商二次磋商报价上传的报价清单据实结算。 （2）以所填报的“总价”参与价格分的评审。 （3）供应商竞争性磋商报价（一次报价及最后磋商报价）中的价格均包含完成相应工作内容的人工费、材料费、机械费、企业管理费、利润、措施项目费、规费、税金和供应商必须的其它费用以及合同明示或暗示的所有风险、责任和义务等所有相关费用的全费用单价。合同期限内不因任何原因调整所填报的单价，供应商可对采购人提供的工程量清单进行完善，但不得删减其中内容。凡本响应文件要求或允许供应商进行报价的各项费用项目，若磋商响应时未报，采购人将按这些费用已包含在本项目磋商报价中对待，采购人不再另行支付。 （4）所有材料必须使用合格产品，使用前应当由采购人认质确认后方可投入使用。工程施工完毕后需对施工场地进行保洁，保洁标准达到采购人要求。 （5）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采购包2： （1）各供应商以填报“总价及全费用单价”的形式，按照第三章 磋商项目技术、服务、商务及其他要求“采购包1:工程量清单”中给定的工程内容，供应商应充分考虑磋商文件的各项条款和所掌握的市场情况及本工程的实际情况，且应根据企业自身情况自主做出填报总价及全费用单价。供应商在计算报价时须全面考虑磋商文件及拟签订合同中所明示或可能涉及的全部风险。供应商在磋商报价时应仔细对磋商文件进行透彻地分析研究，对图纸进行仔细地阅读和理解，根据磋商文件中的工程量清单和有关要求、施工现场实际情况及拟定的施工方案或施工组织设计进行报价。招标人所发布的工程量清单的工程项目仅表达了主要工程做法，报价时各供应商应依据磋商文件、合同条款、技术规范及现场情况进行科学合理组价。所填报的全费用单价采购人视为是相应清单项在招标范围内的全部内容价格。结算时依据采购人审定的工程量，以成交供应商二次磋商报价上传的报价清单据实结算。 （2）以所填报的“总价”参与价格分的评审。 （3）供应商竞争性磋商报价（一次报价及最后磋商报价）中的价格均包含完成相应工作内容的人工费、材料费、机械费、企业管理费、利润、措施项目费、规费、税金和供应商必须的其它费用以及合同明示或暗示的所有风险、责任和义务等所有相关费用的全费用单价。合同期限内不因任何原因调整所填报的单价，供应商可对采购人提供的工程量清单进行完善，但不得删减其中内容。凡本响应文件要求或允许供应商进行报价的各项费用项目，若磋商响应时未报，采购人将按这些费用已包含在本项目磋商报价中对待，采购人不再另行支付。 （4）所有材料必须使用合格产品，使用前应当由采购人认质确认后方可投入使用。工程施工完毕后需对施工场地进行保洁，保洁标准达到采购人要求。 （5）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采购包1-供应商应提交的相关资格证明材料.docx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采购包2-供应商应提交的相关资格证明材料.docx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供应商具有建设行政主管部门颁发的水利水电工程施工总承包三级及以上资质，并具有有效的安全生产许可证。</w:t>
            </w:r>
          </w:p>
        </w:tc>
        <w:tc>
          <w:tcPr>
            <w:tcW w:type="dxa" w:w="1661"/>
          </w:tcPr>
          <w:p>
            <w:pPr>
              <w:pStyle w:val="null3"/>
            </w:pPr>
            <w:r>
              <w:rPr>
                <w:rFonts w:ascii="仿宋_GB2312" w:hAnsi="仿宋_GB2312" w:cs="仿宋_GB2312" w:eastAsia="仿宋_GB2312"/>
              </w:rPr>
              <w:t>采购包1-供应商应提交的相关资格证明材料.docx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供应商拟派项目经理具备水利水电工程专业二级及以上注册建造师执业资格，同时具备有效的安全生产考核合格证书，在本单位注册且无在建工程。</w:t>
            </w:r>
          </w:p>
        </w:tc>
        <w:tc>
          <w:tcPr>
            <w:tcW w:type="dxa" w:w="1661"/>
          </w:tcPr>
          <w:p>
            <w:pPr>
              <w:pStyle w:val="null3"/>
            </w:pPr>
            <w:r>
              <w:rPr>
                <w:rFonts w:ascii="仿宋_GB2312" w:hAnsi="仿宋_GB2312" w:cs="仿宋_GB2312" w:eastAsia="仿宋_GB2312"/>
              </w:rPr>
              <w:t>采购包1-供应商应提交的相关资格证明材料.docx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供应商具有建设行政主管部门颁发的水利水电工程施工总承包三级及以上资质，并具有有效的安全生产许可证。</w:t>
            </w:r>
          </w:p>
        </w:tc>
        <w:tc>
          <w:tcPr>
            <w:tcW w:type="dxa" w:w="1661"/>
          </w:tcPr>
          <w:p>
            <w:pPr>
              <w:pStyle w:val="null3"/>
            </w:pPr>
            <w:r>
              <w:rPr>
                <w:rFonts w:ascii="仿宋_GB2312" w:hAnsi="仿宋_GB2312" w:cs="仿宋_GB2312" w:eastAsia="仿宋_GB2312"/>
              </w:rPr>
              <w:t>采购包2-供应商应提交的相关资格证明材料.docx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供应商拟派项目经理具备水利水电工程专业二级及以上注册建造师执业资格，同时具备有效的安全生产考核合格证书，在本单位注册且无在建工程。</w:t>
            </w:r>
          </w:p>
        </w:tc>
        <w:tc>
          <w:tcPr>
            <w:tcW w:type="dxa" w:w="1661"/>
          </w:tcPr>
          <w:p>
            <w:pPr>
              <w:pStyle w:val="null3"/>
            </w:pPr>
            <w:r>
              <w:rPr>
                <w:rFonts w:ascii="仿宋_GB2312" w:hAnsi="仿宋_GB2312" w:cs="仿宋_GB2312" w:eastAsia="仿宋_GB2312"/>
              </w:rPr>
              <w:t>采购包2-供应商应提交的相关资格证明材料.docx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技术偏离表.docx 报价函 标的清单 商务偏离表.docx 其他内容.docx 采购包1-报价表.docx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技术偏离表.docx 报价函 标的清单 报价表-采购包2.docx 其他内容.docx 商务偏离表.docx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供应商提供自2023年1月1日至今承接过的类似业绩证明材料，每提供1项得3分，最多得12分。 评审依据：类似业绩证明材料指水利水电工程相关业绩合同扫描件或复印件加盖供应商公章，以合同签订时间所体现的时间为准。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拟派项目经理具有中级（含）及以上职称得3分；其余情况不得分。 评审依据：评审时以供应商提供的拟派项目经理的职称证扫描件或复印件并加盖供应商公章为准，提供多个职称证明材料的，以最高职称证书的扫描件或复印件并加盖供应商公章为准。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采购包1-供应商应提交的相关资格证明材料.docx</w:t>
            </w:r>
          </w:p>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拟派项目经理具有本科（含）及以上学历得3分；其他情况不得分。 评审依据：评审时以供应商提供的拟派项目经理的最高学历证书扫描件或复印件并加盖供应商公章为准。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采购包1-供应商应提交的相关资格证明材料.docx</w:t>
            </w:r>
          </w:p>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项目部人员至少应包括（除项目经理外）每配备一个技术人员或管理人员（施工员、安全员、造价员、资料员）加1分，最高得4分。 评审依据：专业技术或管理人员应提供满足上述要求的技术职称证书或注册证书的扫描件或复印件；造价员应提供执业资格证书及注册证书的扫描件或复印件，且注册单位为供应商本单位；安全员应提供安全C证的扫描件或复印件；资料人员应提供上岗证明材料。 同时，供应商须提供项目部全体人员合法有效的身份证扫描件或复印件。未按要求提供以上全部资料的，将不予认定及赋分。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供应商提供的施工总体规划部署及施工方案需包含①项目施工总体思路；②施工实施阶段划分；③关键工序技术把控措施，共3项内容，每项满分4分，总分12分。 其中，每项以具体内容与本项目的科学性、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供应商提供的进度管控与应急方案需包含①进度管控节点设置、动态调整；②工期延误风险预判及应对措施；③季节性施工（雨期、冬期）适配措施，共3项内容，每项满分3分，总分9分。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采购包1-技术方案.docx</w:t>
            </w:r>
          </w:p>
        </w:tc>
      </w:tr>
      <w:tr>
        <w:tc>
          <w:tcPr>
            <w:tcW w:type="dxa" w:w="831"/>
            <w:vMerge/>
          </w:tcPr>
          <w:p/>
        </w:tc>
        <w:tc>
          <w:tcPr>
            <w:tcW w:type="dxa" w:w="1661"/>
          </w:tcPr>
          <w:p>
            <w:pPr>
              <w:pStyle w:val="null3"/>
            </w:pPr>
            <w:r>
              <w:rPr>
                <w:rFonts w:ascii="仿宋_GB2312" w:hAnsi="仿宋_GB2312" w:cs="仿宋_GB2312" w:eastAsia="仿宋_GB2312"/>
              </w:rPr>
              <w:t>资源配置保障方案</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供应商提供自2023年1月1日至今承接过的类似业绩证明材料，每提供1项得3分，最多得12分。 评审依据：类似业绩证明材料指水利水电工程相关业绩合同扫描件或复印件加盖供应商公章，以合同签订时间所体现的时间为准。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拟派项目经理具有中级（含）及以上职称得3分；其余情况不得分。 评审依据：评审时以供应商提供的拟派项目经理的职称证扫描件或复印件并加盖供应商公章为准，提供多个职称证明材料的，以最高职称证书的扫描件或复印件并加盖供应商公章为准。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采购包2-供应商应提交的相关资格证明材料.docx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拟派项目经理具有本科（含）及以上学历得3分；其他情况不得分。 评审依据：评审时以供应商提供的拟派项目经理的最高学历证书扫描件或复印件并加盖供应商公章为准。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采购包2-供应商应提交的相关资格证明材料.docx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项目部人员至少应包括（除项目经理外）每配备一个技术人员或管理人员（施工员、安全员、造价员、资料员）加1分，最高得4分。 评审依据：专业技术或管理人员应提供满足上述要求的技术职称证书或注册证书的扫描件或复印件；造价员应提供执业资格证书及注册证书的扫描件或复印件，且注册单位为供应商本单位；安全员应提供安全C证的扫描件或复印件；资料人员应提供上岗证明材料。 同时，供应商须提供项目部全体人员合法有效的身份证扫描件或复印件。未按要求提供以上全部资料的，将不予认定及赋分。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供应商提供的施工总体规划部署及施工方案需包含①项目施工总体思路；②施工实施阶段划分；③关键工序技术把控措施，共3项内容，每项满分4分，总分12分。 其中，每项以具体内容与本项目的科学性、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供应商提供的进度管控与应急方案需包含①进度管控节点设置、动态调整；②工期延误风险预判及应对措施；③季节性施工（雨期、冬期）适配措施，共3项内容，每项满分3分，总分9分。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资源配置保障方案</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详见附件：采购包1-供应商应提交的相关资格证明材料.docx</w:t>
      </w:r>
    </w:p>
    <w:p>
      <w:pPr>
        <w:pStyle w:val="null3"/>
        <w:ind w:firstLine="960"/>
      </w:pPr>
      <w:r>
        <w:rPr>
          <w:rFonts w:ascii="仿宋_GB2312" w:hAnsi="仿宋_GB2312" w:cs="仿宋_GB2312" w:eastAsia="仿宋_GB2312"/>
        </w:rPr>
        <w:t>详见附件：采购包1-技术方案.docx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详见附件：采购包1-报价表.docx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详见附件：报价表-采购包2.docx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