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C0BED">
      <w:pPr>
        <w:pStyle w:val="4"/>
        <w:spacing w:line="360" w:lineRule="auto"/>
        <w:jc w:val="center"/>
        <w:rPr>
          <w:rFonts w:hint="default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磋商项目技术、服务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要求</w:t>
      </w:r>
      <w:bookmarkStart w:id="0" w:name="_GoBack"/>
      <w:bookmarkEnd w:id="0"/>
    </w:p>
    <w:p w14:paraId="6D83EBF8">
      <w:pPr>
        <w:pStyle w:val="4"/>
        <w:spacing w:line="360" w:lineRule="auto"/>
        <w:rPr>
          <w:rFonts w:hint="eastAsia" w:ascii="仿宋" w:hAnsi="仿宋" w:eastAsia="仿宋" w:cs="仿宋"/>
          <w:highlight w:val="none"/>
        </w:rPr>
      </w:pPr>
    </w:p>
    <w:p w14:paraId="4F5F4AEB">
      <w:pPr>
        <w:pStyle w:val="4"/>
        <w:spacing w:line="360" w:lineRule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 xml:space="preserve">采购包预算金额（元）: </w:t>
      </w:r>
      <w:r>
        <w:rPr>
          <w:rFonts w:hint="eastAsia" w:ascii="仿宋" w:hAnsi="仿宋" w:eastAsia="仿宋" w:cs="仿宋"/>
          <w:highlight w:val="none"/>
          <w:lang w:val="en-US" w:eastAsia="zh-CN"/>
        </w:rPr>
        <w:t>770,400.00</w:t>
      </w:r>
    </w:p>
    <w:p w14:paraId="6B522418">
      <w:pPr>
        <w:pStyle w:val="4"/>
        <w:spacing w:line="360" w:lineRule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 xml:space="preserve">采购包最高限价（元）: </w:t>
      </w:r>
      <w:r>
        <w:rPr>
          <w:rFonts w:hint="eastAsia" w:ascii="仿宋" w:hAnsi="仿宋" w:eastAsia="仿宋" w:cs="仿宋"/>
          <w:highlight w:val="none"/>
          <w:lang w:val="en-US" w:eastAsia="zh-CN"/>
        </w:rPr>
        <w:t>770,400.00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493"/>
        <w:gridCol w:w="1280"/>
        <w:gridCol w:w="1500"/>
        <w:gridCol w:w="1244"/>
        <w:gridCol w:w="1570"/>
      </w:tblGrid>
      <w:tr w14:paraId="43DE5A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dxa"/>
            <w:vAlign w:val="center"/>
          </w:tcPr>
          <w:p w14:paraId="1A491419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序号</w:t>
            </w:r>
          </w:p>
        </w:tc>
        <w:tc>
          <w:tcPr>
            <w:tcW w:w="2493" w:type="dxa"/>
            <w:vAlign w:val="center"/>
          </w:tcPr>
          <w:p w14:paraId="47C84740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标的名称</w:t>
            </w:r>
          </w:p>
        </w:tc>
        <w:tc>
          <w:tcPr>
            <w:tcW w:w="1280" w:type="dxa"/>
            <w:vAlign w:val="center"/>
          </w:tcPr>
          <w:p w14:paraId="2839B6E4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数量</w:t>
            </w:r>
          </w:p>
        </w:tc>
        <w:tc>
          <w:tcPr>
            <w:tcW w:w="1500" w:type="dxa"/>
            <w:vAlign w:val="center"/>
          </w:tcPr>
          <w:p w14:paraId="693AF88E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标的金额 （元）</w:t>
            </w:r>
          </w:p>
        </w:tc>
        <w:tc>
          <w:tcPr>
            <w:tcW w:w="1244" w:type="dxa"/>
            <w:vAlign w:val="center"/>
          </w:tcPr>
          <w:p w14:paraId="4EF7DDFD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计量单位</w:t>
            </w:r>
          </w:p>
        </w:tc>
        <w:tc>
          <w:tcPr>
            <w:tcW w:w="1570" w:type="dxa"/>
            <w:vAlign w:val="center"/>
          </w:tcPr>
          <w:p w14:paraId="012E4E32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所属行业</w:t>
            </w:r>
          </w:p>
        </w:tc>
      </w:tr>
      <w:tr w14:paraId="783DBB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0" w:type="dxa"/>
            <w:vAlign w:val="center"/>
          </w:tcPr>
          <w:p w14:paraId="50AC071A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1</w:t>
            </w:r>
          </w:p>
        </w:tc>
        <w:tc>
          <w:tcPr>
            <w:tcW w:w="2493" w:type="dxa"/>
            <w:vAlign w:val="center"/>
          </w:tcPr>
          <w:p w14:paraId="52B7100E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航天二期安置小区出入口周边绿化项目</w:t>
            </w:r>
          </w:p>
        </w:tc>
        <w:tc>
          <w:tcPr>
            <w:tcW w:w="1280" w:type="dxa"/>
            <w:vAlign w:val="center"/>
          </w:tcPr>
          <w:p w14:paraId="4709F1A3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1.00</w:t>
            </w:r>
          </w:p>
        </w:tc>
        <w:tc>
          <w:tcPr>
            <w:tcW w:w="1500" w:type="dxa"/>
            <w:vAlign w:val="center"/>
          </w:tcPr>
          <w:p w14:paraId="583E0200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770,400.00</w:t>
            </w:r>
          </w:p>
        </w:tc>
        <w:tc>
          <w:tcPr>
            <w:tcW w:w="1244" w:type="dxa"/>
            <w:vAlign w:val="center"/>
          </w:tcPr>
          <w:p w14:paraId="7C71D1FC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项</w:t>
            </w:r>
          </w:p>
        </w:tc>
        <w:tc>
          <w:tcPr>
            <w:tcW w:w="1570" w:type="dxa"/>
            <w:vAlign w:val="center"/>
          </w:tcPr>
          <w:p w14:paraId="13AE7E65">
            <w:pPr>
              <w:pStyle w:val="4"/>
              <w:spacing w:line="360" w:lineRule="auto"/>
              <w:jc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</w:rPr>
              <w:t>建筑业</w:t>
            </w:r>
          </w:p>
        </w:tc>
      </w:tr>
    </w:tbl>
    <w:p w14:paraId="22EE9EB2"/>
    <w:p w14:paraId="7370DB42">
      <w:pPr>
        <w:pStyle w:val="4"/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项目概况</w:t>
      </w:r>
    </w:p>
    <w:p w14:paraId="1FAF3220">
      <w:pPr>
        <w:pStyle w:val="4"/>
        <w:numPr>
          <w:ilvl w:val="0"/>
          <w:numId w:val="0"/>
        </w:numPr>
        <w:spacing w:line="360" w:lineRule="auto"/>
        <w:ind w:firstLine="400" w:firstLineChars="200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eastAsia="zh-CN"/>
        </w:rPr>
        <w:t>航天二期安置小区出入口周边绿化项目，</w:t>
      </w:r>
      <w:r>
        <w:rPr>
          <w:rFonts w:hint="eastAsia" w:ascii="仿宋" w:hAnsi="仿宋" w:eastAsia="仿宋" w:cs="仿宋"/>
          <w:highlight w:val="none"/>
          <w:lang w:val="en-US" w:eastAsia="zh-CN"/>
        </w:rPr>
        <w:t>对小区出入口规划有公共绿地的区域进行临时绿化，进一步提高周边绿化环境。</w:t>
      </w:r>
    </w:p>
    <w:p w14:paraId="68107284">
      <w:pPr>
        <w:pStyle w:val="4"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二、</w:t>
      </w:r>
      <w:r>
        <w:rPr>
          <w:rFonts w:hint="default" w:ascii="仿宋" w:hAnsi="仿宋" w:eastAsia="仿宋" w:cs="仿宋"/>
          <w:highlight w:val="none"/>
          <w:lang w:val="en-US" w:eastAsia="zh-CN"/>
        </w:rPr>
        <w:t>施工内容</w:t>
      </w:r>
    </w:p>
    <w:p w14:paraId="4E5C2093">
      <w:pPr>
        <w:pStyle w:val="4"/>
        <w:numPr>
          <w:ilvl w:val="0"/>
          <w:numId w:val="0"/>
        </w:numPr>
        <w:spacing w:line="360" w:lineRule="auto"/>
        <w:ind w:firstLine="400" w:firstLineChars="200"/>
        <w:rPr>
          <w:rFonts w:hint="default" w:ascii="仿宋" w:hAnsi="仿宋" w:eastAsia="仿宋" w:cs="仿宋"/>
          <w:highlight w:val="none"/>
          <w:lang w:val="en-US" w:eastAsia="zh-CN"/>
        </w:rPr>
      </w:pPr>
      <w:r>
        <w:rPr>
          <w:rFonts w:hint="default" w:ascii="仿宋" w:hAnsi="仿宋" w:eastAsia="仿宋" w:cs="仿宋"/>
          <w:highlight w:val="none"/>
          <w:lang w:val="en-US" w:eastAsia="zh-CN"/>
        </w:rPr>
        <w:t>本工程位于西安市航天基地二期辖区为公共绿地绿化工程，主要施工内容包含场地清理、地形整理、土壤改良、乔木、草坪栽植等，</w:t>
      </w:r>
      <w:r>
        <w:rPr>
          <w:rFonts w:hint="eastAsia" w:ascii="仿宋" w:hAnsi="仿宋" w:eastAsia="仿宋" w:cs="仿宋"/>
          <w:highlight w:val="none"/>
          <w:lang w:val="en-US" w:eastAsia="zh-CN"/>
        </w:rPr>
        <w:t>施工</w:t>
      </w:r>
      <w:r>
        <w:rPr>
          <w:rFonts w:hint="default" w:ascii="仿宋" w:hAnsi="仿宋" w:eastAsia="仿宋" w:cs="仿宋"/>
          <w:highlight w:val="none"/>
          <w:lang w:val="en-US" w:eastAsia="zh-CN"/>
        </w:rPr>
        <w:t>范围为施工图纸及工程量清单全部绿化工程内容。</w:t>
      </w:r>
    </w:p>
    <w:p w14:paraId="7968EB74"/>
    <w:p w14:paraId="350BA796">
      <w:pPr>
        <w:pStyle w:val="4"/>
        <w:numPr>
          <w:ilvl w:val="0"/>
          <w:numId w:val="0"/>
        </w:numPr>
        <w:spacing w:line="360" w:lineRule="auto"/>
        <w:ind w:firstLine="400" w:firstLineChars="200"/>
        <w:rPr>
          <w:rFonts w:hint="default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具体内容详见磋商文件。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5A84F0"/>
    <w:multiLevelType w:val="singleLevel"/>
    <w:tmpl w:val="075A84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B1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2026-06-11T07:13:20Z</dcterms:created>
  <dc:creator>Administrator</dc:creator>
  <cp:lastModifiedBy>四方衡裕</cp:lastModifiedBy>
  <dcterms:modified xsi:type="dcterms:W3CDTF">2026-06-11T07:15:07Z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eyJoZGlkIjoiNTMyMWNmNGQ5OTE0ODVkNGIzZmI3N2UxNzkwMWFhNTEiLCJ1c2VySWQiOiIxNjgwMDIxMjIyIn0=</vt:lpwstr>
  </property>
  <property fmtid="{D5CDD505-2E9C-101B-9397-08002B2CF9AE}" pid="4" name="ICV">
    <vt:lpwstr>48CF8F135DD242AF95253A0DBBDA9464_12</vt:lpwstr>
  </property>
</Properties>
</file>