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版本号：FHGJ26(ZBP)300-148号20260622001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大美高陵•绿色家园建设农村绿化项目管护服务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FHGJ26(ZBP)300-148号</w:t>
      </w:r>
      <w:r>
        <w:br/>
      </w:r>
      <w:r>
        <w:br/>
      </w:r>
      <w:r>
        <w:br/>
      </w:r>
    </w:p>
    <w:p>
      <w:pPr>
        <w:pStyle w:val="null3"/>
        <w:jc w:val="center"/>
        <w:outlineLvl w:val="2"/>
      </w:pPr>
      <w:r>
        <w:rPr>
          <w:rFonts w:ascii="仿宋_GB2312" w:hAnsi="仿宋_GB2312" w:cs="仿宋_GB2312" w:eastAsia="仿宋_GB2312"/>
          <w:sz w:val="28"/>
          <w:b/>
        </w:rPr>
        <w:t>西安市高陵区农业农村和林业局</w:t>
      </w:r>
    </w:p>
    <w:p>
      <w:pPr>
        <w:pStyle w:val="null3"/>
        <w:jc w:val="center"/>
        <w:outlineLvl w:val="2"/>
      </w:pPr>
      <w:r>
        <w:rPr>
          <w:rFonts w:ascii="仿宋_GB2312" w:hAnsi="仿宋_GB2312" w:cs="仿宋_GB2312" w:eastAsia="仿宋_GB2312"/>
          <w:sz w:val="28"/>
          <w:b/>
        </w:rPr>
        <w:t>丰汇国际项目管理有限公司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丰汇国际项目管理有限公司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西安市高陵区农业农村和林业局</w:t>
      </w:r>
      <w:r>
        <w:rPr>
          <w:rFonts w:ascii="仿宋_GB2312" w:hAnsi="仿宋_GB2312" w:cs="仿宋_GB2312" w:eastAsia="仿宋_GB2312"/>
        </w:rPr>
        <w:t>委托，拟对</w:t>
      </w:r>
      <w:r>
        <w:rPr>
          <w:rFonts w:ascii="仿宋_GB2312" w:hAnsi="仿宋_GB2312" w:cs="仿宋_GB2312" w:eastAsia="仿宋_GB2312"/>
        </w:rPr>
        <w:t>大美高陵•绿色家园建设农村绿化项目管护服务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FHGJ26(ZBP)300-148号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大美高陵•绿色家园建设农村绿化项目管护服务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目对西咸北环线全段、高陵场畔周边、渭阳一路沿线部分区域、张卜义务植树点及指定区域绿化场地的大叶女贞、栾树、石楠球、红叶李、银杏、蜀桧、青桐、白皮松、红枫等绿化树种进行日常巡护、修剪、病虫害防治、防火、浇水、除草等措施养护及草坪修剪、林长制牌巡护。实施绿化养护工程面积1000余亩.</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采购包1（采购包一）：属于专门面向中小企业采购。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企业法人提供营业执照、组织机构代码证、税务登记证（或统一社会信用代码的营业执照）；事业法人应提供事业单位法人证；其他组织应提供合法证明文件；自然人提供身份证</w:t>
      </w:r>
    </w:p>
    <w:p>
      <w:pPr>
        <w:pStyle w:val="null3"/>
      </w:pPr>
      <w:r>
        <w:rPr>
          <w:rFonts w:ascii="仿宋_GB2312" w:hAnsi="仿宋_GB2312" w:cs="仿宋_GB2312" w:eastAsia="仿宋_GB2312"/>
        </w:rPr>
        <w:t>2、授权委托书：提供法定代表人授权书及被授权人身份证原件（法定代表人直接参加投标，须提供法定代表人身份证明及身份证原件）</w:t>
      </w:r>
    </w:p>
    <w:p>
      <w:pPr>
        <w:pStyle w:val="null3"/>
      </w:pPr>
      <w:r>
        <w:rPr>
          <w:rFonts w:ascii="仿宋_GB2312" w:hAnsi="仿宋_GB2312" w:cs="仿宋_GB2312" w:eastAsia="仿宋_GB2312"/>
        </w:rPr>
        <w:t>3、财务报告：须提供经会计事务所或审计机构出具的2024年或2025年完整的财务审计报告（注：带二维码清晰可查验，提供的财务审计报告需在注册会计师行业统一监管平台（http://acc.mof.gov.cn/）可查询并提供网站查询截图）公司成立不足一年的提供成立以来的财务报表，至少包括资产负债表、利润表、现金流量表或开标前三个月内基本账户银行出具的资信证明（资信证明的开具内容至少包含主体信息、资信状况和证明说明）及基本账户开户许可证（或开户行基本信息）。事业单位或其他机构只需提供本单位相关财务报表（至少包括资产负债表、利润表、现金流量表）</w:t>
      </w:r>
    </w:p>
    <w:p>
      <w:pPr>
        <w:pStyle w:val="null3"/>
      </w:pPr>
      <w:r>
        <w:rPr>
          <w:rFonts w:ascii="仿宋_GB2312" w:hAnsi="仿宋_GB2312" w:cs="仿宋_GB2312" w:eastAsia="仿宋_GB2312"/>
        </w:rPr>
        <w:t>4、纳税证明：提供2025年6月至今任意一个月的纳税证明或完税证明（任意税种），依法免税的单位应提供相关证明材料</w:t>
      </w:r>
    </w:p>
    <w:p>
      <w:pPr>
        <w:pStyle w:val="null3"/>
      </w:pPr>
      <w:r>
        <w:rPr>
          <w:rFonts w:ascii="仿宋_GB2312" w:hAnsi="仿宋_GB2312" w:cs="仿宋_GB2312" w:eastAsia="仿宋_GB2312"/>
        </w:rPr>
        <w:t>5、社保缴纳证明：提供2025年6月至今任意一个月的社会保障资金缴存单据或社保机构开具的社会保险参保缴费情况证明，依法不需要缴纳社会保障资金的单位应提供相关证明材料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企业信用：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pPr>
      <w:r>
        <w:rPr>
          <w:rFonts w:ascii="仿宋_GB2312" w:hAnsi="仿宋_GB2312" w:cs="仿宋_GB2312" w:eastAsia="仿宋_GB2312"/>
        </w:rPr>
        <w:t>7、书面声明：参加本次政府采购活动前三年内在经营活动中没有重大违纪的书面声明</w:t>
      </w:r>
    </w:p>
    <w:p>
      <w:pPr>
        <w:pStyle w:val="null3"/>
      </w:pPr>
      <w:r>
        <w:rPr>
          <w:rFonts w:ascii="仿宋_GB2312" w:hAnsi="仿宋_GB2312" w:cs="仿宋_GB2312" w:eastAsia="仿宋_GB2312"/>
        </w:rPr>
        <w:t>8、承诺：提供具有履行合同所必需的设备和专业技术能力的承诺；</w:t>
      </w:r>
    </w:p>
    <w:p>
      <w:pPr>
        <w:pStyle w:val="null3"/>
      </w:pPr>
      <w:r>
        <w:rPr>
          <w:rFonts w:ascii="仿宋_GB2312" w:hAnsi="仿宋_GB2312" w:cs="仿宋_GB2312" w:eastAsia="仿宋_GB2312"/>
        </w:rPr>
        <w:t>9、控股关系：单位负责人为同一人或者存在直接控股、管理关系的不同投标人，不得参加同一合同项下的政府采购活动</w:t>
      </w:r>
    </w:p>
    <w:p>
      <w:pPr>
        <w:pStyle w:val="null3"/>
      </w:pPr>
      <w:r>
        <w:rPr>
          <w:rFonts w:ascii="仿宋_GB2312" w:hAnsi="仿宋_GB2312" w:cs="仿宋_GB2312" w:eastAsia="仿宋_GB2312"/>
        </w:rPr>
        <w:t>10、非联合体：本项目不接受联合体磋商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西安市高陵区农业农村和林业局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西安市高陵区东二环路与鹿鸣路十字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西安市高陵区农业农村和林业局经办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13363919299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丰汇国际项目管理有限公司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陕西省西安市碑林区长安北路113号大话南门壹中心14楼11401室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张鹏、潘治涛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17274310500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西安市高陵区采购管理科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药咪</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86919290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代理服务费收费标准：招标代理费等相关费⽤由成交供应商⽀付，参照国家发展计划委员会⽂件《计价格〔2002〕1980号》取费标准规定的计取,不足伍仟元按照伍仟元计取。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西安市高陵区农业农村和林业局</w:t>
      </w:r>
      <w:r>
        <w:rPr>
          <w:rFonts w:ascii="仿宋_GB2312" w:hAnsi="仿宋_GB2312" w:cs="仿宋_GB2312" w:eastAsia="仿宋_GB2312"/>
        </w:rPr>
        <w:t>和</w:t>
      </w:r>
      <w:r>
        <w:rPr>
          <w:rFonts w:ascii="仿宋_GB2312" w:hAnsi="仿宋_GB2312" w:cs="仿宋_GB2312" w:eastAsia="仿宋_GB2312"/>
        </w:rPr>
        <w:t>丰汇国际项目管理有限公司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西安市高陵区农业农村和林业局</w:t>
      </w:r>
      <w:r>
        <w:rPr>
          <w:rFonts w:ascii="仿宋_GB2312" w:hAnsi="仿宋_GB2312" w:cs="仿宋_GB2312" w:eastAsia="仿宋_GB2312"/>
        </w:rPr>
        <w:t>负责解释。除上述磋商文件内容，其他内容由</w:t>
      </w:r>
      <w:r>
        <w:rPr>
          <w:rFonts w:ascii="仿宋_GB2312" w:hAnsi="仿宋_GB2312" w:cs="仿宋_GB2312" w:eastAsia="仿宋_GB2312"/>
        </w:rPr>
        <w:t>丰汇国际项目管理有限公司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西安市高陵区农业农村和林业局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丰汇国际项目管理有限公司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符合国家现⾏有关验收规范“合格”要求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联系人：张鹏、潘治涛</w:t>
      </w:r>
    </w:p>
    <w:p>
      <w:pPr>
        <w:pStyle w:val="null3"/>
      </w:pPr>
      <w:r>
        <w:rPr>
          <w:rFonts w:ascii="仿宋_GB2312" w:hAnsi="仿宋_GB2312" w:cs="仿宋_GB2312" w:eastAsia="仿宋_GB2312"/>
        </w:rPr>
        <w:t>联系电话：17274310500</w:t>
      </w:r>
    </w:p>
    <w:p>
      <w:pPr>
        <w:pStyle w:val="null3"/>
      </w:pPr>
      <w:r>
        <w:rPr>
          <w:rFonts w:ascii="仿宋_GB2312" w:hAnsi="仿宋_GB2312" w:cs="仿宋_GB2312" w:eastAsia="仿宋_GB2312"/>
        </w:rPr>
        <w:t>地址：陕西省西安市碑林区长安北路113号大话南门壹中心14楼11401室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项目对西咸北环线全段、高陵场畔周边、渭阳一路沿线部分区域、张卜义务植树点及指定区域绿化场地的大叶女贞、栾树、石楠球、红叶李、银杏、蜀桧、青桐、白皮松、红枫等绿化树种进行日常巡护、修剪、病虫害防治、防火、浇水、除草等措施养护及草坪修剪、林长制牌巡护。实施绿化养护工程面积1000余亩</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550,000.00</w:t>
      </w:r>
    </w:p>
    <w:p>
      <w:pPr>
        <w:pStyle w:val="null3"/>
      </w:pPr>
      <w:r>
        <w:rPr>
          <w:rFonts w:ascii="仿宋_GB2312" w:hAnsi="仿宋_GB2312" w:cs="仿宋_GB2312" w:eastAsia="仿宋_GB2312"/>
        </w:rPr>
        <w:t>采购包最高限价（元）: 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大美高陵•绿色家园建设农村绿化项目管护服务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550,000.00</w:t>
            </w:r>
          </w:p>
        </w:tc>
        <w:tc>
          <w:tcPr>
            <w:tcW w:type="dxa" w:w="755"/>
          </w:tcPr>
          <w:p>
            <w:pPr>
              <w:pStyle w:val="null3"/>
            </w:pPr>
            <w:r>
              <w:rPr>
                <w:rFonts w:ascii="仿宋_GB2312" w:hAnsi="仿宋_GB2312" w:cs="仿宋_GB2312" w:eastAsia="仿宋_GB2312"/>
              </w:rPr>
              <w:t>元</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标的名称：大美高陵•绿色家园建设农村绿化项目管护服务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28"/>
                <w:b/>
              </w:rPr>
              <w:t>服务内容：</w:t>
            </w:r>
          </w:p>
          <w:p>
            <w:pPr>
              <w:pStyle w:val="null3"/>
              <w:ind w:firstLine="560"/>
              <w:jc w:val="both"/>
            </w:pPr>
            <w:r>
              <w:rPr>
                <w:rFonts w:ascii="仿宋_GB2312" w:hAnsi="仿宋_GB2312" w:cs="仿宋_GB2312" w:eastAsia="仿宋_GB2312"/>
                <w:sz w:val="28"/>
              </w:rPr>
              <w:t>大美高陵</w:t>
            </w:r>
            <w:r>
              <w:rPr>
                <w:rFonts w:ascii="仿宋_GB2312" w:hAnsi="仿宋_GB2312" w:cs="仿宋_GB2312" w:eastAsia="仿宋_GB2312"/>
                <w:sz w:val="28"/>
              </w:rPr>
              <w:t>•绿色家园建设农村绿化项目管护包括对西咸北环线全段、高陵场畔周边、渭阳一路沿线部分区域、张卜义务植树点及指定区域绿化场地的所有苗木进行日常巡护、修剪、浇水、除草、防火及草坪修剪、林长制牌巡护等。对所管护的林木区域的林长制公示牌进行巡护和管理。每年苗木清理杂草次数不少于</w:t>
            </w:r>
            <w:r>
              <w:rPr>
                <w:rFonts w:ascii="仿宋_GB2312" w:hAnsi="仿宋_GB2312" w:cs="仿宋_GB2312" w:eastAsia="仿宋_GB2312"/>
                <w:sz w:val="28"/>
              </w:rPr>
              <w:t>3</w:t>
            </w:r>
            <w:r>
              <w:rPr>
                <w:rFonts w:ascii="仿宋_GB2312" w:hAnsi="仿宋_GB2312" w:cs="仿宋_GB2312" w:eastAsia="仿宋_GB2312"/>
                <w:sz w:val="28"/>
              </w:rPr>
              <w:t>次，修剪不少于</w:t>
            </w:r>
            <w:r>
              <w:rPr>
                <w:rFonts w:ascii="仿宋_GB2312" w:hAnsi="仿宋_GB2312" w:cs="仿宋_GB2312" w:eastAsia="仿宋_GB2312"/>
                <w:sz w:val="28"/>
              </w:rPr>
              <w:t>1</w:t>
            </w:r>
            <w:r>
              <w:rPr>
                <w:rFonts w:ascii="仿宋_GB2312" w:hAnsi="仿宋_GB2312" w:cs="仿宋_GB2312" w:eastAsia="仿宋_GB2312"/>
                <w:sz w:val="28"/>
              </w:rPr>
              <w:t>次，浇水次数不少于</w:t>
            </w:r>
            <w:r>
              <w:rPr>
                <w:rFonts w:ascii="仿宋_GB2312" w:hAnsi="仿宋_GB2312" w:cs="仿宋_GB2312" w:eastAsia="仿宋_GB2312"/>
                <w:sz w:val="28"/>
              </w:rPr>
              <w:t>2</w:t>
            </w:r>
            <w:r>
              <w:rPr>
                <w:rFonts w:ascii="仿宋_GB2312" w:hAnsi="仿宋_GB2312" w:cs="仿宋_GB2312" w:eastAsia="仿宋_GB2312"/>
                <w:sz w:val="28"/>
              </w:rPr>
              <w:t>次，病虫害防治次数不少于</w:t>
            </w:r>
            <w:r>
              <w:rPr>
                <w:rFonts w:ascii="仿宋_GB2312" w:hAnsi="仿宋_GB2312" w:cs="仿宋_GB2312" w:eastAsia="仿宋_GB2312"/>
                <w:sz w:val="28"/>
              </w:rPr>
              <w:t>1</w:t>
            </w:r>
            <w:r>
              <w:rPr>
                <w:rFonts w:ascii="仿宋_GB2312" w:hAnsi="仿宋_GB2312" w:cs="仿宋_GB2312" w:eastAsia="仿宋_GB2312"/>
                <w:sz w:val="28"/>
              </w:rPr>
              <w:t>次。</w:t>
            </w:r>
          </w:p>
          <w:p>
            <w:pPr>
              <w:pStyle w:val="null3"/>
              <w:ind w:firstLine="560"/>
              <w:jc w:val="both"/>
            </w:pPr>
            <w:r>
              <w:rPr>
                <w:rFonts w:ascii="仿宋_GB2312" w:hAnsi="仿宋_GB2312" w:cs="仿宋_GB2312" w:eastAsia="仿宋_GB2312"/>
                <w:sz w:val="28"/>
                <w:b/>
              </w:rPr>
              <w:t>服务要求：</w:t>
            </w:r>
          </w:p>
          <w:p>
            <w:pPr>
              <w:pStyle w:val="null3"/>
              <w:ind w:firstLine="560"/>
              <w:jc w:val="both"/>
            </w:pPr>
            <w:r>
              <w:rPr>
                <w:rFonts w:ascii="仿宋_GB2312" w:hAnsi="仿宋_GB2312" w:cs="仿宋_GB2312" w:eastAsia="仿宋_GB2312"/>
                <w:sz w:val="28"/>
              </w:rPr>
              <w:t>按照管护具体标准负责管护区域内的日常卫生，苗木管护、修剪、喷药（病虫害）、除草、垃圾清理、防火巡查等工作。每天做好林带及景观绿化内垃圾卫生清理工作，同时做好管护相关记录</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根据项目需求合理配备相关专业背景的相关技术人员，满足项目服务要求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根据项目采购项目特性及要求，自行配置投入履行合同所必需的各类设施设备（不限于专业设备、辅助设备、工具等）及场所，保证项目顺利实施。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自合同签订之日起一年内</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符合国家现⾏有关验收规范“合格”要求。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进度款，本项目管护服务总工期 1 年，供应商完成半年管护作业，提交完整中期管护台账、巡护记录、养护作业资料，经甲方组织中期分段验收合格；于2026 年 12 月 31 日前，供应商开具对应金额合规发票，达到付款条件起30个工作日内，支付合同总金额的60.0%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全年管护服务全部履约完毕，供应商提交全套完整竣工管护资料，由第三方专业机构开展终验并出具正式三方验收报告；待项目审计工作全部办结、出具正式审计结论后供应商开具剩余款项合规发票，达到付款条件起30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向西安仲裁委员会提请仲裁</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企业法人提供营业执照、组织机构代码证、税务登记证（或统一社会信用代码的营业执照）；事业法人应提供事业单位法人证；其他组织应提供合法证明文件；自然人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提供法定代表人授权书及被授权人身份证原件（法定代表人直接参加投标，须提供法定代表人身份证明及身份证原件）</w:t>
            </w:r>
          </w:p>
        </w:tc>
        <w:tc>
          <w:tcPr>
            <w:tcW w:type="dxa" w:w="1661"/>
          </w:tcPr>
          <w:p>
            <w:pPr>
              <w:pStyle w:val="null3"/>
            </w:pPr>
            <w:r>
              <w:rPr>
                <w:rFonts w:ascii="仿宋_GB2312" w:hAnsi="仿宋_GB2312" w:cs="仿宋_GB2312" w:eastAsia="仿宋_GB2312"/>
              </w:rPr>
              <w:t>供应商应提交的相关资格证明材料 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须提供经会计事务所或审计机构出具的2024年或2025年完整的财务审计报告（注：带二维码清晰可查验，提供的财务审计报告需在注册会计师行业统一监管平台（http://acc.mof.gov.cn/）可查询并提供网站查询截图）公司成立不足一年的提供成立以来的财务报表，至少包括资产负债表、利润表、现金流量表或开标前三个月内基本账户银行出具的资信证明（资信证明的开具内容至少包含主体信息、资信状况和证明说明）及基本账户开户许可证（或开户行基本信息）。事业单位或其他机构只需提供本单位相关财务报表（至少包括资产负债表、利润表、现金流量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提供2025年6月至今任意一个月的纳税证明或完税证明（任意税种），依法免税的单位应提供相关证明材料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提供2025年6月至今任意一个月的社会保障资金缴存单据或社保机构开具的社会保险参保缴费情况证明，依法不需要缴纳社会保障资金的单位应提供相关证明材料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企业信用</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磋商响应⽂件中项⽬名称、项⽬编号、包号与本项⽬⼀致，⽆遗漏</w:t>
            </w:r>
          </w:p>
        </w:tc>
        <w:tc>
          <w:tcPr>
            <w:tcW w:type="dxa" w:w="3322"/>
          </w:tcPr>
          <w:p>
            <w:pPr>
              <w:pStyle w:val="null3"/>
            </w:pPr>
            <w:r>
              <w:rPr>
                <w:rFonts w:ascii="仿宋_GB2312" w:hAnsi="仿宋_GB2312" w:cs="仿宋_GB2312" w:eastAsia="仿宋_GB2312"/>
              </w:rPr>
              <w:t>磋商响应⽂件中项⽬名称、项⽬编号、包号与本项⽬⼀致，⽆遗漏</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磋商响应⽂件签署、盖章及磋商有效期符合磋商⽂件要求</w:t>
            </w:r>
          </w:p>
        </w:tc>
        <w:tc>
          <w:tcPr>
            <w:tcW w:type="dxa" w:w="3322"/>
          </w:tcPr>
          <w:p>
            <w:pPr>
              <w:pStyle w:val="null3"/>
            </w:pPr>
            <w:r>
              <w:rPr>
                <w:rFonts w:ascii="仿宋_GB2312" w:hAnsi="仿宋_GB2312" w:cs="仿宋_GB2312" w:eastAsia="仿宋_GB2312"/>
              </w:rPr>
              <w:t>磋商响应⽂件签署、盖章及磋商有效期符合磋 商⽂件要求</w:t>
            </w:r>
          </w:p>
        </w:tc>
        <w:tc>
          <w:tcPr>
            <w:tcW w:type="dxa" w:w="1661"/>
          </w:tcPr>
          <w:p>
            <w:pPr>
              <w:pStyle w:val="null3"/>
            </w:pPr>
            <w:r>
              <w:rPr>
                <w:rFonts w:ascii="仿宋_GB2312" w:hAnsi="仿宋_GB2312" w:cs="仿宋_GB2312" w:eastAsia="仿宋_GB2312"/>
              </w:rPr>
              <w:t>响应文件封面 响应函 法定代表人授权书.docx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磋商报价符合唯⼀性要求</w:t>
            </w:r>
          </w:p>
        </w:tc>
        <w:tc>
          <w:tcPr>
            <w:tcW w:type="dxa" w:w="3322"/>
          </w:tcPr>
          <w:p>
            <w:pPr>
              <w:pStyle w:val="null3"/>
            </w:pPr>
            <w:r>
              <w:rPr>
                <w:rFonts w:ascii="仿宋_GB2312" w:hAnsi="仿宋_GB2312" w:cs="仿宋_GB2312" w:eastAsia="仿宋_GB2312"/>
              </w:rPr>
              <w:t>磋商报价符合唯⼀性要求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磋商报价未超出采购预算或采购最⾼限价的</w:t>
            </w:r>
          </w:p>
        </w:tc>
        <w:tc>
          <w:tcPr>
            <w:tcW w:type="dxa" w:w="3322"/>
          </w:tcPr>
          <w:p>
            <w:pPr>
              <w:pStyle w:val="null3"/>
            </w:pPr>
            <w:r>
              <w:rPr>
                <w:rFonts w:ascii="仿宋_GB2312" w:hAnsi="仿宋_GB2312" w:cs="仿宋_GB2312" w:eastAsia="仿宋_GB2312"/>
              </w:rPr>
              <w:t>磋商报价未超出采购预算或采购最⾼限价的</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⽆效磋商检查</w:t>
            </w:r>
          </w:p>
        </w:tc>
        <w:tc>
          <w:tcPr>
            <w:tcW w:type="dxa" w:w="3322"/>
          </w:tcPr>
          <w:p>
            <w:pPr>
              <w:pStyle w:val="null3"/>
            </w:pPr>
            <w:r>
              <w:rPr>
                <w:rFonts w:ascii="仿宋_GB2312" w:hAnsi="仿宋_GB2312" w:cs="仿宋_GB2312" w:eastAsia="仿宋_GB2312"/>
              </w:rPr>
              <w:t>没有出现法律法规或磋商⽂件明确规定的其他被视为“⽆效磋商”的情形及未实质性响应磋商⽂件的情况</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服务内容及服务要求应答表 报价表 法定代表人授权书.docx 响应文件封面 供应商认为有必要补充说明的事项.docx 残疾人福利性单位声明函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针对本项目提供具体可行的服务方案，包括但不限于①项目实施整体方案；②养护方法及技术措施；③养护时间安排；④病虫害防治方案；⑤养护质量保障与控制措施。 二、评审标准 1、完善性：方案必须全面，对评审内容中的各项要求有详细阐述； 2、可实施性：切合本项目实际 情况，提出步骤清晰、合理的方案； 3、针对性：方案能够紧扣项目实际情况，内容科学合理。 上述5项评审内容全部满足评审标准得10分，每有一个评审内容缺项扣2分，每有一项评审内容存在缺陷，扣1分，扣完为止。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一、评审内容：供应商针对本项目提供的应急保障措施，包含但不限于①暴雨、冰冻灾害等突发性恶劣天气影响应急预案；②重大节假日或活动应急预案；③安全事故处理预案；④重大接待、检查任务应急预案；⑤重点植物关注措施及异常植物处置措施等。二、评审标准：以上内容切合本项目实际情况及实施要求，内容与要点相符、每个要点均有展开详细的阐述且能够适用于本项目的计10分。评审内容任意一项缺项扣2分，扣完为止；评审内容任意一项有缺陷扣1分，扣完为止；“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安全保障方案</w:t>
            </w:r>
          </w:p>
        </w:tc>
        <w:tc>
          <w:tcPr>
            <w:tcW w:type="dxa" w:w="2492"/>
          </w:tcPr>
          <w:p>
            <w:pPr>
              <w:pStyle w:val="null3"/>
            </w:pPr>
            <w:r>
              <w:rPr>
                <w:rFonts w:ascii="仿宋_GB2312" w:hAnsi="仿宋_GB2312" w:cs="仿宋_GB2312" w:eastAsia="仿宋_GB2312"/>
              </w:rPr>
              <w:t>评审内容针对本项目提供具体可行的安全保障方案，包含但不限于：①安全制度；②设备与工具安全；③防火及消防安全措施；④化学品安全；说明：以上内容切合本项目实际情况及实施要求，内容全面详细、阐述条理清晰详尽，符合本项目采购需求，能保障本项目实施的得8分。评审内容任意一项缺项或只有标题没有实质性内容扣2分。评审内容任意一项每有一处缺陷扣1分。（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缺陷”定义同此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内部管理制度</w:t>
            </w:r>
          </w:p>
        </w:tc>
        <w:tc>
          <w:tcPr>
            <w:tcW w:type="dxa" w:w="2492"/>
          </w:tcPr>
          <w:p>
            <w:pPr>
              <w:pStyle w:val="null3"/>
            </w:pPr>
            <w:r>
              <w:rPr>
                <w:rFonts w:ascii="仿宋_GB2312" w:hAnsi="仿宋_GB2312" w:cs="仿宋_GB2312" w:eastAsia="仿宋_GB2312"/>
              </w:rPr>
              <w:t>一、评审内容：供应商针对本项目提供的内部管理制度，包含但不限于①养护资料档案管理制度；②人员管理制度：具有员工日常管理办法、考勤管理；③服务自检制度等。二、 评审标准：内部管理制度 各部分内容全面详细、阐述条理清晰详尽、符合本项目采购需求得6分，每缺一项内容扣1分，评审内容任意一项有缺陷扣0.5分，扣完为止；“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针对本项目提供具体可行的安全保障方案，包含但不限于①服务标准；②响应时间；③服务期内的承诺等说明：以上内容切合本项目实际情况及实施要求，内容全面详细、阐述条理清晰详尽，符合本项目采购需求，能保障本项目实施的得4分。评审内容任意一项缺项或只有标题没有实质性内容扣2分。评审内容任意一项每有一处缺陷扣1分。（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缺陷”定义同此处。）</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其他增值 服务</w:t>
            </w:r>
          </w:p>
        </w:tc>
        <w:tc>
          <w:tcPr>
            <w:tcW w:type="dxa" w:w="2492"/>
          </w:tcPr>
          <w:p>
            <w:pPr>
              <w:pStyle w:val="null3"/>
            </w:pPr>
            <w:r>
              <w:rPr>
                <w:rFonts w:ascii="仿宋_GB2312" w:hAnsi="仿宋_GB2312" w:cs="仿宋_GB2312" w:eastAsia="仿宋_GB2312"/>
              </w:rPr>
              <w:t>根据供应商针对本项目在服务期内提供的特色增值服务进行评审，增值服务方案，贴合实际，切实可行得1-2分；增值服务不完整、有缺失，较差得0-1分。 未提供的得0分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项目负责人：具备园林绿化相关专业中级及以上职称得2分，高级及以上职称得3分（需提供职称证书及社保证明）</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项目拟派人员</w:t>
            </w:r>
          </w:p>
        </w:tc>
        <w:tc>
          <w:tcPr>
            <w:tcW w:type="dxa" w:w="2492"/>
          </w:tcPr>
          <w:p>
            <w:pPr>
              <w:pStyle w:val="null3"/>
            </w:pPr>
            <w:r>
              <w:rPr>
                <w:rFonts w:ascii="仿宋_GB2312" w:hAnsi="仿宋_GB2312" w:cs="仿宋_GB2312" w:eastAsia="仿宋_GB2312"/>
              </w:rPr>
              <w:t>拟派人员每配备一个持有特种作业操作证（如高处作业）、安全生产考核合格证书的人员，每人得1分，最高得7分。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投入的主要设备与车辆</w:t>
            </w:r>
          </w:p>
        </w:tc>
        <w:tc>
          <w:tcPr>
            <w:tcW w:type="dxa" w:w="2492"/>
          </w:tcPr>
          <w:p>
            <w:pPr>
              <w:pStyle w:val="null3"/>
            </w:pPr>
            <w:r>
              <w:rPr>
                <w:rFonts w:ascii="仿宋_GB2312" w:hAnsi="仿宋_GB2312" w:cs="仿宋_GB2312" w:eastAsia="仿宋_GB2312"/>
              </w:rPr>
              <w:t>1.拟投入专用作业机械：如割灌机、绿篱机、高枝油锯、粉碎机等，每提供一个得0.5分，最高得5分；证明材料：购买发票或租赁合同 2.拟投入车辆车:每提供1辆绿化浇水车得1分，最高得3分；每提供1辆应急保障车得1分，，最高得2分；证明材料：购买发票或租赁合同</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供应商提供自2023年01月01日起至今类似业绩证明材料，每提供一份业绩有效合同得2分，满分为10分，不得重复累计。 备注：以合同签订时间为准。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 以本次最低有效磋商报价为基准价，其价格分为满分。报价得分=（评审基准价／最终磋商报价）×30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详见附件：2-7--2026年大美高陵•绿色家园建设农村绿化项目管护工程合同(1)(1).docx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