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462AA">
      <w:pPr>
        <w:spacing w:before="114" w:line="226" w:lineRule="auto"/>
        <w:jc w:val="center"/>
        <w:outlineLvl w:val="0"/>
        <w:rPr>
          <w:rFonts w:hint="default" w:ascii="仿宋" w:hAnsi="仿宋" w:eastAsia="仿宋" w:cs="仿宋"/>
          <w:b/>
          <w:bCs/>
          <w:sz w:val="24"/>
          <w:szCs w:val="24"/>
          <w:lang w:eastAsia="zh-CN"/>
        </w:rPr>
      </w:pPr>
      <w:bookmarkStart w:id="0" w:name="_Toc423973074"/>
      <w:bookmarkStart w:id="1" w:name="_Toc25783"/>
      <w:bookmarkStart w:id="2" w:name="_Toc403077645"/>
      <w:bookmarkStart w:id="3" w:name="_Toc9896"/>
      <w:bookmarkStart w:id="4" w:name="_Toc48651751"/>
      <w:bookmarkStart w:id="5" w:name="_Toc24976"/>
      <w:r>
        <w:rPr>
          <w:rFonts w:hint="eastAsia" w:ascii="方正小标宋简体" w:hAnsi="仿宋" w:eastAsia="方正小标宋简体" w:cs="仿宋"/>
          <w:b/>
          <w:bCs/>
          <w:spacing w:val="4"/>
          <w:sz w:val="44"/>
          <w:szCs w:val="44"/>
          <w:lang w:eastAsia="zh-CN"/>
        </w:rPr>
        <w:t>合      同</w:t>
      </w:r>
      <w:bookmarkEnd w:id="0"/>
      <w:bookmarkEnd w:id="1"/>
      <w:bookmarkEnd w:id="2"/>
      <w:bookmarkEnd w:id="3"/>
      <w:bookmarkEnd w:id="4"/>
    </w:p>
    <w:p w14:paraId="266C5DA5">
      <w:pPr>
        <w:pStyle w:val="7"/>
        <w:shd w:val="clear" w:color="auto" w:fill="FFFFFF"/>
        <w:spacing w:line="520" w:lineRule="exact"/>
        <w:ind w:firstLine="482" w:firstLineChars="200"/>
        <w:rPr>
          <w:rFonts w:hint="default" w:ascii="仿宋" w:hAnsi="仿宋" w:eastAsia="仿宋" w:cs="仿宋"/>
          <w:sz w:val="24"/>
          <w:szCs w:val="24"/>
          <w:lang w:eastAsia="zh-CN"/>
        </w:rPr>
      </w:pPr>
      <w:r>
        <w:rPr>
          <w:rFonts w:ascii="仿宋" w:hAnsi="仿宋" w:eastAsia="仿宋" w:cs="仿宋"/>
          <w:b/>
          <w:bCs/>
          <w:sz w:val="24"/>
          <w:szCs w:val="24"/>
          <w:lang w:eastAsia="zh-CN"/>
        </w:rPr>
        <w:t>甲方（采购单位）</w:t>
      </w:r>
      <w:r>
        <w:rPr>
          <w:rFonts w:ascii="仿宋" w:hAnsi="仿宋" w:eastAsia="仿宋" w:cs="仿宋"/>
          <w:sz w:val="24"/>
          <w:szCs w:val="24"/>
          <w:lang w:eastAsia="zh-CN"/>
        </w:rPr>
        <w:t>：西安市高陵区农业农村和林业局</w:t>
      </w:r>
    </w:p>
    <w:p w14:paraId="61A5D23B">
      <w:pPr>
        <w:pStyle w:val="7"/>
        <w:shd w:val="clear" w:color="auto" w:fill="FFFFFF"/>
        <w:spacing w:line="520" w:lineRule="exact"/>
        <w:ind w:firstLine="482" w:firstLineChars="200"/>
        <w:rPr>
          <w:rFonts w:hint="default" w:ascii="仿宋" w:hAnsi="仿宋" w:eastAsia="仿宋" w:cs="仿宋"/>
          <w:sz w:val="24"/>
          <w:szCs w:val="24"/>
          <w:lang w:eastAsia="zh-CN"/>
        </w:rPr>
      </w:pPr>
      <w:r>
        <w:rPr>
          <w:rFonts w:ascii="仿宋" w:hAnsi="仿宋" w:eastAsia="仿宋" w:cs="仿宋"/>
          <w:b/>
          <w:bCs/>
          <w:sz w:val="24"/>
          <w:szCs w:val="24"/>
          <w:lang w:eastAsia="zh-CN"/>
        </w:rPr>
        <w:t>乙方（成交供应商）</w:t>
      </w:r>
      <w:r>
        <w:rPr>
          <w:rFonts w:ascii="仿宋" w:hAnsi="仿宋" w:eastAsia="仿宋" w:cs="仿宋"/>
          <w:sz w:val="24"/>
          <w:szCs w:val="24"/>
          <w:lang w:eastAsia="zh-CN"/>
        </w:rPr>
        <w:t>：</w:t>
      </w:r>
    </w:p>
    <w:p w14:paraId="683D3500">
      <w:pPr>
        <w:pStyle w:val="7"/>
        <w:shd w:val="clear" w:color="auto" w:fill="FFFFFF"/>
        <w:spacing w:line="520" w:lineRule="exact"/>
        <w:ind w:firstLine="480"/>
        <w:rPr>
          <w:rFonts w:hint="default" w:ascii="仿宋" w:hAnsi="仿宋" w:eastAsia="仿宋" w:cs="仿宋"/>
          <w:sz w:val="24"/>
          <w:szCs w:val="24"/>
          <w:lang w:eastAsia="zh-CN"/>
        </w:rPr>
      </w:pPr>
      <w:r>
        <w:rPr>
          <w:rFonts w:ascii="仿宋" w:hAnsi="仿宋" w:eastAsia="仿宋" w:cs="仿宋"/>
          <w:sz w:val="24"/>
          <w:szCs w:val="24"/>
          <w:lang w:eastAsia="zh-CN"/>
        </w:rPr>
        <w:t>甲、乙双方在平等自愿和公平公正的原则下，根据《中华人民共和国民法典》等相关法律法规的规定，就大美高陵•绿色家园建设农村绿化项目管护（项目编号：</w:t>
      </w:r>
      <w:r>
        <w:rPr>
          <w:rFonts w:hint="eastAsia" w:ascii="仿宋" w:hAnsi="仿宋" w:eastAsia="仿宋" w:cs="仿宋"/>
          <w:sz w:val="24"/>
          <w:szCs w:val="24"/>
          <w:lang w:val="en-US" w:eastAsia="zh-CN"/>
        </w:rPr>
        <w:t xml:space="preserve">   </w:t>
      </w:r>
      <w:r>
        <w:rPr>
          <w:rFonts w:ascii="仿宋" w:hAnsi="仿宋" w:eastAsia="仿宋" w:cs="仿宋"/>
          <w:sz w:val="24"/>
          <w:szCs w:val="24"/>
          <w:lang w:eastAsia="zh-CN"/>
        </w:rPr>
        <w:t>），在西安市高陵区财政局的监督管理下，经</w:t>
      </w:r>
      <w:r>
        <w:rPr>
          <w:rFonts w:hint="eastAsia" w:ascii="仿宋" w:hAnsi="仿宋" w:eastAsia="仿宋" w:cs="仿宋"/>
          <w:sz w:val="24"/>
          <w:szCs w:val="24"/>
          <w:lang w:val="en-US" w:eastAsia="zh-CN"/>
        </w:rPr>
        <w:t>XXX</w:t>
      </w:r>
      <w:r>
        <w:rPr>
          <w:rFonts w:ascii="仿宋" w:hAnsi="仿宋" w:eastAsia="仿宋" w:cs="仿宋"/>
          <w:sz w:val="24"/>
          <w:szCs w:val="24"/>
          <w:lang w:eastAsia="zh-CN"/>
        </w:rPr>
        <w:t>管理有限公司组织竞争性磋商，确定的成交单位为乙方，双方就约定的相关事宜，经友好协商签订本合同。</w:t>
      </w:r>
    </w:p>
    <w:p w14:paraId="3A98A461">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一、本着平等互惠、互相支持、共同发展的原则，就甲方针对本项目的事宜，经甲乙双方友好协商，共同签署本合同，以此共同遵守。</w:t>
      </w:r>
    </w:p>
    <w:p w14:paraId="2D0A1E87">
      <w:pPr>
        <w:pStyle w:val="8"/>
        <w:spacing w:beforeAutospacing="0" w:afterAutospacing="0" w:line="520" w:lineRule="exact"/>
        <w:ind w:firstLine="480" w:firstLineChars="200"/>
        <w:rPr>
          <w:rFonts w:ascii="仿宋" w:hAnsi="仿宋" w:eastAsia="仿宋" w:cs="仿宋"/>
          <w:szCs w:val="24"/>
        </w:rPr>
      </w:pPr>
      <w:bookmarkStart w:id="6" w:name="OLE_LINK18"/>
      <w:bookmarkStart w:id="7" w:name="OLE_LINK17"/>
      <w:r>
        <w:rPr>
          <w:rFonts w:hint="eastAsia" w:ascii="仿宋" w:hAnsi="仿宋" w:eastAsia="仿宋" w:cs="仿宋"/>
          <w:szCs w:val="24"/>
        </w:rPr>
        <w:t>二、项目名称</w:t>
      </w:r>
      <w:r>
        <w:rPr>
          <w:rFonts w:ascii="仿宋" w:hAnsi="仿宋" w:eastAsia="仿宋" w:cs="仿宋"/>
          <w:szCs w:val="24"/>
        </w:rPr>
        <w:t>:</w:t>
      </w:r>
      <w:r>
        <w:rPr>
          <w:rFonts w:hint="eastAsia" w:ascii="仿宋" w:hAnsi="仿宋" w:eastAsia="仿宋" w:cs="仿宋"/>
          <w:szCs w:val="24"/>
          <w:lang w:val="en-US" w:eastAsia="zh-CN"/>
        </w:rPr>
        <w:t>2026年</w:t>
      </w:r>
      <w:bookmarkStart w:id="8" w:name="OLE_LINK12"/>
      <w:bookmarkStart w:id="9" w:name="OLE_LINK11"/>
      <w:r>
        <w:rPr>
          <w:rFonts w:hint="eastAsia" w:ascii="仿宋" w:hAnsi="仿宋" w:eastAsia="仿宋" w:cs="仿宋"/>
          <w:szCs w:val="24"/>
        </w:rPr>
        <w:t>大美高陵</w:t>
      </w:r>
      <w:r>
        <w:rPr>
          <w:rFonts w:hint="eastAsia" w:ascii="宋体" w:hAnsi="宋体" w:eastAsia="宋体" w:cs="宋体"/>
          <w:szCs w:val="24"/>
        </w:rPr>
        <w:t>•</w:t>
      </w:r>
      <w:r>
        <w:rPr>
          <w:rFonts w:hint="eastAsia" w:ascii="仿宋" w:hAnsi="仿宋" w:eastAsia="仿宋" w:cs="仿宋"/>
          <w:szCs w:val="24"/>
        </w:rPr>
        <w:t>绿色家园建设农村绿化项目管护工程</w:t>
      </w:r>
      <w:bookmarkEnd w:id="8"/>
      <w:bookmarkEnd w:id="9"/>
    </w:p>
    <w:p w14:paraId="5E0EBFF5">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三、</w:t>
      </w:r>
      <w:bookmarkEnd w:id="6"/>
      <w:bookmarkEnd w:id="7"/>
      <w:r>
        <w:rPr>
          <w:rFonts w:hint="eastAsia" w:ascii="仿宋" w:hAnsi="仿宋" w:eastAsia="仿宋" w:cs="仿宋"/>
          <w:szCs w:val="24"/>
        </w:rPr>
        <w:t>服务范围：</w:t>
      </w:r>
      <w:r>
        <w:rPr>
          <w:rFonts w:hint="eastAsia" w:ascii="仿宋" w:hAnsi="仿宋" w:eastAsia="仿宋" w:cs="仿宋"/>
          <w:szCs w:val="24"/>
          <w:lang w:val="en-US" w:eastAsia="zh-CN"/>
        </w:rPr>
        <w:t>2026年</w:t>
      </w:r>
      <w:r>
        <w:rPr>
          <w:rFonts w:hint="eastAsia" w:ascii="仿宋" w:hAnsi="仿宋" w:eastAsia="仿宋" w:cs="仿宋"/>
          <w:szCs w:val="24"/>
        </w:rPr>
        <w:t>大美高陵•绿色家园建设农村绿化项目实施范围</w:t>
      </w:r>
      <w:r>
        <w:rPr>
          <w:rFonts w:hint="eastAsia" w:ascii="仿宋" w:hAnsi="仿宋" w:eastAsia="仿宋" w:cs="仿宋"/>
          <w:szCs w:val="24"/>
          <w:lang w:eastAsia="zh-CN"/>
        </w:rPr>
        <w:t>，</w:t>
      </w:r>
      <w:r>
        <w:rPr>
          <w:rFonts w:hint="eastAsia" w:ascii="仿宋" w:hAnsi="仿宋" w:eastAsia="仿宋" w:cs="仿宋"/>
          <w:szCs w:val="24"/>
        </w:rPr>
        <w:t>包括西咸北环线全段、高陵场畔周边、渭阳一路沿线部分区域、张卜义务植树点(西禹高速西侧)及甲方指定区域。</w:t>
      </w:r>
    </w:p>
    <w:p w14:paraId="027AAE8A">
      <w:pPr>
        <w:pStyle w:val="8"/>
        <w:spacing w:beforeAutospacing="0" w:afterAutospacing="0" w:line="520" w:lineRule="exact"/>
        <w:ind w:firstLine="480" w:firstLineChars="200"/>
        <w:rPr>
          <w:rFonts w:hint="eastAsia" w:ascii="仿宋" w:hAnsi="仿宋" w:eastAsia="仿宋" w:cs="仿宋"/>
          <w:szCs w:val="24"/>
        </w:rPr>
      </w:pPr>
      <w:r>
        <w:rPr>
          <w:rFonts w:hint="eastAsia" w:ascii="仿宋" w:hAnsi="仿宋" w:eastAsia="仿宋" w:cs="仿宋"/>
          <w:szCs w:val="24"/>
        </w:rPr>
        <w:t>四、服务内容：对西咸北环线全段、高陵场畔周边、渭阳一路沿线部分区域、张卜义务植树点及指定区域绿化场地的所有苗木进行日常巡护、修剪、浇水、除草、防火及草坪修剪、林长制牌巡护等。对所管护的林木区域的林长制公示牌进行巡护和管理。</w:t>
      </w:r>
    </w:p>
    <w:p w14:paraId="0A9B797D">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五、服务期限：自合同签订之日起一年内。</w:t>
      </w:r>
    </w:p>
    <w:p w14:paraId="7FB7D3B1">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六、服务费用及支付期限</w:t>
      </w:r>
    </w:p>
    <w:p w14:paraId="66E79200">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1、本项目工程经</w:t>
      </w:r>
      <w:r>
        <w:rPr>
          <w:rFonts w:ascii="仿宋" w:hAnsi="仿宋" w:eastAsia="仿宋" w:cs="仿宋"/>
          <w:szCs w:val="24"/>
        </w:rPr>
        <w:t>竞争性磋商采购</w:t>
      </w:r>
      <w:r>
        <w:rPr>
          <w:rFonts w:hint="eastAsia" w:ascii="仿宋" w:hAnsi="仿宋" w:eastAsia="仿宋" w:cs="仿宋"/>
          <w:szCs w:val="24"/>
        </w:rPr>
        <w:t>确定乙方的中标含税价格为：</w:t>
      </w:r>
      <w:r>
        <w:rPr>
          <w:rFonts w:hint="eastAsia" w:ascii="仿宋" w:hAnsi="仿宋" w:eastAsia="仿宋" w:cs="仿宋"/>
          <w:szCs w:val="24"/>
          <w:lang w:val="en-US" w:eastAsia="zh-CN"/>
        </w:rPr>
        <w:t xml:space="preserve">         </w:t>
      </w:r>
      <w:r>
        <w:rPr>
          <w:rFonts w:hint="eastAsia" w:ascii="仿宋" w:hAnsi="仿宋" w:eastAsia="仿宋" w:cs="仿宋"/>
          <w:szCs w:val="24"/>
        </w:rPr>
        <w:t>（</w:t>
      </w:r>
      <w:r>
        <w:rPr>
          <w:rFonts w:hint="eastAsia" w:ascii="仿宋" w:hAnsi="仿宋" w:eastAsia="仿宋" w:cs="仿宋"/>
          <w:szCs w:val="24"/>
          <w:lang w:val="en-US" w:eastAsia="zh-CN"/>
        </w:rPr>
        <w:t xml:space="preserve">     </w:t>
      </w:r>
      <w:r>
        <w:rPr>
          <w:rFonts w:hint="eastAsia" w:ascii="仿宋" w:hAnsi="仿宋" w:eastAsia="仿宋" w:cs="仿宋"/>
          <w:szCs w:val="24"/>
        </w:rPr>
        <w:t>元）人民币，该费用包括但不限于工程施工费、管护期死亡</w:t>
      </w:r>
      <w:bookmarkStart w:id="10" w:name="OLE_LINK4"/>
      <w:r>
        <w:rPr>
          <w:rFonts w:hint="eastAsia" w:ascii="仿宋" w:hAnsi="仿宋" w:eastAsia="仿宋" w:cs="仿宋"/>
          <w:szCs w:val="24"/>
        </w:rPr>
        <w:t>苗木、绿植</w:t>
      </w:r>
      <w:bookmarkEnd w:id="10"/>
      <w:r>
        <w:rPr>
          <w:rFonts w:hint="eastAsia" w:ascii="仿宋" w:hAnsi="仿宋" w:eastAsia="仿宋" w:cs="仿宋"/>
          <w:szCs w:val="24"/>
        </w:rPr>
        <w:t>更换、修剪、清理杂草、浇水、病虫害防治（一般含冬春季树木涂白或药剂处理各一次，病虫害严重时应根据需要进行）</w:t>
      </w:r>
      <w:r>
        <w:rPr>
          <w:rFonts w:hint="eastAsia" w:ascii="仿宋" w:hAnsi="仿宋" w:eastAsia="仿宋" w:cs="仿宋"/>
          <w:szCs w:val="24"/>
          <w:lang w:eastAsia="zh-CN"/>
        </w:rPr>
        <w:t>、林长制牌巡护</w:t>
      </w:r>
      <w:r>
        <w:rPr>
          <w:rFonts w:hint="eastAsia" w:ascii="仿宋" w:hAnsi="仿宋" w:eastAsia="仿宋" w:cs="仿宋"/>
          <w:szCs w:val="24"/>
        </w:rPr>
        <w:t>、人工费、交通费、材料费、设备器材费、巡查费、税费等一切相关费用。</w:t>
      </w:r>
    </w:p>
    <w:p w14:paraId="4BF6D722">
      <w:pPr>
        <w:pStyle w:val="8"/>
        <w:spacing w:beforeAutospacing="0" w:afterAutospacing="0" w:line="520" w:lineRule="exact"/>
        <w:ind w:firstLine="480" w:firstLineChars="200"/>
        <w:rPr>
          <w:rFonts w:hint="eastAsia" w:ascii="仿宋" w:hAnsi="仿宋" w:eastAsia="仿宋_GB2312" w:cs="仿宋"/>
          <w:szCs w:val="24"/>
          <w:lang w:eastAsia="zh-CN"/>
        </w:rPr>
      </w:pPr>
      <w:r>
        <w:rPr>
          <w:rFonts w:hint="eastAsia" w:ascii="仿宋" w:hAnsi="仿宋" w:eastAsia="仿宋" w:cs="仿宋"/>
          <w:szCs w:val="24"/>
        </w:rPr>
        <w:t>2、本合同签订后，乙方对服务范围内的苗木、绿植巡查，并完成杂草清理，浇水，修剪，病虫害防治（含冬春季树木涂白或药剂处理</w:t>
      </w:r>
      <w:r>
        <w:rPr>
          <w:rFonts w:ascii="仿宋" w:hAnsi="仿宋" w:eastAsia="仿宋" w:cs="仿宋"/>
          <w:szCs w:val="24"/>
        </w:rPr>
        <w:t>)</w:t>
      </w:r>
      <w:r>
        <w:rPr>
          <w:rFonts w:hint="eastAsia" w:ascii="仿宋" w:hAnsi="仿宋" w:eastAsia="仿宋" w:cs="仿宋"/>
          <w:szCs w:val="24"/>
          <w:lang w:eastAsia="zh-CN"/>
        </w:rPr>
        <w:t>。</w:t>
      </w:r>
      <w:r>
        <w:rPr>
          <w:rFonts w:hint="eastAsia" w:ascii="仿宋" w:hAnsi="仿宋" w:eastAsia="仿宋" w:cs="仿宋"/>
          <w:color w:val="FF0000"/>
          <w:szCs w:val="24"/>
          <w:lang w:eastAsia="zh-CN"/>
        </w:rPr>
        <w:t>按进度支付：</w:t>
      </w:r>
      <w:r>
        <w:rPr>
          <w:rFonts w:hint="eastAsia" w:ascii="仿宋" w:hAnsi="仿宋" w:eastAsia="仿宋" w:cs="仿宋"/>
          <w:szCs w:val="24"/>
          <w:lang w:eastAsia="zh-CN"/>
        </w:rPr>
        <w:t>（</w:t>
      </w:r>
      <w:r>
        <w:rPr>
          <w:rFonts w:hint="eastAsia" w:ascii="仿宋" w:hAnsi="仿宋" w:eastAsia="仿宋" w:cs="仿宋"/>
          <w:szCs w:val="24"/>
          <w:lang w:val="en-US" w:eastAsia="zh-CN"/>
        </w:rPr>
        <w:t>1）</w:t>
      </w:r>
      <w:r>
        <w:rPr>
          <w:rFonts w:hint="eastAsia" w:ascii="仿宋" w:hAnsi="仿宋" w:eastAsia="仿宋" w:cs="仿宋"/>
          <w:szCs w:val="24"/>
        </w:rPr>
        <w:t xml:space="preserve"> </w:t>
      </w:r>
      <w:r>
        <w:rPr>
          <w:rFonts w:ascii="仿宋_GB2312" w:hAnsi="仿宋_GB2312" w:eastAsia="仿宋_GB2312" w:cs="仿宋_GB2312"/>
        </w:rPr>
        <w:t>进度款，本项目管护服务总工期 1 年，供应商完成半年管护作业，提交完整中期管护台账、巡护记录、养护作业资料，经甲方组织中期分段验收合格；于2026年12月31</w:t>
      </w:r>
      <w:bookmarkStart w:id="16" w:name="_GoBack"/>
      <w:bookmarkEnd w:id="16"/>
      <w:r>
        <w:rPr>
          <w:rFonts w:ascii="仿宋_GB2312" w:hAnsi="仿宋_GB2312" w:eastAsia="仿宋_GB2312" w:cs="仿宋_GB2312"/>
        </w:rPr>
        <w:t>日前，供应商开具对应金额合规发票，达到付款条件起30个工作日内，支付合同总金额的60.0%</w:t>
      </w:r>
      <w:r>
        <w:rPr>
          <w:rFonts w:hint="eastAsia" w:ascii="仿宋_GB2312" w:hAnsi="仿宋_GB2312" w:eastAsia="仿宋_GB2312" w:cs="仿宋_GB2312"/>
          <w:lang w:eastAsia="zh-CN"/>
        </w:rPr>
        <w:t>。</w:t>
      </w:r>
    </w:p>
    <w:p w14:paraId="60DDC017">
      <w:pPr>
        <w:pStyle w:val="8"/>
        <w:spacing w:beforeAutospacing="0" w:afterAutospacing="0" w:line="520" w:lineRule="exact"/>
        <w:ind w:firstLine="480" w:firstLineChars="200"/>
        <w:rPr>
          <w:rFonts w:hint="eastAsia" w:ascii="仿宋" w:hAnsi="仿宋" w:eastAsia="仿宋_GB2312" w:cs="仿宋"/>
          <w:szCs w:val="24"/>
          <w:lang w:eastAsia="zh-CN"/>
        </w:rPr>
      </w:pPr>
      <w:r>
        <w:rPr>
          <w:rFonts w:hint="eastAsia" w:ascii="仿宋" w:hAnsi="仿宋" w:eastAsia="仿宋" w:cs="仿宋"/>
          <w:szCs w:val="24"/>
          <w:lang w:eastAsia="zh-CN"/>
        </w:rPr>
        <w:t>（</w:t>
      </w:r>
      <w:r>
        <w:rPr>
          <w:rFonts w:hint="eastAsia" w:ascii="仿宋" w:hAnsi="仿宋" w:eastAsia="仿宋" w:cs="仿宋"/>
          <w:szCs w:val="24"/>
          <w:lang w:val="en-US" w:eastAsia="zh-CN"/>
        </w:rPr>
        <w:t>2）</w:t>
      </w:r>
      <w:r>
        <w:rPr>
          <w:rFonts w:hint="eastAsia" w:ascii="仿宋" w:hAnsi="仿宋" w:eastAsia="仿宋" w:cs="仿宋"/>
          <w:szCs w:val="24"/>
        </w:rPr>
        <w:t xml:space="preserve"> 进度款，</w:t>
      </w:r>
      <w:r>
        <w:rPr>
          <w:rFonts w:ascii="仿宋_GB2312" w:hAnsi="仿宋_GB2312" w:eastAsia="仿宋_GB2312" w:cs="仿宋_GB2312"/>
        </w:rPr>
        <w:t>全年管护服务全部履约完毕，供应商提交全套完整竣工管护资料，由第三方专业机构开展终验并出具正式三方验收报告；待项目审计工作全部办结、出具正式审计结论后供应商开具剩余款项合规发票，达到付款条件起30个工作日内，支付合同总金额的40.0%</w:t>
      </w:r>
      <w:r>
        <w:rPr>
          <w:rFonts w:hint="eastAsia" w:ascii="仿宋_GB2312" w:hAnsi="仿宋_GB2312" w:eastAsia="仿宋_GB2312" w:cs="仿宋_GB2312"/>
          <w:lang w:eastAsia="zh-CN"/>
        </w:rPr>
        <w:t>。</w:t>
      </w:r>
    </w:p>
    <w:p w14:paraId="7EC2A3BB">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lang w:val="en-US" w:eastAsia="zh-CN"/>
        </w:rPr>
        <w:t>3</w:t>
      </w:r>
      <w:r>
        <w:rPr>
          <w:rFonts w:hint="eastAsia" w:ascii="仿宋" w:hAnsi="仿宋" w:eastAsia="仿宋" w:cs="仿宋"/>
          <w:szCs w:val="24"/>
        </w:rPr>
        <w:t>.服务期限：自合同签订之日起一年内。</w:t>
      </w:r>
    </w:p>
    <w:p w14:paraId="0ACB9A7E">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lang w:val="en-US" w:eastAsia="zh-CN"/>
        </w:rPr>
        <w:t>4</w:t>
      </w:r>
      <w:r>
        <w:rPr>
          <w:rFonts w:hint="eastAsia" w:ascii="仿宋" w:hAnsi="仿宋" w:eastAsia="仿宋" w:cs="仿宋"/>
          <w:szCs w:val="24"/>
        </w:rPr>
        <w:t>、乙方的收款信息如下：</w:t>
      </w:r>
    </w:p>
    <w:p w14:paraId="6E7F8C55">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开户银行：</w:t>
      </w:r>
    </w:p>
    <w:p w14:paraId="2BA36F7C">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开户名：</w:t>
      </w:r>
    </w:p>
    <w:p w14:paraId="2C675581">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账号：</w:t>
      </w:r>
      <w:bookmarkStart w:id="11" w:name="OLE_LINK9"/>
      <w:bookmarkStart w:id="12" w:name="OLE_LINK8"/>
    </w:p>
    <w:bookmarkEnd w:id="11"/>
    <w:bookmarkEnd w:id="12"/>
    <w:p w14:paraId="4A7C89D6">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七、乙方服务人员：是指乙方派出的符合本合同资格条件的、在甲方从事本合同规定的服务项目范围以内工作的人员。乙方有义务在本合同有效期内维持其与服务人员合法的劳动合同关系，购买社保，避免产生劳动争议纠纷，否则，甲方有权单方解除本合同。</w:t>
      </w:r>
    </w:p>
    <w:p w14:paraId="6D59961E">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八、甲方权利义务</w:t>
      </w:r>
    </w:p>
    <w:p w14:paraId="1B463932">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1、甲方对乙方林木管护区域的管护措施及管护质量进行监督检查，现场签单确认。对未按照管护标准执行的相应核减管护费用1%-10%。</w:t>
      </w:r>
    </w:p>
    <w:p w14:paraId="657B3788">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2、甲方有权对乙方的林木管护工作进行安排和指导，对乙方存在的问题及时批评、纠正或处罚。</w:t>
      </w:r>
    </w:p>
    <w:p w14:paraId="65A99BC3">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3、甲方为乙方提供各管护区域苗木品种及数量（以区</w:t>
      </w:r>
      <w:r>
        <w:rPr>
          <w:rFonts w:hint="eastAsia" w:ascii="仿宋" w:hAnsi="仿宋" w:eastAsia="仿宋" w:cs="仿宋"/>
          <w:szCs w:val="24"/>
          <w:lang w:eastAsia="zh-CN"/>
        </w:rPr>
        <w:t>财政局结算评审</w:t>
      </w:r>
      <w:r>
        <w:rPr>
          <w:rFonts w:hint="eastAsia" w:ascii="仿宋" w:hAnsi="仿宋" w:eastAsia="仿宋" w:cs="仿宋"/>
          <w:szCs w:val="24"/>
        </w:rPr>
        <w:t>报告核准数量为准），要求乙方完成一个管护周期后，苗木保存率在98%以上。对达不到98%的部分相应核减管护费用，苗木存活率每少于1%相应扣减管护费用的1%，以夯实乙方管护责任。</w:t>
      </w:r>
    </w:p>
    <w:p w14:paraId="5C7928AF">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4、甲方有权在乙方不履行管护责任或遇到国家重大基建项目（如道路拓宽）的情况下，给予解除合同。</w:t>
      </w:r>
    </w:p>
    <w:p w14:paraId="42575A52">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九、乙方权利义务</w:t>
      </w:r>
    </w:p>
    <w:p w14:paraId="0B73A3E0">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1、负责对所管护的林木区域每天进行巡查和管理，严禁出现非法占用、毁坏林带、景观绿化行</w:t>
      </w:r>
      <w:r>
        <w:rPr>
          <w:rFonts w:hint="eastAsia" w:ascii="仿宋" w:hAnsi="仿宋" w:eastAsia="仿宋" w:cs="仿宋"/>
          <w:color w:val="auto"/>
          <w:szCs w:val="24"/>
        </w:rPr>
        <w:t>为和火灾发生</w:t>
      </w:r>
      <w:r>
        <w:rPr>
          <w:rFonts w:hint="eastAsia" w:ascii="仿宋" w:hAnsi="仿宋" w:eastAsia="仿宋" w:cs="仿宋"/>
          <w:szCs w:val="24"/>
        </w:rPr>
        <w:t>。如发生类似情况，要及时制止，积极扑救，有责任追查肇事者责任，查不到肇事者由乙方承担一切责任。</w:t>
      </w:r>
    </w:p>
    <w:p w14:paraId="6BDB92AB">
      <w:pPr>
        <w:pStyle w:val="8"/>
        <w:spacing w:beforeAutospacing="0" w:afterAutospacing="0" w:line="520" w:lineRule="exact"/>
        <w:ind w:firstLine="480" w:firstLineChars="200"/>
        <w:rPr>
          <w:rFonts w:ascii="仿宋" w:hAnsi="仿宋" w:eastAsia="仿宋" w:cs="仿宋"/>
          <w:color w:val="auto"/>
          <w:szCs w:val="24"/>
        </w:rPr>
      </w:pPr>
      <w:r>
        <w:rPr>
          <w:rFonts w:hint="eastAsia" w:ascii="仿宋" w:hAnsi="仿宋" w:eastAsia="仿宋" w:cs="仿宋"/>
          <w:szCs w:val="24"/>
        </w:rPr>
        <w:t>2、乙方按照管护具体标准负责管护区域内的日常卫生，苗木管护、修剪、喷药（病虫害）、除草、垃圾清理、防火巡查等工作，</w:t>
      </w:r>
      <w:r>
        <w:rPr>
          <w:rFonts w:hint="eastAsia" w:ascii="仿宋" w:hAnsi="仿宋" w:eastAsia="仿宋" w:cs="仿宋"/>
          <w:color w:val="auto"/>
          <w:szCs w:val="24"/>
        </w:rPr>
        <w:t>对派出施工人员做好安全教育并全权负责所有施工人员人身安全责任，并及时为工作人员购买工伤及意外险。同时做好甲方交办的相关工作。每天做好林带</w:t>
      </w:r>
      <w:r>
        <w:rPr>
          <w:rFonts w:hint="eastAsia" w:ascii="仿宋" w:hAnsi="仿宋" w:eastAsia="仿宋" w:cs="仿宋"/>
          <w:szCs w:val="24"/>
        </w:rPr>
        <w:t>及景观绿化内垃圾卫生清理工作，同时做好管护相关记录</w:t>
      </w:r>
      <w:r>
        <w:rPr>
          <w:rFonts w:hint="eastAsia" w:ascii="仿宋" w:hAnsi="仿宋" w:eastAsia="仿宋" w:cs="仿宋"/>
          <w:color w:val="auto"/>
          <w:szCs w:val="24"/>
        </w:rPr>
        <w:t>。乙方一项或两项管护内容完成后由甲方现场检查并签苗木管护确认单。</w:t>
      </w:r>
    </w:p>
    <w:p w14:paraId="461959F0">
      <w:pPr>
        <w:pStyle w:val="8"/>
        <w:spacing w:beforeAutospacing="0" w:afterAutospacing="0" w:line="520" w:lineRule="exact"/>
        <w:ind w:firstLine="480" w:firstLineChars="200"/>
        <w:rPr>
          <w:rFonts w:hint="eastAsia" w:ascii="仿宋" w:hAnsi="仿宋" w:eastAsia="仿宋" w:cs="仿宋"/>
          <w:color w:val="FF0000"/>
          <w:szCs w:val="24"/>
        </w:rPr>
      </w:pPr>
      <w:r>
        <w:rPr>
          <w:rFonts w:hint="eastAsia" w:ascii="仿宋" w:hAnsi="仿宋" w:eastAsia="仿宋" w:cs="仿宋"/>
          <w:color w:val="auto"/>
          <w:szCs w:val="24"/>
        </w:rPr>
        <w:t>3、林木管护具体标准为：</w:t>
      </w:r>
      <w:r>
        <w:rPr>
          <w:rFonts w:hint="eastAsia" w:ascii="仿宋" w:hAnsi="仿宋" w:eastAsia="仿宋" w:cs="仿宋"/>
          <w:color w:val="FF0000"/>
          <w:szCs w:val="24"/>
        </w:rPr>
        <w:t>每</w:t>
      </w:r>
      <w:bookmarkStart w:id="13" w:name="OLE_LINK10"/>
      <w:r>
        <w:rPr>
          <w:rFonts w:hint="eastAsia" w:ascii="仿宋" w:hAnsi="仿宋" w:eastAsia="仿宋" w:cs="仿宋"/>
          <w:color w:val="FF0000"/>
          <w:szCs w:val="24"/>
        </w:rPr>
        <w:t>年苗木修</w:t>
      </w:r>
      <w:bookmarkStart w:id="14" w:name="OLE_LINK2"/>
      <w:bookmarkStart w:id="15" w:name="OLE_LINK3"/>
      <w:r>
        <w:rPr>
          <w:rFonts w:hint="eastAsia" w:ascii="仿宋" w:hAnsi="仿宋" w:eastAsia="仿宋" w:cs="仿宋"/>
          <w:color w:val="FF0000"/>
          <w:szCs w:val="24"/>
        </w:rPr>
        <w:t>剪</w:t>
      </w:r>
      <w:bookmarkEnd w:id="14"/>
      <w:bookmarkEnd w:id="15"/>
      <w:r>
        <w:rPr>
          <w:rFonts w:hint="eastAsia" w:ascii="仿宋" w:hAnsi="仿宋" w:eastAsia="仿宋" w:cs="仿宋"/>
          <w:color w:val="FF0000"/>
          <w:szCs w:val="24"/>
        </w:rPr>
        <w:t>不少于</w:t>
      </w:r>
      <w:r>
        <w:rPr>
          <w:rFonts w:hint="eastAsia" w:ascii="仿宋" w:hAnsi="仿宋" w:eastAsia="仿宋" w:cs="仿宋"/>
          <w:color w:val="FF0000"/>
          <w:szCs w:val="24"/>
          <w:lang w:val="en-US" w:eastAsia="zh-CN"/>
        </w:rPr>
        <w:t>1</w:t>
      </w:r>
      <w:r>
        <w:rPr>
          <w:rFonts w:hint="eastAsia" w:ascii="仿宋" w:hAnsi="仿宋" w:eastAsia="仿宋" w:cs="仿宋"/>
          <w:color w:val="FF0000"/>
          <w:szCs w:val="24"/>
        </w:rPr>
        <w:t>次，清理杂草次数不少于3次（如遇多雨年份或工作需要，以甲方具体要求为准），浇水次数不少于</w:t>
      </w:r>
      <w:r>
        <w:rPr>
          <w:rFonts w:hint="eastAsia" w:ascii="仿宋" w:hAnsi="仿宋" w:eastAsia="仿宋" w:cs="仿宋"/>
          <w:color w:val="FF0000"/>
          <w:szCs w:val="24"/>
          <w:lang w:val="en-US" w:eastAsia="zh-CN"/>
        </w:rPr>
        <w:t>2</w:t>
      </w:r>
      <w:r>
        <w:rPr>
          <w:rFonts w:hint="eastAsia" w:ascii="仿宋" w:hAnsi="仿宋" w:eastAsia="仿宋" w:cs="仿宋"/>
          <w:color w:val="FF0000"/>
          <w:szCs w:val="24"/>
        </w:rPr>
        <w:t>次（如抗旱水、冬灌水），病虫害防治次数不少于</w:t>
      </w:r>
      <w:r>
        <w:rPr>
          <w:rFonts w:hint="eastAsia" w:ascii="仿宋" w:hAnsi="仿宋" w:eastAsia="仿宋" w:cs="仿宋"/>
          <w:color w:val="FF0000"/>
          <w:szCs w:val="24"/>
          <w:lang w:val="en-US" w:eastAsia="zh-CN"/>
        </w:rPr>
        <w:t>1</w:t>
      </w:r>
      <w:r>
        <w:rPr>
          <w:rFonts w:hint="eastAsia" w:ascii="仿宋" w:hAnsi="仿宋" w:eastAsia="仿宋" w:cs="仿宋"/>
          <w:color w:val="FF0000"/>
          <w:szCs w:val="24"/>
        </w:rPr>
        <w:t>次（含冬春季树木涂白或药剂处理</w:t>
      </w:r>
      <w:bookmarkEnd w:id="13"/>
      <w:r>
        <w:rPr>
          <w:rFonts w:hint="eastAsia" w:ascii="仿宋" w:hAnsi="仿宋" w:eastAsia="仿宋" w:cs="仿宋"/>
          <w:color w:val="FF0000"/>
          <w:szCs w:val="24"/>
        </w:rPr>
        <w:t>，如遇到病虫害发生严重年份达到彻底防治程度）。</w:t>
      </w:r>
    </w:p>
    <w:p w14:paraId="41E1E3D6">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4、</w:t>
      </w:r>
      <w:r>
        <w:rPr>
          <w:rFonts w:ascii="仿宋" w:hAnsi="仿宋" w:eastAsia="仿宋" w:cs="仿宋"/>
          <w:spacing w:val="1"/>
          <w:szCs w:val="24"/>
        </w:rPr>
        <w:t>负责管护区</w:t>
      </w:r>
      <w:r>
        <w:rPr>
          <w:rFonts w:hint="eastAsia" w:ascii="仿宋" w:hAnsi="仿宋" w:eastAsia="仿宋" w:cs="仿宋"/>
          <w:spacing w:val="1"/>
          <w:szCs w:val="24"/>
        </w:rPr>
        <w:t>域</w:t>
      </w:r>
      <w:r>
        <w:rPr>
          <w:rFonts w:ascii="仿宋" w:hAnsi="仿宋" w:eastAsia="仿宋" w:cs="仿宋"/>
          <w:spacing w:val="1"/>
          <w:szCs w:val="24"/>
        </w:rPr>
        <w:t>内</w:t>
      </w:r>
      <w:r>
        <w:rPr>
          <w:rFonts w:hint="eastAsia" w:ascii="仿宋" w:hAnsi="仿宋" w:eastAsia="仿宋" w:cs="仿宋"/>
          <w:spacing w:val="1"/>
          <w:szCs w:val="24"/>
        </w:rPr>
        <w:t>林木</w:t>
      </w:r>
      <w:r>
        <w:rPr>
          <w:rFonts w:ascii="仿宋" w:hAnsi="仿宋" w:eastAsia="仿宋" w:cs="仿宋"/>
          <w:spacing w:val="1"/>
          <w:szCs w:val="24"/>
        </w:rPr>
        <w:t>病虫害防治工作，严禁发生灾情</w:t>
      </w:r>
      <w:r>
        <w:rPr>
          <w:rFonts w:hint="eastAsia" w:ascii="仿宋" w:hAnsi="仿宋" w:eastAsia="仿宋" w:cs="仿宋"/>
          <w:szCs w:val="24"/>
        </w:rPr>
        <w:t>。</w:t>
      </w:r>
    </w:p>
    <w:p w14:paraId="4EAC01C9">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5、</w:t>
      </w:r>
      <w:r>
        <w:rPr>
          <w:rFonts w:ascii="仿宋" w:hAnsi="仿宋" w:eastAsia="仿宋" w:cs="仿宋"/>
          <w:szCs w:val="24"/>
        </w:rPr>
        <w:t>考虑到甲方将按照本合同向乙方支付款项，乙方在此保证全部按照合同的规定向甲方提供服务，并修补缺陷。</w:t>
      </w:r>
    </w:p>
    <w:p w14:paraId="23D4FE51">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十、违约责任</w:t>
      </w:r>
    </w:p>
    <w:p w14:paraId="611CDBF8">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1、由于甲方的原因或因不可抗力的自然因素影响，则服务周期顺延。</w:t>
      </w:r>
    </w:p>
    <w:p w14:paraId="50D80420">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2、对于乙方提供的资料以及属于乙方的内容，甲方有义务保密，不得向第三方提供或用于本合同以外的项目。</w:t>
      </w:r>
    </w:p>
    <w:p w14:paraId="786EE13F">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3、合同签订后，如乙方擅自中途停止或解除合同，乙方应按照合同总金额的40%向甲方支付违约金。</w:t>
      </w:r>
    </w:p>
    <w:p w14:paraId="427C59A0">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4、在甲方提供了必要的工作、生活条件，并且保证了项目款按时到位，乙方未能按合同规定的日期提供服务时，应向甲方赔偿拖期损失费，每天的拖期损失费按合同约定赔偿。</w:t>
      </w:r>
    </w:p>
    <w:p w14:paraId="72B1A902">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5、因天气、交通、政府行为或甲方提供的资料不准确等客观原因造成的服务周期拖期，乙方不承担赔偿责任。</w:t>
      </w:r>
    </w:p>
    <w:p w14:paraId="4E52E90F">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6、服务实施过程中，乙方未按竞争性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5793A848">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7、乙方有责任按甲方要求提交项目资料。如乙方未能按规定的服务周期提供服务，每延误一天，应付逾期违约金人民币</w:t>
      </w:r>
      <w:r>
        <w:rPr>
          <w:rFonts w:hint="eastAsia" w:ascii="仿宋" w:hAnsi="仿宋" w:eastAsia="仿宋" w:cs="仿宋"/>
          <w:szCs w:val="24"/>
          <w:u w:val="single"/>
        </w:rPr>
        <w:t>1000.00</w:t>
      </w:r>
      <w:r>
        <w:rPr>
          <w:rFonts w:hint="eastAsia" w:ascii="仿宋" w:hAnsi="仿宋" w:eastAsia="仿宋" w:cs="仿宋"/>
          <w:szCs w:val="24"/>
        </w:rPr>
        <w:t>元（但由于受天气等不可抗力的自然因素影响，则服务期顺延），逾期10天以上的，甲方除有权终止履行合同外，乙方应承担因延期造成的所有损失返还双倍预付款。同时，甲方有权根据乙方所承担服务的质量是否符合要求而对服务的内容进行调整。</w:t>
      </w:r>
    </w:p>
    <w:p w14:paraId="472F8BAA">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8、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w:t>
      </w:r>
    </w:p>
    <w:p w14:paraId="75D4C6ED">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8、在合同期内和合同终止后，乙方应负责所有资料的保密，非经甲方书面认可，不得向任何人以任何方式提供任何资料。严格按甲方要求程序传递各种资料，否则甲方有权单方解除合同，并追回所付项目款。</w:t>
      </w:r>
    </w:p>
    <w:p w14:paraId="630F4574">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9、如遇政府征迁、工程变更而导致乙方服务的面积增减的，双方应另行协商签订补充协议，明确增减金额。</w:t>
      </w:r>
    </w:p>
    <w:p w14:paraId="7A888F32">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10、乙方不得将本项目的任何部分转包或分包给其他任何单位和个人。若擅自转包或分包本合同标的，甲方有权解除合同，并可要求乙方偿付预算金额30%的违约金，同时追究其法律责任。</w:t>
      </w:r>
    </w:p>
    <w:p w14:paraId="7399EB8C">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十一、其他约定</w:t>
      </w:r>
    </w:p>
    <w:p w14:paraId="609A256A">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1、因执行本合同发生的一切争议，双方应首先友好协商解决。经协商不能解决，应向甲方所在地人民法院提起诉讼。在诉讼期间，除必须在诉讼过程中进行解决的问题外，合同其余部分应继续履行。</w:t>
      </w:r>
    </w:p>
    <w:p w14:paraId="01DD3534">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2、甲、乙双方有一方有正当理由要求变更本合同，须提前一个月以书面形式通知对方并协商解决，双方应签署变更合同。</w:t>
      </w:r>
    </w:p>
    <w:p w14:paraId="26235D94">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3、本合同期满双方不再续约或者因一方违约导致本合同无法履行，则本合同终止。但合同的终止不得损害第三方的利益，双方应为此做出合理安排。</w:t>
      </w:r>
    </w:p>
    <w:p w14:paraId="7BAA61F1">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4、本合同中涉及的所有“通知”、“同意”、“确认”等事项均应以书面形式做出，并作为依据。</w:t>
      </w:r>
    </w:p>
    <w:p w14:paraId="2E50E7F9">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5、本合同有关附件及补充合同是本合同不可分割的组成部分，与本合同具有同等法律效力；本合同未尽事宜，双方另行协商并签署补充合同，作为本合同的附件，具有同等法律效力。</w:t>
      </w:r>
    </w:p>
    <w:p w14:paraId="37AA3A2B">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6、本合同由甲乙双方共同签字盖章之日起生效。一式肆份，甲执叁份乙方持壹份，具有同等法律效力。</w:t>
      </w:r>
    </w:p>
    <w:p w14:paraId="76F30130">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（以下无正文）</w:t>
      </w:r>
    </w:p>
    <w:p w14:paraId="2DCB0A8D">
      <w:pPr>
        <w:pStyle w:val="8"/>
        <w:spacing w:beforeAutospacing="0" w:afterAutospacing="0" w:line="520" w:lineRule="exact"/>
        <w:ind w:firstLine="480" w:firstLineChars="200"/>
        <w:rPr>
          <w:rFonts w:ascii="仿宋" w:hAnsi="仿宋" w:eastAsia="仿宋" w:cs="仿宋"/>
          <w:szCs w:val="24"/>
        </w:rPr>
      </w:pPr>
    </w:p>
    <w:p w14:paraId="6DEBF03F">
      <w:pPr>
        <w:pStyle w:val="8"/>
        <w:spacing w:beforeAutospacing="0" w:afterAutospacing="0" w:line="520" w:lineRule="exact"/>
        <w:rPr>
          <w:rFonts w:ascii="仿宋" w:hAnsi="仿宋" w:eastAsia="仿宋" w:cs="仿宋"/>
          <w:szCs w:val="24"/>
        </w:rPr>
      </w:pPr>
      <w:r>
        <w:rPr>
          <w:rFonts w:hint="eastAsia" w:ascii="仿宋" w:hAnsi="仿宋" w:eastAsia="仿宋" w:cs="仿宋"/>
          <w:szCs w:val="24"/>
        </w:rPr>
        <w:t>甲方：西安市高陵区农业农村和林业局</w:t>
      </w:r>
      <w:r>
        <w:rPr>
          <w:rFonts w:hint="eastAsia" w:ascii="仿宋" w:hAnsi="仿宋" w:eastAsia="仿宋" w:cs="仿宋"/>
          <w:sz w:val="21"/>
        </w:rPr>
        <w:t xml:space="preserve">     </w:t>
      </w:r>
      <w:r>
        <w:rPr>
          <w:rFonts w:hint="eastAsia" w:ascii="仿宋" w:hAnsi="仿宋" w:eastAsia="仿宋" w:cs="仿宋"/>
          <w:szCs w:val="24"/>
        </w:rPr>
        <w:t>乙方：</w:t>
      </w:r>
    </w:p>
    <w:p w14:paraId="6470D01A">
      <w:pPr>
        <w:pStyle w:val="8"/>
        <w:spacing w:beforeAutospacing="0" w:afterAutospacing="0" w:line="520" w:lineRule="exact"/>
        <w:rPr>
          <w:rFonts w:ascii="仿宋" w:hAnsi="仿宋" w:eastAsia="仿宋" w:cs="仿宋"/>
          <w:sz w:val="21"/>
        </w:rPr>
      </w:pPr>
      <w:r>
        <w:rPr>
          <w:rFonts w:hint="eastAsia" w:ascii="仿宋" w:hAnsi="仿宋" w:eastAsia="仿宋" w:cs="仿宋"/>
          <w:szCs w:val="24"/>
        </w:rPr>
        <w:t>地址：高陵区东二环路1145号            地址：</w:t>
      </w:r>
    </w:p>
    <w:p w14:paraId="74531376">
      <w:pPr>
        <w:pStyle w:val="8"/>
        <w:spacing w:beforeAutospacing="0" w:afterAutospacing="0" w:line="520" w:lineRule="exact"/>
        <w:rPr>
          <w:rFonts w:hint="eastAsia" w:ascii="仿宋" w:hAnsi="仿宋" w:eastAsia="仿宋" w:cs="仿宋"/>
          <w:szCs w:val="24"/>
        </w:rPr>
      </w:pPr>
      <w:r>
        <w:rPr>
          <w:rFonts w:hint="eastAsia" w:ascii="仿宋" w:hAnsi="仿宋" w:eastAsia="仿宋" w:cs="仿宋"/>
          <w:szCs w:val="24"/>
        </w:rPr>
        <w:t>邮编：710200                          邮编：</w:t>
      </w:r>
    </w:p>
    <w:p w14:paraId="4609BE4B">
      <w:pPr>
        <w:pStyle w:val="8"/>
        <w:spacing w:beforeAutospacing="0" w:afterAutospacing="0" w:line="520" w:lineRule="exact"/>
        <w:rPr>
          <w:rFonts w:hint="eastAsia" w:ascii="仿宋" w:hAnsi="仿宋" w:eastAsia="仿宋" w:cs="仿宋"/>
          <w:szCs w:val="24"/>
        </w:rPr>
      </w:pPr>
      <w:r>
        <w:rPr>
          <w:rFonts w:hint="eastAsia" w:ascii="仿宋" w:hAnsi="仿宋" w:eastAsia="仿宋" w:cs="仿宋"/>
          <w:szCs w:val="24"/>
        </w:rPr>
        <w:t>电话：029-86913117                    电话：</w:t>
      </w:r>
    </w:p>
    <w:p w14:paraId="7CB9D962">
      <w:pPr>
        <w:pStyle w:val="8"/>
        <w:spacing w:beforeAutospacing="0" w:afterAutospacing="0" w:line="520" w:lineRule="exact"/>
        <w:rPr>
          <w:rFonts w:ascii="仿宋" w:hAnsi="仿宋" w:eastAsia="仿宋" w:cs="仿宋"/>
          <w:szCs w:val="24"/>
        </w:rPr>
      </w:pPr>
      <w:r>
        <w:rPr>
          <w:rFonts w:hint="eastAsia" w:ascii="仿宋" w:hAnsi="仿宋" w:eastAsia="仿宋" w:cs="仿宋"/>
          <w:szCs w:val="24"/>
        </w:rPr>
        <w:t>传真：                                传真：</w:t>
      </w:r>
    </w:p>
    <w:p w14:paraId="346D9661">
      <w:pPr>
        <w:pStyle w:val="8"/>
        <w:spacing w:beforeAutospacing="0" w:afterAutospacing="0" w:line="520" w:lineRule="exact"/>
        <w:ind w:left="4919" w:leftChars="228" w:hanging="4440" w:hangingChars="1850"/>
        <w:rPr>
          <w:rFonts w:ascii="仿宋" w:hAnsi="仿宋" w:eastAsia="仿宋" w:cs="仿宋"/>
          <w:szCs w:val="24"/>
        </w:rPr>
      </w:pPr>
      <w:r>
        <w:rPr>
          <w:rFonts w:hint="eastAsia" w:ascii="仿宋" w:hAnsi="仿宋" w:eastAsia="仿宋" w:cs="仿宋"/>
          <w:szCs w:val="24"/>
        </w:rPr>
        <w:t xml:space="preserve">                                  开户银行：</w:t>
      </w:r>
    </w:p>
    <w:p w14:paraId="619E9BCE">
      <w:pPr>
        <w:pStyle w:val="8"/>
        <w:spacing w:beforeAutospacing="0" w:afterAutospacing="0" w:line="520" w:lineRule="exact"/>
        <w:ind w:firstLine="4560" w:firstLineChars="1900"/>
        <w:rPr>
          <w:rFonts w:ascii="仿宋" w:hAnsi="仿宋" w:eastAsia="仿宋" w:cs="仿宋"/>
          <w:szCs w:val="24"/>
        </w:rPr>
      </w:pPr>
      <w:r>
        <w:rPr>
          <w:rFonts w:hint="eastAsia" w:ascii="仿宋" w:hAnsi="仿宋" w:eastAsia="仿宋" w:cs="仿宋"/>
          <w:szCs w:val="24"/>
        </w:rPr>
        <w:t>帐号：</w:t>
      </w:r>
    </w:p>
    <w:p w14:paraId="29FF2A31">
      <w:pPr>
        <w:pStyle w:val="8"/>
        <w:spacing w:beforeAutospacing="0" w:afterAutospacing="0" w:line="520" w:lineRule="exact"/>
        <w:ind w:firstLine="480" w:firstLineChars="200"/>
        <w:rPr>
          <w:rFonts w:ascii="仿宋" w:hAnsi="仿宋" w:eastAsia="仿宋" w:cs="仿宋"/>
          <w:szCs w:val="24"/>
        </w:rPr>
      </w:pPr>
      <w:r>
        <w:rPr>
          <w:rFonts w:hint="eastAsia" w:ascii="仿宋" w:hAnsi="仿宋" w:eastAsia="仿宋" w:cs="仿宋"/>
          <w:szCs w:val="24"/>
        </w:rPr>
        <w:t>代表签字或盖章：                 代表签字或盖章：</w:t>
      </w:r>
    </w:p>
    <w:p w14:paraId="0EEC3FDD">
      <w:pPr>
        <w:pStyle w:val="8"/>
        <w:spacing w:beforeAutospacing="0" w:afterAutospacing="0" w:line="520" w:lineRule="exact"/>
        <w:ind w:firstLine="1680" w:firstLineChars="700"/>
        <w:rPr>
          <w:rFonts w:ascii="仿宋" w:hAnsi="仿宋" w:eastAsia="仿宋" w:cs="仿宋"/>
          <w:szCs w:val="24"/>
        </w:rPr>
      </w:pPr>
      <w:r>
        <w:rPr>
          <w:rFonts w:hint="eastAsia" w:ascii="仿宋" w:hAnsi="仿宋" w:eastAsia="仿宋" w:cs="仿宋"/>
          <w:szCs w:val="24"/>
        </w:rPr>
        <w:t>年    月    日                       年    月   日</w:t>
      </w:r>
    </w:p>
    <w:bookmarkEnd w:id="5"/>
    <w:p w14:paraId="2E7FB5EA">
      <w:pPr>
        <w:pStyle w:val="4"/>
        <w:rPr>
          <w:rFonts w:eastAsiaTheme="minorEastAsia"/>
          <w:lang w:eastAsia="zh-CN"/>
        </w:rPr>
      </w:pPr>
    </w:p>
    <w:sectPr>
      <w:footerReference r:id="rId3" w:type="default"/>
      <w:pgSz w:w="11906" w:h="16839"/>
      <w:pgMar w:top="1440" w:right="1800" w:bottom="1440" w:left="1800" w:header="0" w:footer="90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CF23DCF-B615-4869-B711-9AAF221EFDDB}"/>
  </w:font>
  <w:font w:name="仿宋">
    <w:panose1 w:val="02010609060101010101"/>
    <w:charset w:val="86"/>
    <w:family w:val="modern"/>
    <w:pitch w:val="default"/>
    <w:sig w:usb0="800002BF" w:usb1="38CF7CFA" w:usb2="00000016" w:usb3="00000000" w:csb0="00040001" w:csb1="00000000"/>
    <w:embedRegular r:id="rId2" w:fontKey="{EAF92FEE-AE6E-47B9-8BE7-B98A5B45CFC2}"/>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3" w:fontKey="{18F2835A-9488-4D1E-B4CC-4AD422EFBC5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embedRegular r:id="rId4" w:fontKey="{2CF8A7F6-319A-40FC-BE32-CE441664AB92}"/>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sdt>
        <w:sdtPr>
          <w:id w:val="1728636285"/>
          <w:docPartObj>
            <w:docPartGallery w:val="autotext"/>
          </w:docPartObj>
        </w:sdtPr>
        <w:sdtContent>
          <w:p w14:paraId="50534C1A">
            <w:pPr>
              <w:pStyle w:val="5"/>
              <w:jc w:val="center"/>
            </w:pP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eastAsia="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sdtContent>
      </w:sdt>
    </w:sdtContent>
  </w:sdt>
  <w:p w14:paraId="23914B23">
    <w:pPr>
      <w:spacing w:line="169" w:lineRule="auto"/>
      <w:ind w:left="4465"/>
      <w:rPr>
        <w:rFonts w:ascii="Calibri" w:hAnsi="Calibri" w:eastAsia="Calibri" w:cs="Calibri"/>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TrueTypeFonts/>
  <w:saveSubsetFonts/>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xMmExNzIyY2QxMDM0OGNmNzU2NmVjNjc4ZjhiYWQifQ=="/>
    <w:docVar w:name="KSO_WPS_MARK_KEY" w:val="66f981f3-05ba-4026-97ea-2b46d6021578"/>
  </w:docVars>
  <w:rsids>
    <w:rsidRoot w:val="00295884"/>
    <w:rsid w:val="000B760C"/>
    <w:rsid w:val="00124181"/>
    <w:rsid w:val="00135B5F"/>
    <w:rsid w:val="00176479"/>
    <w:rsid w:val="00181DF7"/>
    <w:rsid w:val="001A5CB5"/>
    <w:rsid w:val="00295884"/>
    <w:rsid w:val="0034386D"/>
    <w:rsid w:val="00367514"/>
    <w:rsid w:val="00403E07"/>
    <w:rsid w:val="004472B6"/>
    <w:rsid w:val="004A7D6D"/>
    <w:rsid w:val="004B1B58"/>
    <w:rsid w:val="004C76D9"/>
    <w:rsid w:val="004D3C10"/>
    <w:rsid w:val="004F5495"/>
    <w:rsid w:val="00513E99"/>
    <w:rsid w:val="00540900"/>
    <w:rsid w:val="005B28FC"/>
    <w:rsid w:val="005C1030"/>
    <w:rsid w:val="005C408E"/>
    <w:rsid w:val="005C42EE"/>
    <w:rsid w:val="0063450F"/>
    <w:rsid w:val="00672CA2"/>
    <w:rsid w:val="00676AD4"/>
    <w:rsid w:val="006A7A3C"/>
    <w:rsid w:val="006C0178"/>
    <w:rsid w:val="006F5E37"/>
    <w:rsid w:val="006F7DEA"/>
    <w:rsid w:val="0074306D"/>
    <w:rsid w:val="00762C3D"/>
    <w:rsid w:val="007A35FB"/>
    <w:rsid w:val="00821A95"/>
    <w:rsid w:val="0089090F"/>
    <w:rsid w:val="008A1755"/>
    <w:rsid w:val="008A7552"/>
    <w:rsid w:val="008C19B0"/>
    <w:rsid w:val="00942FAB"/>
    <w:rsid w:val="009D5EDD"/>
    <w:rsid w:val="00A03851"/>
    <w:rsid w:val="00A43D20"/>
    <w:rsid w:val="00A701F2"/>
    <w:rsid w:val="00AE73BC"/>
    <w:rsid w:val="00AF3362"/>
    <w:rsid w:val="00B02BC8"/>
    <w:rsid w:val="00B3489D"/>
    <w:rsid w:val="00C02F26"/>
    <w:rsid w:val="00C116EF"/>
    <w:rsid w:val="00C722F9"/>
    <w:rsid w:val="00C93C05"/>
    <w:rsid w:val="00CA0C0F"/>
    <w:rsid w:val="00D0103C"/>
    <w:rsid w:val="00D214CA"/>
    <w:rsid w:val="00D3415D"/>
    <w:rsid w:val="00D5744C"/>
    <w:rsid w:val="00D65E17"/>
    <w:rsid w:val="00DC331A"/>
    <w:rsid w:val="00E3410B"/>
    <w:rsid w:val="00ED2602"/>
    <w:rsid w:val="00F55016"/>
    <w:rsid w:val="00FC2E38"/>
    <w:rsid w:val="00FE3CA8"/>
    <w:rsid w:val="02C70001"/>
    <w:rsid w:val="03327FC8"/>
    <w:rsid w:val="04934A97"/>
    <w:rsid w:val="04B50EB1"/>
    <w:rsid w:val="05177476"/>
    <w:rsid w:val="05CA686F"/>
    <w:rsid w:val="06462D5B"/>
    <w:rsid w:val="08206641"/>
    <w:rsid w:val="082C3238"/>
    <w:rsid w:val="092B7994"/>
    <w:rsid w:val="095567BF"/>
    <w:rsid w:val="09AF2373"/>
    <w:rsid w:val="09E72DE0"/>
    <w:rsid w:val="0BF95B27"/>
    <w:rsid w:val="0C9151CB"/>
    <w:rsid w:val="0D4508F8"/>
    <w:rsid w:val="0DF2431B"/>
    <w:rsid w:val="0F7F1D48"/>
    <w:rsid w:val="100920B1"/>
    <w:rsid w:val="105570A4"/>
    <w:rsid w:val="109202F8"/>
    <w:rsid w:val="1246139A"/>
    <w:rsid w:val="12DF01A9"/>
    <w:rsid w:val="14D047E9"/>
    <w:rsid w:val="15253D83"/>
    <w:rsid w:val="153E0A4F"/>
    <w:rsid w:val="167D1103"/>
    <w:rsid w:val="17A25445"/>
    <w:rsid w:val="17CD2083"/>
    <w:rsid w:val="18CD45C3"/>
    <w:rsid w:val="1A534654"/>
    <w:rsid w:val="1AC15A62"/>
    <w:rsid w:val="1B9B73CD"/>
    <w:rsid w:val="1D6923E1"/>
    <w:rsid w:val="1DE63A32"/>
    <w:rsid w:val="1E0D7210"/>
    <w:rsid w:val="1EC21DA9"/>
    <w:rsid w:val="1F5275D0"/>
    <w:rsid w:val="217E555A"/>
    <w:rsid w:val="21E37050"/>
    <w:rsid w:val="226338A3"/>
    <w:rsid w:val="22F015DA"/>
    <w:rsid w:val="23002730"/>
    <w:rsid w:val="23071255"/>
    <w:rsid w:val="2309269C"/>
    <w:rsid w:val="25CB59E7"/>
    <w:rsid w:val="28AD3831"/>
    <w:rsid w:val="29A46C7B"/>
    <w:rsid w:val="2BAE355D"/>
    <w:rsid w:val="2C66290D"/>
    <w:rsid w:val="2DA8078A"/>
    <w:rsid w:val="2F0F1DAD"/>
    <w:rsid w:val="2F4B1946"/>
    <w:rsid w:val="30F80E7E"/>
    <w:rsid w:val="32987598"/>
    <w:rsid w:val="330E785B"/>
    <w:rsid w:val="343E6181"/>
    <w:rsid w:val="346A0AC1"/>
    <w:rsid w:val="37150763"/>
    <w:rsid w:val="37D30541"/>
    <w:rsid w:val="39A405D1"/>
    <w:rsid w:val="39F71729"/>
    <w:rsid w:val="39FCAC11"/>
    <w:rsid w:val="3C741F9A"/>
    <w:rsid w:val="3CB72D11"/>
    <w:rsid w:val="3CCA2A44"/>
    <w:rsid w:val="3D814376"/>
    <w:rsid w:val="3D9B72A4"/>
    <w:rsid w:val="3EC86B10"/>
    <w:rsid w:val="402F3150"/>
    <w:rsid w:val="40586783"/>
    <w:rsid w:val="41685982"/>
    <w:rsid w:val="43FC376B"/>
    <w:rsid w:val="4404016B"/>
    <w:rsid w:val="44F13BC8"/>
    <w:rsid w:val="46EE7FD9"/>
    <w:rsid w:val="47B73BC5"/>
    <w:rsid w:val="48CC36A0"/>
    <w:rsid w:val="48CF1553"/>
    <w:rsid w:val="49A168DB"/>
    <w:rsid w:val="4A1C6A26"/>
    <w:rsid w:val="4A2512BA"/>
    <w:rsid w:val="4A2A75AB"/>
    <w:rsid w:val="4A3B30FA"/>
    <w:rsid w:val="4ACF0D42"/>
    <w:rsid w:val="4B002ABF"/>
    <w:rsid w:val="4B097C3B"/>
    <w:rsid w:val="4BEE32B6"/>
    <w:rsid w:val="4C0A0767"/>
    <w:rsid w:val="4C1415E6"/>
    <w:rsid w:val="4CF5124B"/>
    <w:rsid w:val="51A110C9"/>
    <w:rsid w:val="522B58DB"/>
    <w:rsid w:val="528F038A"/>
    <w:rsid w:val="555E1B24"/>
    <w:rsid w:val="55D87B28"/>
    <w:rsid w:val="55DE2095"/>
    <w:rsid w:val="56182C11"/>
    <w:rsid w:val="56E949E0"/>
    <w:rsid w:val="5798124F"/>
    <w:rsid w:val="57F370D5"/>
    <w:rsid w:val="57FEDB3C"/>
    <w:rsid w:val="589457F1"/>
    <w:rsid w:val="598D237B"/>
    <w:rsid w:val="5B7E6A7C"/>
    <w:rsid w:val="5C930305"/>
    <w:rsid w:val="5D087A03"/>
    <w:rsid w:val="5F4E2C09"/>
    <w:rsid w:val="5FD2383A"/>
    <w:rsid w:val="61120392"/>
    <w:rsid w:val="615F2EAC"/>
    <w:rsid w:val="634B7B8C"/>
    <w:rsid w:val="6407208A"/>
    <w:rsid w:val="66644AC0"/>
    <w:rsid w:val="68876E12"/>
    <w:rsid w:val="69C2047C"/>
    <w:rsid w:val="6A5437CA"/>
    <w:rsid w:val="6B9C2041"/>
    <w:rsid w:val="6BC06C3D"/>
    <w:rsid w:val="6D6C3C5F"/>
    <w:rsid w:val="6E4C0C5C"/>
    <w:rsid w:val="6F54601A"/>
    <w:rsid w:val="7097788E"/>
    <w:rsid w:val="71A06BCC"/>
    <w:rsid w:val="73061F03"/>
    <w:rsid w:val="737B5FB9"/>
    <w:rsid w:val="74F811F5"/>
    <w:rsid w:val="759E7FEF"/>
    <w:rsid w:val="75FA2D4B"/>
    <w:rsid w:val="764A5A81"/>
    <w:rsid w:val="76674885"/>
    <w:rsid w:val="76C24C69"/>
    <w:rsid w:val="77884AB3"/>
    <w:rsid w:val="78061E7B"/>
    <w:rsid w:val="78450EA0"/>
    <w:rsid w:val="78767001"/>
    <w:rsid w:val="788C60ED"/>
    <w:rsid w:val="790A14F7"/>
    <w:rsid w:val="79752E15"/>
    <w:rsid w:val="7A2771C6"/>
    <w:rsid w:val="7A555D82"/>
    <w:rsid w:val="7A9D6505"/>
    <w:rsid w:val="7BC42094"/>
    <w:rsid w:val="7CCD289A"/>
    <w:rsid w:val="7DB57005"/>
    <w:rsid w:val="7DCD5E4E"/>
    <w:rsid w:val="7E6B6EDC"/>
    <w:rsid w:val="7F7D0C75"/>
    <w:rsid w:val="7F923FF5"/>
    <w:rsid w:val="B3FE6B52"/>
    <w:rsid w:val="BBFB6BD4"/>
    <w:rsid w:val="BFCDE809"/>
    <w:rsid w:val="FC9FC5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link w:val="14"/>
    <w:qFormat/>
    <w:uiPriority w:val="0"/>
    <w:pPr>
      <w:keepNext/>
      <w:keepLines/>
      <w:spacing w:line="576" w:lineRule="auto"/>
      <w:outlineLvl w:val="0"/>
    </w:pPr>
    <w:rPr>
      <w:b/>
      <w:kern w:val="44"/>
      <w:sz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semiHidden/>
    <w:qFormat/>
    <w:uiPriority w:val="0"/>
  </w:style>
  <w:style w:type="paragraph" w:styleId="5">
    <w:name w:val="footer"/>
    <w:basedOn w:val="1"/>
    <w:link w:val="23"/>
    <w:qFormat/>
    <w:uiPriority w:val="99"/>
    <w:pPr>
      <w:tabs>
        <w:tab w:val="center" w:pos="4153"/>
        <w:tab w:val="right" w:pos="8306"/>
      </w:tabs>
    </w:pPr>
    <w:rPr>
      <w:sz w:val="18"/>
    </w:rPr>
  </w:style>
  <w:style w:type="paragraph" w:styleId="6">
    <w:name w:val="header"/>
    <w:basedOn w:val="1"/>
    <w:link w:val="22"/>
    <w:qFormat/>
    <w:uiPriority w:val="0"/>
    <w:pPr>
      <w:pBdr>
        <w:bottom w:val="single" w:color="auto" w:sz="6" w:space="1"/>
      </w:pBdr>
      <w:tabs>
        <w:tab w:val="center" w:pos="4153"/>
        <w:tab w:val="right" w:pos="8306"/>
      </w:tabs>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黑体" w:hAnsi="Courier New" w:eastAsia="黑体" w:cs="Courier New"/>
      <w:sz w:val="20"/>
    </w:rPr>
  </w:style>
  <w:style w:type="paragraph" w:styleId="8">
    <w:name w:val="Normal (Web)"/>
    <w:basedOn w:val="1"/>
    <w:qFormat/>
    <w:uiPriority w:val="0"/>
    <w:pPr>
      <w:spacing w:beforeAutospacing="1" w:afterAutospacing="1"/>
    </w:pPr>
    <w:rPr>
      <w:rFonts w:cs="Times New Roman"/>
      <w:sz w:val="24"/>
      <w:lang w:eastAsia="zh-CN"/>
    </w:rPr>
  </w:style>
  <w:style w:type="paragraph" w:customStyle="1" w:styleId="11">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仿宋" w:hAnsi="仿宋" w:eastAsia="仿宋" w:cs="仿宋"/>
      <w:sz w:val="24"/>
      <w:szCs w:val="24"/>
    </w:rPr>
  </w:style>
  <w:style w:type="character" w:customStyle="1" w:styleId="14">
    <w:name w:val="标题 1 Char"/>
    <w:link w:val="2"/>
    <w:qFormat/>
    <w:uiPriority w:val="0"/>
    <w:rPr>
      <w:b/>
      <w:kern w:val="44"/>
      <w:sz w:val="44"/>
    </w:rPr>
  </w:style>
  <w:style w:type="character" w:customStyle="1" w:styleId="15">
    <w:name w:val="u-content2"/>
    <w:basedOn w:val="10"/>
    <w:qFormat/>
    <w:uiPriority w:val="0"/>
  </w:style>
  <w:style w:type="character" w:customStyle="1" w:styleId="16">
    <w:name w:val="noticebidtime-bidaddress"/>
    <w:basedOn w:val="10"/>
    <w:qFormat/>
    <w:uiPriority w:val="0"/>
  </w:style>
  <w:style w:type="character" w:customStyle="1" w:styleId="17">
    <w:name w:val="p1"/>
    <w:basedOn w:val="10"/>
    <w:qFormat/>
    <w:uiPriority w:val="0"/>
  </w:style>
  <w:style w:type="paragraph" w:customStyle="1" w:styleId="18">
    <w:name w:val="正文样式"/>
    <w:basedOn w:val="1"/>
    <w:qFormat/>
    <w:uiPriority w:val="0"/>
    <w:pPr>
      <w:tabs>
        <w:tab w:val="left" w:pos="1560"/>
      </w:tabs>
      <w:spacing w:before="163" w:after="163" w:line="300" w:lineRule="auto"/>
      <w:ind w:left="1560" w:hanging="360" w:firstLineChars="200"/>
    </w:pPr>
    <w:rPr>
      <w:rFonts w:ascii="宋体" w:hAnsi="等线" w:eastAsia="等线"/>
      <w:sz w:val="24"/>
    </w:rPr>
  </w:style>
  <w:style w:type="paragraph" w:customStyle="1" w:styleId="19">
    <w:name w:val="WPSOffice手动目录 1"/>
    <w:qFormat/>
    <w:uiPriority w:val="0"/>
    <w:rPr>
      <w:rFonts w:ascii="Times New Roman" w:hAnsi="Times New Roman" w:eastAsia="宋体" w:cs="Times New Roman"/>
      <w:lang w:val="en-US" w:eastAsia="zh-CN" w:bidi="ar-SA"/>
    </w:rPr>
  </w:style>
  <w:style w:type="paragraph" w:customStyle="1" w:styleId="20">
    <w:name w:val="null3"/>
    <w:hidden/>
    <w:qFormat/>
    <w:uiPriority w:val="0"/>
    <w:rPr>
      <w:rFonts w:hint="eastAsia" w:asciiTheme="minorHAnsi" w:hAnsiTheme="minorHAnsi" w:eastAsiaTheme="minorEastAsia" w:cstheme="minorBidi"/>
      <w:lang w:val="en-US" w:eastAsia="zh-CN" w:bidi="ar-SA"/>
    </w:rPr>
  </w:style>
  <w:style w:type="paragraph" w:customStyle="1" w:styleId="21">
    <w:name w:val="列出段落1"/>
    <w:basedOn w:val="1"/>
    <w:qFormat/>
    <w:uiPriority w:val="34"/>
    <w:pPr>
      <w:ind w:firstLine="420" w:firstLineChars="200"/>
    </w:pPr>
  </w:style>
  <w:style w:type="character" w:customStyle="1" w:styleId="22">
    <w:name w:val="页眉 Char"/>
    <w:basedOn w:val="10"/>
    <w:link w:val="6"/>
    <w:qFormat/>
    <w:uiPriority w:val="0"/>
    <w:rPr>
      <w:rFonts w:ascii="Arial" w:hAnsi="Arial" w:eastAsia="Arial" w:cs="Arial"/>
      <w:snapToGrid w:val="0"/>
      <w:color w:val="000000"/>
      <w:sz w:val="18"/>
      <w:szCs w:val="18"/>
      <w:lang w:eastAsia="en-US"/>
    </w:rPr>
  </w:style>
  <w:style w:type="character" w:customStyle="1" w:styleId="23">
    <w:name w:val="页脚 Char"/>
    <w:basedOn w:val="10"/>
    <w:link w:val="5"/>
    <w:qFormat/>
    <w:uiPriority w:val="99"/>
    <w:rPr>
      <w:rFonts w:ascii="Arial" w:hAnsi="Arial" w:eastAsia="Arial" w:cs="Arial"/>
      <w:snapToGrid w:val="0"/>
      <w:color w:val="000000"/>
      <w:sz w:val="18"/>
      <w:szCs w:val="21"/>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D877AB34-1C5C-4703-ADF5-384E65CFB23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3150</Words>
  <Characters>3217</Characters>
  <Lines>24</Lines>
  <Paragraphs>6</Paragraphs>
  <TotalTime>0</TotalTime>
  <ScaleCrop>false</ScaleCrop>
  <LinksUpToDate>false</LinksUpToDate>
  <CharactersWithSpaces>3433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2024-04-10T06:32:00Z</dcterms:created>
  <dc:creator>郭颖</dc:creator>
  <cp:lastModifiedBy>DXE.</cp:lastModifiedBy>
  <cp:lastPrinted>2024-09-19T22:32:00Z</cp:lastPrinted>
  <dcterms:modified xsi:type="dcterms:W3CDTF">2026-06-18T08:21:48Z</dcterms:modified>
  <dc:title>政府采购货物和服务项目</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2024-04-22T16:57:45Z</vt:filetime>
  </property>
  <property fmtid="{D5CDD505-2E9C-101B-9397-08002B2CF9AE}" pid="4" name="KSOProductBuildVer">
    <vt:lpwstr>2052-12.1.0.26895</vt:lpwstr>
  </property>
  <property fmtid="{D5CDD505-2E9C-101B-9397-08002B2CF9AE}" pid="5" name="ICV">
    <vt:lpwstr>4E6EC418145944D3A28835D0B16DFD22_13</vt:lpwstr>
  </property>
  <property fmtid="{D5CDD505-2E9C-101B-9397-08002B2CF9AE}" pid="6" name="KSOTemplateDocerSaveRecord">
    <vt:lpwstr>eyJoZGlkIjoiMTE5MjE0MjU3ODhjZWI1ZThiM2E5NTNhYzRhODk0YTYiLCJ1c2VySWQiOiIyNDI0NjM4MzUifQ==</vt:lpwstr>
  </property>
</Properties>
</file>