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版本号：ZCSP-潼关县-2026-0009220260714001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潼关县妇幼保健计划生育服务中心、第二人民医院、第二人民医院康检综合楼建设项目竣工结算审计服务项目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ZCSP-潼关县-2026-00092</w:t>
      </w:r>
      <w:r>
        <w:br/>
      </w:r>
      <w:r>
        <w:br/>
      </w:r>
      <w:r>
        <w:br/>
      </w:r>
    </w:p>
    <w:p>
      <w:pPr>
        <w:pStyle w:val="null3"/>
        <w:jc w:val="center"/>
        <w:outlineLvl w:val="2"/>
      </w:pPr>
      <w:r>
        <w:rPr>
          <w:rFonts w:ascii="仿宋_GB2312" w:hAnsi="仿宋_GB2312" w:cs="仿宋_GB2312" w:eastAsia="仿宋_GB2312"/>
          <w:sz w:val="28"/>
          <w:b/>
        </w:rPr>
        <w:t>潼关县卫生健康局</w:t>
      </w:r>
    </w:p>
    <w:p>
      <w:pPr>
        <w:pStyle w:val="null3"/>
        <w:jc w:val="center"/>
        <w:outlineLvl w:val="2"/>
      </w:pPr>
      <w:r>
        <w:rPr>
          <w:rFonts w:ascii="仿宋_GB2312" w:hAnsi="仿宋_GB2312" w:cs="仿宋_GB2312" w:eastAsia="仿宋_GB2312"/>
          <w:sz w:val="28"/>
          <w:b/>
        </w:rPr>
        <w:t>潼关县政府采购中心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潼关县政府采购中心</w:t>
      </w:r>
      <w:r>
        <w:rPr>
          <w:rFonts w:ascii="仿宋_GB2312" w:hAnsi="仿宋_GB2312" w:cs="仿宋_GB2312" w:eastAsia="仿宋_GB2312"/>
        </w:rPr>
        <w:t>（以下简称“代理机构”）受</w:t>
      </w:r>
      <w:r>
        <w:rPr>
          <w:rFonts w:ascii="仿宋_GB2312" w:hAnsi="仿宋_GB2312" w:cs="仿宋_GB2312" w:eastAsia="仿宋_GB2312"/>
        </w:rPr>
        <w:t>潼关县卫生健康局</w:t>
      </w:r>
      <w:r>
        <w:rPr>
          <w:rFonts w:ascii="仿宋_GB2312" w:hAnsi="仿宋_GB2312" w:cs="仿宋_GB2312" w:eastAsia="仿宋_GB2312"/>
        </w:rPr>
        <w:t>委托，拟对</w:t>
      </w:r>
      <w:r>
        <w:rPr>
          <w:rFonts w:ascii="仿宋_GB2312" w:hAnsi="仿宋_GB2312" w:cs="仿宋_GB2312" w:eastAsia="仿宋_GB2312"/>
        </w:rPr>
        <w:t>潼关县妇幼保健计划生育服务中心、第二人民医院、第二人民医院康检综合楼建设项目竣工结算审计服务项目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潼关县妇幼保健计划生育服务中心、第二人民医院、第二人民医院康检综合楼建设项目竣工结算审计服务项目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对潼关县妇幼保健计划生育服务中心、第二人民医院、第二人民医院康检综合楼建设项目的竣工结算进行审计服务。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采购包1（潼关县妇幼保健计划生育服务中心、第二人民医院、第二人民医院康检综合楼建设项目竣工结算审计服务项目）：属于专门面向中小企业采购。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供应商应授权合法的人员参加投标，其中法定代表人直接参加投标，须出具法定代表人身份证明书(附法定代表人身份证复印件），并与营业执照上信息一致。法定代表人授权代表参加投标，须出具法定代表人授权书（附法定代表人及被授权人身份证复印件）；</w:t>
      </w:r>
    </w:p>
    <w:p>
      <w:pPr>
        <w:pStyle w:val="null3"/>
      </w:pPr>
      <w:r>
        <w:rPr>
          <w:rFonts w:ascii="仿宋_GB2312" w:hAnsi="仿宋_GB2312" w:cs="仿宋_GB2312" w:eastAsia="仿宋_GB2312"/>
        </w:rPr>
        <w:t>2、项目负责人：拟派项目负责人须具备土木建筑专业一级注册造价工程师资格证书，且在本单位注册；</w:t>
      </w:r>
    </w:p>
    <w:p>
      <w:pPr>
        <w:pStyle w:val="null3"/>
      </w:pPr>
      <w:r>
        <w:rPr>
          <w:rFonts w:ascii="仿宋_GB2312" w:hAnsi="仿宋_GB2312" w:cs="仿宋_GB2312" w:eastAsia="仿宋_GB2312"/>
        </w:rPr>
        <w:t>3、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潼关县和平路77号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0913-3305608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潼关县政府采购中心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陕西省渭南市潼关县中心街西段财政局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0913-3865339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0913-3865362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潼关县卫生健康局</w:t>
      </w:r>
      <w:r>
        <w:rPr>
          <w:rFonts w:ascii="仿宋_GB2312" w:hAnsi="仿宋_GB2312" w:cs="仿宋_GB2312" w:eastAsia="仿宋_GB2312"/>
        </w:rPr>
        <w:t>和</w:t>
      </w:r>
      <w:r>
        <w:rPr>
          <w:rFonts w:ascii="仿宋_GB2312" w:hAnsi="仿宋_GB2312" w:cs="仿宋_GB2312" w:eastAsia="仿宋_GB2312"/>
        </w:rPr>
        <w:t>潼关县政府采购中心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潼关县政府采购中心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潼关县政府采购中心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联系电话：0913-3865339</w:t>
      </w:r>
    </w:p>
    <w:p>
      <w:pPr>
        <w:pStyle w:val="null3"/>
      </w:pPr>
      <w:r>
        <w:rPr>
          <w:rFonts w:ascii="仿宋_GB2312" w:hAnsi="仿宋_GB2312" w:cs="仿宋_GB2312" w:eastAsia="仿宋_GB2312"/>
        </w:rPr>
        <w:t>地址：陕西省渭南市潼关县中心街西段财政局</w:t>
      </w:r>
    </w:p>
    <w:p>
      <w:pPr>
        <w:pStyle w:val="null3"/>
      </w:pPr>
      <w:r>
        <w:rPr>
          <w:rFonts w:ascii="仿宋_GB2312" w:hAnsi="仿宋_GB2312" w:cs="仿宋_GB2312" w:eastAsia="仿宋_GB2312"/>
        </w:rPr>
        <w:t>邮编：714300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对潼关县妇幼保健计划生育服务中心、第二人民医院、第二人民医院康检综合楼建设项目的竣工结算进行审计服务。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潼关县妇幼保健计划生育服务中心、第二人民医院、第二人民医院康检综合楼建设项目竣工结算审计服务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标的名称：潼关县妇幼保健计划生育服务中心、第二人民医院、第二人民医院康检综合楼建设项目竣工结算审计服务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rPr>
              <w:t>1、供应商应配备具有专业能力的人员开展项目审核工作，并依据相关定额标准及政策性文件，出具审核报告等。</w:t>
            </w:r>
          </w:p>
          <w:p>
            <w:pPr>
              <w:pStyle w:val="null3"/>
            </w:pPr>
            <w:r>
              <w:rPr>
                <w:rFonts w:ascii="仿宋_GB2312" w:hAnsi="仿宋_GB2312" w:cs="仿宋_GB2312" w:eastAsia="仿宋_GB2312"/>
              </w:rPr>
              <w:t>2、成果交付要求：项目审计报告 5 份、审计结算书5 份及审计资料光盘 1 份。</w:t>
            </w:r>
          </w:p>
          <w:p>
            <w:pPr>
              <w:pStyle w:val="null3"/>
            </w:pPr>
            <w:r>
              <w:rPr>
                <w:rFonts w:ascii="仿宋_GB2312" w:hAnsi="仿宋_GB2312" w:cs="仿宋_GB2312" w:eastAsia="仿宋_GB2312"/>
              </w:rPr>
              <w:t>3、人员配置要求：</w:t>
            </w:r>
          </w:p>
          <w:p>
            <w:pPr>
              <w:pStyle w:val="null3"/>
            </w:pPr>
            <w:r>
              <w:rPr>
                <w:rFonts w:ascii="仿宋_GB2312" w:hAnsi="仿宋_GB2312" w:cs="仿宋_GB2312" w:eastAsia="仿宋_GB2312"/>
              </w:rPr>
              <w:t>项目负责人：土木建筑专业一级注册造价工程师。</w:t>
            </w:r>
          </w:p>
          <w:p>
            <w:pPr>
              <w:pStyle w:val="null3"/>
            </w:pPr>
            <w:r>
              <w:rPr>
                <w:rFonts w:ascii="仿宋_GB2312" w:hAnsi="仿宋_GB2312" w:cs="仿宋_GB2312" w:eastAsia="仿宋_GB2312"/>
              </w:rPr>
              <w:t>4、服务质量、标准、期限、效率等要求：符合国家相关法律、法规及行业质量标准和采购人要求，达到合格标准。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渭南市潼关县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验收标准：符合国家相关法律、法规及行业质量标准和采购人要求，达到合格标准，并通过上级主管部门的评审。 验收依据：国家及当地相关的标准和规范。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进度款，剩余费用待项目结束，验收合格后，达到付款条件起20个工作日内，支付合同总金额的80.0%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2.成交供应商在领取成交通知书后三个工作日，须向采购代理机构提供叁套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须出具法定代表人身份证明书(附法定代表人身份证复印件），并与营业执照上信息一致。法定代表人授权代表参加投标，须出具法定代表人授权书（附法定代表人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拟派项目负责人须具备土木建筑专业一级注册造价工程师资格证书，且在本单位注册；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业绩.docx 中小企业声明函 商务应答表 服务内容及服务要求应答表 承诺书.docx 报价表 响应文件封面 供应商应提交的相关资格证明材料.docx 残疾人福利性单位声明函 服务方案 标的清单 从业人员简历表.docx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供应商承诺书</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完全响应磋商文件商务及技术要求的各项条款，且没有出现法律法规或竞争性磋商文件规定的其他无效情形。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项目负责人具有2021年6月以来的类似项目业绩（以合同签订时间为准），每提供 1 份得 1 分，满分4分，不提供不得分。具有中级及以上职称的，得3分。以提供的职称证书为准。印证资料须清晰可辨，无法辨认的将不予评分。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从业人员简历表.docx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拟派项目组人员中（项目负责人除外），具有一级注册造价工程师的得 3 分，具有二级注册造价工程师的每人得1.5 分，同一人员不重复得分；具有相关专业中级职称的每人得3分，本项满分 18 分。拟派项目组人员应为供应商本单位人员，以响应文件中提供的相关证明材料和注册证书为准，印证资料须清晰可辨，无法辨认的将不予评分。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从业人员简历表.docx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供应商2023年6月以来的类似项目业绩（以合同签订时间为准），每提供 1 份得 3 分，满分15 分。以响应文件中提供的业绩合同为准，印证资料须清晰可辨，无法辨认的将不予评分。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（一）评审内容：包括①审计服务总体设想方案；②服务计划。 （二）评审标准：每一条评审内容不存在缺陷得2.5分，满分5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（一）评审内容：包括①审计范围、审计内容、审计工作目标；②审计步骤和程序。 （二）评审标准：每一条评审内容不存在缺陷得5分，满分10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（一）评审内容：包括①进度保障措施；②供应商内控制度及服务质量保障措施；③售后服务方案及针对本项目的应急预案；④拟投入的设施设备保障方案。 （二）评审标准：每一条评审内容不存在缺陷得2.5分，满分10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（一）评审内容：包括①审计资料保密措施；②审计人员执业行为保密措施。 （二）评审标准：每一条评审内容不存在缺陷得2.5分，满分5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反馈机制</w:t>
            </w:r>
          </w:p>
        </w:tc>
        <w:tc>
          <w:tcPr>
            <w:tcW w:type="dxa" w:w="2492"/>
          </w:tcPr>
          <w:p>
            <w:pPr>
              <w:pStyle w:val="null3"/>
            </w:pPr>
            <w:r>
              <w:rPr>
                <w:rFonts w:ascii="仿宋_GB2312" w:hAnsi="仿宋_GB2312" w:cs="仿宋_GB2312" w:eastAsia="仿宋_GB2312"/>
              </w:rPr>
              <w:t>（一）评审内容：包括①对审计服务过程中的突发事项及常见问题的处理措施；②项目完结回访的反馈措施。 （二）评审标准：每一条评审内容不存在缺陷得2.5分，满分5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（一）评审内容：包括①对审计资料的移交措施；②审计资料归档、保管计划措施。 （二）评审标准：每一条评审内容不存在缺陷得2.5分，满分5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科学原理或常识错误的；⑤无具体详细的阐述、实施性不强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详见附件：从业人员简历表.docx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