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版本号：SXLX26-01-028Z(F).1B120260611001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“中文+职业”产教融合中心(一期)(二次)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SXLX26-01-028Z(F).1B1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“中文+职业”产教融合中心(一期)(二次)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SXLX26-01-028Z(F).1B1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“中文+职业”产教融合中心(一期)(二次)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中文+职业”产教融合中心(一期)建设项目，是在西安职业技术学院与哈萨克斯坦欧亚创新大学已建成的“中文+职业”语言培训中心的基础上，由中方院校西安职业技术学院、海外院校哈萨克斯坦欧亚创新大学与当地中资企业和属地企业三方联合共建。 该项目以中文为纽带、职业技能为核心、产业需求为导向、国际标准为支撑，产教融合为路径，面向中外合作培养、来华留学、中资企业用工需求以及中文学习爱好者等群体，致力于实现中文教学生活化、职业技能场景化、国际标准本土化，搭建“中文应用-职业技能--产业实践”校-企-校深度融合的国际化联合培养育人平台。 项目围绕持续开展数字化国际教育平台运维、成立201C中文+职业”产教融合中心，建设“中文+职业技能”数字教学资源建设，为企业员工的“中文+职业”能力提升提供教学支持、为国际交流活动提供推荐服务，吸引不少于100名哈萨克斯坦学生和企业员工参与项目学习，推动学校国际化办学水平提升，助力中国职业教育标准国际推广，为哈萨克斯坦等“一带一路”沿线国家学生提供优质“中文+职业技能”教育服务。 各项服务标准符合国家、省、市(行业)强制性标准及采购人要求的合格标准。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采购包1（“中文+职业”产教融合中心(一期)）：属于专门面向中小企业采购。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029-88692621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按采购文件规定的验收标准和方法进行验收。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中文+职业”产教融合中心(一期)建设项目，是在西安职业技术学院与哈萨克斯坦欧亚创新大学已建成的“中文+职业”语言培训中心的基础上，由中方院校西安职业技术学院、海外院校哈萨克斯坦欧亚创新大学与当地中资企业和属地企业三方联合共建。 该项目以中文为纽带、职业技能为核心、产业需求为导向、国际标准为支撑，以产教融合为路径，面向中外合作培养、来华留学、中资企业用工需求以及中文学习爱好者等群体，致力于实现中文教学生活化、职业技能场景化、国际标准本土化，搭建“中文应用-职业技能--产业实践”校-企-校深度融合的国际化联合培养育人平台。 项目围绕持续开展数字化国际教育平台运维、成立“中文+职业”产教融合中心，建设“中文+职业技能”数字教学资源建设，为企业员工的“中文+职业”能力提升提供教学支持、为国际交流活动提供推荐服务，吸引不少于100名哈萨克斯坦学生和企业员工参与项目学习，推动学校国际化办学水平提升，助力中国职业教育标准国际推广，为哈萨克斯坦等“一带一路”沿线国家学生提供优质“中文+职业技能”教育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中文 +职业产教融合中心（一期）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标的名称：中文 +职业产教融合中心（一期）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color w:val="000000"/>
              </w:rPr>
              <w:t>一</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服务内容</w:t>
            </w:r>
          </w:p>
          <w:tbl>
            <w:tblPr>
              <w:tblBorders>
                <w:top w:val="none" w:color="000000" w:sz="4"/>
                <w:left w:val="none" w:color="000000" w:sz="4"/>
                <w:bottom w:val="none" w:color="000000" w:sz="4"/>
                <w:right w:val="none" w:color="000000" w:sz="4"/>
                <w:insideH w:val="none"/>
                <w:insideV w:val="none"/>
              </w:tblBorders>
            </w:tblPr>
            <w:tblGrid>
              <w:gridCol w:w="226"/>
              <w:gridCol w:w="1843"/>
              <w:gridCol w:w="249"/>
              <w:gridCol w:w="226"/>
            </w:tblGrid>
            <w:tr>
              <w:tc>
                <w:tcPr>
                  <w:tcW w:type="dxa" w:w="2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b/>
                      <w:color w:val="000000"/>
                    </w:rPr>
                    <w:t>序号</w:t>
                  </w:r>
                </w:p>
              </w:tc>
              <w:tc>
                <w:tcPr>
                  <w:tcW w:type="dxa" w:w="18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b/>
                      <w:color w:val="000000"/>
                    </w:rPr>
                    <w:t>名称</w:t>
                  </w:r>
                </w:p>
              </w:tc>
              <w:tc>
                <w:tcPr>
                  <w:tcW w:type="dxa" w:w="2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b/>
                      <w:color w:val="000000"/>
                    </w:rPr>
                    <w:t>数量</w:t>
                  </w:r>
                </w:p>
              </w:tc>
              <w:tc>
                <w:tcPr>
                  <w:tcW w:type="dxa" w:w="2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b/>
                      <w:color w:val="000000"/>
                    </w:rPr>
                    <w:t>单位</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b/>
                      <w:color w:val="000000"/>
                    </w:rPr>
                    <w:t>1</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数字化国际教育平台</w:t>
                  </w:r>
                  <w:r>
                    <w:rPr>
                      <w:rFonts w:ascii="仿宋_GB2312" w:hAnsi="仿宋_GB2312" w:cs="仿宋_GB2312" w:eastAsia="仿宋_GB2312"/>
                      <w:color w:val="000000"/>
                    </w:rPr>
                    <w:t>(</w:t>
                  </w:r>
                  <w:r>
                    <w:rPr>
                      <w:rFonts w:ascii="仿宋_GB2312" w:hAnsi="仿宋_GB2312" w:cs="仿宋_GB2312" w:eastAsia="仿宋_GB2312"/>
                      <w:color w:val="000000"/>
                    </w:rPr>
                    <w:t>西安职院中文学习平台</w:t>
                  </w:r>
                  <w:r>
                    <w:rPr>
                      <w:rFonts w:ascii="仿宋_GB2312" w:hAnsi="仿宋_GB2312" w:cs="仿宋_GB2312" w:eastAsia="仿宋_GB2312"/>
                      <w:color w:val="000000"/>
                    </w:rPr>
                    <w:t>)</w:t>
                  </w:r>
                  <w:r>
                    <w:rPr>
                      <w:rFonts w:ascii="仿宋_GB2312" w:hAnsi="仿宋_GB2312" w:cs="仿宋_GB2312" w:eastAsia="仿宋_GB2312"/>
                      <w:color w:val="000000"/>
                    </w:rPr>
                    <w:t>运维</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1</w:t>
                  </w:r>
                </w:p>
              </w:tc>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个</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b/>
                      <w:color w:val="000000"/>
                    </w:rPr>
                    <w:t>2</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“中文+职业”产教融合中心建设</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1</w:t>
                  </w:r>
                </w:p>
              </w:tc>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个</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b/>
                      <w:color w:val="000000"/>
                    </w:rPr>
                    <w:t>3</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“中文+职业技能”数字教学资源建设</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1</w:t>
                  </w:r>
                </w:p>
              </w:tc>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门</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b/>
                      <w:color w:val="000000"/>
                    </w:rPr>
                    <w:t>4</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“中文+职业”教学服务支持</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3</w:t>
                  </w:r>
                </w:p>
              </w:tc>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项</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b/>
                      <w:color w:val="000000"/>
                    </w:rPr>
                    <w:t>5</w:t>
                  </w:r>
                </w:p>
              </w:tc>
              <w:tc>
                <w:tcPr>
                  <w:tcW w:type="dxa" w:w="18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国际会议及国际活动推荐</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2</w:t>
                  </w:r>
                </w:p>
              </w:tc>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rPr>
                    <w:t>项</w:t>
                  </w:r>
                </w:p>
              </w:tc>
            </w:tr>
          </w:tbl>
          <w:p>
            <w:pPr>
              <w:pStyle w:val="null3"/>
              <w:ind w:firstLine="420"/>
              <w:jc w:val="both"/>
            </w:pPr>
            <w:r>
              <w:rPr>
                <w:rFonts w:ascii="仿宋_GB2312" w:hAnsi="仿宋_GB2312" w:cs="仿宋_GB2312" w:eastAsia="仿宋_GB2312"/>
                <w:sz w:val="21"/>
                <w:color w:val="000000"/>
              </w:rPr>
              <w:t>(一)数字化国际教育平台(西安职院中文学习平台)运维</w:t>
            </w:r>
          </w:p>
          <w:p>
            <w:pPr>
              <w:pStyle w:val="null3"/>
              <w:ind w:firstLine="420"/>
              <w:jc w:val="both"/>
            </w:pPr>
            <w:r>
              <w:rPr>
                <w:rFonts w:ascii="仿宋_GB2312" w:hAnsi="仿宋_GB2312" w:cs="仿宋_GB2312" w:eastAsia="仿宋_GB2312"/>
                <w:sz w:val="21"/>
                <w:color w:val="000000"/>
              </w:rPr>
              <w:t>(1)协助学校开展国际学生、教师等用户的账号创建、权限分配以及信息维护等工作，并为管理员和使用者提供操作培训不少于3次，确保用户能够熟练运用相关系统。定期对平台进行巡检，及时发现并解决系统运行过程中出现的故障和问题，保障平台的稳定性和可靠性，确保教学活动的正常开展。收集用户对平台使用的反馈意见，根据用户需求对平台功能进行优化和改进，不断提升用户体验。建立平台运维日志，详细记录平台的运行状况、维护操作、问题处理等信息，为平台的后续维护和管理提供依据，必要时需提供驻场服务。</w:t>
            </w:r>
          </w:p>
          <w:p>
            <w:pPr>
              <w:pStyle w:val="null3"/>
              <w:ind w:firstLine="420"/>
              <w:jc w:val="both"/>
            </w:pPr>
            <w:r>
              <w:rPr>
                <w:rFonts w:ascii="仿宋_GB2312" w:hAnsi="仿宋_GB2312" w:cs="仿宋_GB2312" w:eastAsia="仿宋_GB2312"/>
                <w:sz w:val="21"/>
                <w:color w:val="000000"/>
              </w:rPr>
              <w:t>(2)对平台的数据进行定期备份，防止数据丢失，并制定完善的数据恢复方案，以应对可能出现的数据安全风险。积极与学校相关部门沟通协作，根据学校的教学安排和国际交流活动需求，对平台进行针对性的功能调整和资源更新。关注行业动态和技术发展趋势，及时将新的教育理念和技术手段融入平台运维中，提升平台的先进性和竞争力。为学校提供平台使用情况的数据分析报告，云服务实现国产化，为学校的教学管理和决策提供数据支持。</w:t>
            </w:r>
          </w:p>
          <w:p>
            <w:pPr>
              <w:pStyle w:val="null3"/>
              <w:ind w:firstLine="420"/>
              <w:jc w:val="both"/>
            </w:pPr>
            <w:r>
              <w:rPr>
                <w:rFonts w:ascii="仿宋_GB2312" w:hAnsi="仿宋_GB2312" w:cs="仿宋_GB2312" w:eastAsia="仿宋_GB2312"/>
                <w:sz w:val="21"/>
                <w:color w:val="000000"/>
              </w:rPr>
              <w:t>(二)“中文+职业”产教融合中心建设</w:t>
            </w:r>
          </w:p>
          <w:p>
            <w:pPr>
              <w:pStyle w:val="null3"/>
              <w:ind w:firstLine="420"/>
              <w:jc w:val="both"/>
            </w:pPr>
            <w:r>
              <w:rPr>
                <w:rFonts w:ascii="仿宋_GB2312" w:hAnsi="仿宋_GB2312" w:cs="仿宋_GB2312" w:eastAsia="仿宋_GB2312"/>
                <w:sz w:val="21"/>
                <w:color w:val="000000"/>
              </w:rPr>
              <w:t>(1)签订三方协议，夯实合作基础</w:t>
            </w:r>
          </w:p>
          <w:p>
            <w:pPr>
              <w:pStyle w:val="null3"/>
              <w:ind w:firstLine="420"/>
              <w:jc w:val="both"/>
            </w:pPr>
            <w:r>
              <w:rPr>
                <w:rFonts w:ascii="仿宋_GB2312" w:hAnsi="仿宋_GB2312" w:cs="仿宋_GB2312" w:eastAsia="仿宋_GB2312"/>
                <w:sz w:val="21"/>
                <w:color w:val="000000"/>
              </w:rPr>
              <w:t>推动校</w:t>
            </w:r>
            <w:r>
              <w:rPr>
                <w:rFonts w:ascii="仿宋_GB2312" w:hAnsi="仿宋_GB2312" w:cs="仿宋_GB2312" w:eastAsia="仿宋_GB2312"/>
                <w:sz w:val="21"/>
                <w:color w:val="000000"/>
              </w:rPr>
              <w:t>—企—校签订三方合作协议，明确三方在产教融合中心建设、人才培养、资源共享、实训就业等方面的权利与义务，细化合作内容、实施步骤、保障措施等，确保合作有序推进、落地见效。</w:t>
            </w:r>
          </w:p>
          <w:p>
            <w:pPr>
              <w:pStyle w:val="null3"/>
              <w:ind w:firstLine="420"/>
              <w:jc w:val="both"/>
            </w:pPr>
            <w:r>
              <w:rPr>
                <w:rFonts w:ascii="仿宋_GB2312" w:hAnsi="仿宋_GB2312" w:cs="仿宋_GB2312" w:eastAsia="仿宋_GB2312"/>
                <w:sz w:val="21"/>
                <w:color w:val="000000"/>
              </w:rPr>
              <w:t>(2)组建管理委员会，强化统筹协调</w:t>
            </w:r>
          </w:p>
          <w:p>
            <w:pPr>
              <w:pStyle w:val="null3"/>
              <w:ind w:firstLine="420"/>
              <w:jc w:val="both"/>
            </w:pPr>
            <w:r>
              <w:rPr>
                <w:rFonts w:ascii="仿宋_GB2312" w:hAnsi="仿宋_GB2312" w:cs="仿宋_GB2312" w:eastAsia="仿宋_GB2312"/>
                <w:sz w:val="21"/>
                <w:color w:val="000000"/>
              </w:rPr>
              <w:t>明确各方职责定位，定期召开工作会议，统筹推进中心建设各项工作。重点协调解决中文教学与职业技能培训衔接、海外人才基地建设、师资队伍共建、人才培养方案优化等重点难点问题</w:t>
            </w:r>
          </w:p>
          <w:p>
            <w:pPr>
              <w:pStyle w:val="null3"/>
              <w:ind w:firstLine="420"/>
              <w:jc w:val="both"/>
            </w:pPr>
            <w:r>
              <w:rPr>
                <w:rFonts w:ascii="仿宋_GB2312" w:hAnsi="仿宋_GB2312" w:cs="仿宋_GB2312" w:eastAsia="仿宋_GB2312"/>
                <w:sz w:val="21"/>
                <w:color w:val="000000"/>
              </w:rPr>
              <w:t>(3)规范挂牌运营，提升品牌影响力</w:t>
            </w:r>
          </w:p>
          <w:p>
            <w:pPr>
              <w:pStyle w:val="null3"/>
              <w:ind w:firstLine="420"/>
              <w:jc w:val="both"/>
            </w:pPr>
            <w:r>
              <w:rPr>
                <w:rFonts w:ascii="仿宋_GB2312" w:hAnsi="仿宋_GB2312" w:cs="仿宋_GB2312" w:eastAsia="仿宋_GB2312"/>
                <w:sz w:val="21"/>
                <w:color w:val="000000"/>
              </w:rPr>
              <w:t>按照官方规范要求，完成</w:t>
            </w:r>
            <w:r>
              <w:rPr>
                <w:rFonts w:ascii="仿宋_GB2312" w:hAnsi="仿宋_GB2312" w:cs="仿宋_GB2312" w:eastAsia="仿宋_GB2312"/>
                <w:sz w:val="21"/>
                <w:color w:val="000000"/>
              </w:rPr>
              <w:t>“中文+职业”产教融合中心挂牌工作，明确中心组织架构、运营模式及核心职能。完善中心管理制度，规范教学培训、实训实践、日常运营等各项工作流程，打造标准化、规范化的产教融合示范平台，提升中心在行业内及海外的品牌影响力和认可度。</w:t>
            </w:r>
          </w:p>
          <w:p>
            <w:pPr>
              <w:pStyle w:val="null3"/>
              <w:ind w:firstLine="420"/>
              <w:jc w:val="both"/>
            </w:pPr>
            <w:r>
              <w:rPr>
                <w:rFonts w:ascii="仿宋_GB2312" w:hAnsi="仿宋_GB2312" w:cs="仿宋_GB2312" w:eastAsia="仿宋_GB2312"/>
                <w:sz w:val="21"/>
                <w:color w:val="000000"/>
              </w:rPr>
              <w:t>(4)搭建海外人才培养基地，拓展育人空间</w:t>
            </w:r>
          </w:p>
          <w:p>
            <w:pPr>
              <w:pStyle w:val="null3"/>
              <w:ind w:firstLine="420"/>
              <w:jc w:val="both"/>
            </w:pPr>
            <w:r>
              <w:rPr>
                <w:rFonts w:ascii="仿宋_GB2312" w:hAnsi="仿宋_GB2312" w:cs="仿宋_GB2312" w:eastAsia="仿宋_GB2312"/>
                <w:sz w:val="21"/>
                <w:color w:val="000000"/>
              </w:rPr>
              <w:t>依托海外企业，在哈萨克斯坦成立海外人才培养基地，将中文教学与当地职业技能需求相结合，开展定制化人才培养。整合国内外优质教学资源，搭建线上线下融合的教学平台，为海外学员提供中文培训、职业技能实训、岗位能力提升等一站式服务，培养具备中文沟通能力和专业职业技能的复合型人才，助力海外中资企业解决复合型人才短缺问题，实现人才培养与企业用工的精准对接，推动产教融合走深走实。</w:t>
            </w:r>
          </w:p>
          <w:p>
            <w:pPr>
              <w:pStyle w:val="null3"/>
              <w:ind w:firstLine="420"/>
              <w:jc w:val="both"/>
            </w:pPr>
            <w:r>
              <w:rPr>
                <w:rFonts w:ascii="仿宋_GB2312" w:hAnsi="仿宋_GB2312" w:cs="仿宋_GB2312" w:eastAsia="仿宋_GB2312"/>
                <w:sz w:val="21"/>
                <w:color w:val="000000"/>
              </w:rPr>
              <w:t>(三)“中文+职业技能”数字教学资源建设</w:t>
            </w:r>
          </w:p>
          <w:p>
            <w:pPr>
              <w:pStyle w:val="null3"/>
              <w:ind w:firstLine="420"/>
              <w:jc w:val="both"/>
            </w:pPr>
            <w:r>
              <w:rPr>
                <w:rFonts w:ascii="仿宋_GB2312" w:hAnsi="仿宋_GB2312" w:cs="仿宋_GB2312" w:eastAsia="仿宋_GB2312"/>
                <w:sz w:val="21"/>
                <w:color w:val="000000"/>
              </w:rPr>
              <w:t>(1)课程选题与规划：结合哈萨克斯坦当地企业需求，协同学校选定1个优势专业，选取1门技能型核心课程作为建设对象，开展课程需求调研与分析及国际职业教育标准，制定详细的课程建设方案，明确课程目标、教学内容、教学方法、考核方式等核心要素。</w:t>
            </w:r>
          </w:p>
          <w:p>
            <w:pPr>
              <w:pStyle w:val="null3"/>
              <w:ind w:firstLine="420"/>
              <w:jc w:val="both"/>
            </w:pPr>
            <w:r>
              <w:rPr>
                <w:rFonts w:ascii="仿宋_GB2312" w:hAnsi="仿宋_GB2312" w:cs="仿宋_GB2312" w:eastAsia="仿宋_GB2312"/>
                <w:sz w:val="21"/>
                <w:color w:val="000000"/>
              </w:rPr>
              <w:t>(2)课程资源开发：</w:t>
            </w:r>
            <w:r>
              <w:rPr>
                <w:rFonts w:ascii="仿宋_GB2312" w:hAnsi="仿宋_GB2312" w:cs="仿宋_GB2312" w:eastAsia="仿宋_GB2312"/>
                <w:sz w:val="21"/>
                <w:color w:val="000000"/>
              </w:rPr>
              <w:t>①</w:t>
            </w:r>
            <w:r>
              <w:rPr>
                <w:rFonts w:ascii="仿宋_GB2312" w:hAnsi="仿宋_GB2312" w:cs="仿宋_GB2312" w:eastAsia="仿宋_GB2312"/>
                <w:sz w:val="21"/>
                <w:color w:val="000000"/>
              </w:rPr>
              <w:t>脚本撰写：组建专业脚本撰写团队，结合课程建设方案，完成</w:t>
            </w:r>
            <w:r>
              <w:rPr>
                <w:rFonts w:ascii="仿宋_GB2312" w:hAnsi="仿宋_GB2312" w:cs="仿宋_GB2312" w:eastAsia="仿宋_GB2312"/>
                <w:sz w:val="21"/>
                <w:color w:val="000000"/>
              </w:rPr>
              <w:t>20-30个教学单元的脚本编写，每个单元脚本需包含教学目标、教学重难点、知识点讲解、习题设计等内容，脚本语言需兼顾中文教学与职业技能传授，符合国际学生认知规律，通俗易懂。</w:t>
            </w:r>
            <w:r>
              <w:rPr>
                <w:rFonts w:ascii="仿宋_GB2312" w:hAnsi="仿宋_GB2312" w:cs="仿宋_GB2312" w:eastAsia="仿宋_GB2312"/>
                <w:sz w:val="21"/>
                <w:color w:val="000000"/>
              </w:rPr>
              <w:t>②</w:t>
            </w:r>
            <w:r>
              <w:rPr>
                <w:rFonts w:ascii="仿宋_GB2312" w:hAnsi="仿宋_GB2312" w:cs="仿宋_GB2312" w:eastAsia="仿宋_GB2312"/>
                <w:sz w:val="21"/>
                <w:color w:val="000000"/>
              </w:rPr>
              <w:t>视频拍摄：采用高清拍摄设备，按照脚本内容进行视频拍摄，拍摄场景需贴合教学内容，可选用学校专业技能实训室、企业生产现场等场景，视频画面清晰稳定，每个单元视频时长</w:t>
            </w:r>
            <w:r>
              <w:rPr>
                <w:rFonts w:ascii="仿宋_GB2312" w:hAnsi="仿宋_GB2312" w:cs="仿宋_GB2312" w:eastAsia="仿宋_GB2312"/>
                <w:sz w:val="21"/>
                <w:color w:val="000000"/>
              </w:rPr>
              <w:t>5-10分钟，总视频时长控制在100-200分钟。</w:t>
            </w:r>
          </w:p>
          <w:p>
            <w:pPr>
              <w:pStyle w:val="null3"/>
              <w:ind w:firstLine="420"/>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辅助资源制作：为每个教学单元配套制作习题、教学课件</w:t>
            </w:r>
            <w:r>
              <w:rPr>
                <w:rFonts w:ascii="仿宋_GB2312" w:hAnsi="仿宋_GB2312" w:cs="仿宋_GB2312" w:eastAsia="仿宋_GB2312"/>
                <w:sz w:val="21"/>
                <w:color w:val="000000"/>
              </w:rPr>
              <w:t>(PPT格式)、配套音频等辅助教学资源，确保教学资源的完整性和实用性。</w:t>
            </w:r>
          </w:p>
          <w:p>
            <w:pPr>
              <w:pStyle w:val="null3"/>
              <w:ind w:firstLine="420"/>
              <w:jc w:val="both"/>
            </w:pPr>
            <w:r>
              <w:rPr>
                <w:rFonts w:ascii="仿宋_GB2312" w:hAnsi="仿宋_GB2312" w:cs="仿宋_GB2312" w:eastAsia="仿宋_GB2312"/>
                <w:sz w:val="21"/>
                <w:color w:val="000000"/>
              </w:rPr>
              <w:t>(3)课程上线与推广：将建设完成的“中文+职业技能”数字化资源课程上线至“西安职院中文学习平台”和“中文联盟平台”，按照要求准备相关材料，完成课程与平台的技术适配。</w:t>
            </w:r>
          </w:p>
          <w:p>
            <w:pPr>
              <w:pStyle w:val="null3"/>
              <w:ind w:firstLine="420"/>
              <w:jc w:val="both"/>
            </w:pPr>
            <w:r>
              <w:rPr>
                <w:rFonts w:ascii="仿宋_GB2312" w:hAnsi="仿宋_GB2312" w:cs="仿宋_GB2312" w:eastAsia="仿宋_GB2312"/>
                <w:sz w:val="21"/>
                <w:color w:val="000000"/>
              </w:rPr>
              <w:t>(四)“中文+职业”教学支持服务</w:t>
            </w:r>
          </w:p>
          <w:p>
            <w:pPr>
              <w:pStyle w:val="null3"/>
              <w:ind w:firstLine="420"/>
              <w:jc w:val="both"/>
            </w:pPr>
            <w:r>
              <w:rPr>
                <w:rFonts w:ascii="仿宋_GB2312" w:hAnsi="仿宋_GB2312" w:cs="仿宋_GB2312" w:eastAsia="仿宋_GB2312"/>
                <w:sz w:val="21"/>
                <w:color w:val="000000"/>
              </w:rPr>
              <w:t>(1)国际学生“中文+职业”学习支持：协助学校组织海内外“中文+职业”课程教学，提供不少于50门精品国际中文教育在线课程，满足国际学生中文学习、职业技能提升及文化认知需求。</w:t>
            </w:r>
          </w:p>
          <w:p>
            <w:pPr>
              <w:pStyle w:val="null3"/>
              <w:ind w:firstLine="420"/>
              <w:jc w:val="both"/>
            </w:pPr>
            <w:r>
              <w:rPr>
                <w:rFonts w:ascii="仿宋_GB2312" w:hAnsi="仿宋_GB2312" w:cs="仿宋_GB2312" w:eastAsia="仿宋_GB2312"/>
                <w:sz w:val="21"/>
                <w:color w:val="000000"/>
              </w:rPr>
              <w:t>(2)教师教学支持：为教师提供教学资源筛选、教学计划制定、教学过程指导等支持服务，协助教师开展直播课+录播课教学，解答教学过程中遇到的问题。满足哈萨克斯坦欧亚创新大学开展线下授课需求，为国际学生提供中文学习、中国文化体验等教学活动。为我校教师赴</w:t>
            </w:r>
            <w:r>
              <w:rPr>
                <w:rFonts w:ascii="仿宋_GB2312" w:hAnsi="仿宋_GB2312" w:cs="仿宋_GB2312" w:eastAsia="仿宋_GB2312"/>
                <w:sz w:val="21"/>
                <w:color w:val="000000"/>
              </w:rPr>
              <w:t>哈萨克斯坦</w:t>
            </w:r>
            <w:r>
              <w:rPr>
                <w:rFonts w:ascii="仿宋_GB2312" w:hAnsi="仿宋_GB2312" w:cs="仿宋_GB2312" w:eastAsia="仿宋_GB2312"/>
                <w:sz w:val="21"/>
                <w:color w:val="000000"/>
              </w:rPr>
              <w:t>欧亚创新大学线下教学提供食宿协调和教学服务等相关支持。</w:t>
            </w:r>
          </w:p>
          <w:p>
            <w:pPr>
              <w:pStyle w:val="null3"/>
              <w:ind w:firstLine="420"/>
              <w:jc w:val="both"/>
            </w:pPr>
            <w:r>
              <w:rPr>
                <w:rFonts w:ascii="仿宋_GB2312" w:hAnsi="仿宋_GB2312" w:cs="仿宋_GB2312" w:eastAsia="仿宋_GB2312"/>
                <w:sz w:val="21"/>
                <w:color w:val="000000"/>
              </w:rPr>
              <w:t>(3)教学效果评估与反馈：建立教学效果评估机制，通过课堂测验、作业完成情况、学习满意度调查等方式，定期对教学效果进行评估，每学期至少开展1次教学效果调研，形成评估报告，根据评估结果提出教学改进建议，协助学校优化教学方案，提供HSK考试服务支持等。</w:t>
            </w:r>
          </w:p>
          <w:p>
            <w:pPr>
              <w:pStyle w:val="null3"/>
              <w:ind w:firstLine="420"/>
              <w:jc w:val="both"/>
            </w:pPr>
            <w:r>
              <w:rPr>
                <w:rFonts w:ascii="仿宋_GB2312" w:hAnsi="仿宋_GB2312" w:cs="仿宋_GB2312" w:eastAsia="仿宋_GB2312"/>
                <w:sz w:val="21"/>
                <w:color w:val="000000"/>
              </w:rPr>
              <w:t>(五)国际会议及国际活动推荐服务</w:t>
            </w:r>
          </w:p>
          <w:p>
            <w:pPr>
              <w:pStyle w:val="null3"/>
              <w:ind w:firstLine="420"/>
              <w:jc w:val="both"/>
            </w:pPr>
            <w:r>
              <w:rPr>
                <w:rFonts w:ascii="仿宋_GB2312" w:hAnsi="仿宋_GB2312" w:cs="仿宋_GB2312" w:eastAsia="仿宋_GB2312"/>
                <w:sz w:val="21"/>
                <w:color w:val="000000"/>
              </w:rPr>
              <w:t>(1)国际会议推荐与协助：协助学校选派代表参加“世界中文大会”等国际性会议，提供会议报名指导、材料准备、行程安排咨询等服务，确保学校顺利参与会议交流。</w:t>
            </w:r>
          </w:p>
          <w:p>
            <w:pPr>
              <w:pStyle w:val="null3"/>
              <w:ind w:firstLine="420"/>
              <w:jc w:val="both"/>
            </w:pPr>
            <w:r>
              <w:rPr>
                <w:rFonts w:ascii="仿宋_GB2312" w:hAnsi="仿宋_GB2312" w:cs="仿宋_GB2312" w:eastAsia="仿宋_GB2312"/>
                <w:sz w:val="21"/>
                <w:color w:val="000000"/>
              </w:rPr>
              <w:t>(2)交流互访协助：协助学校开展与哈萨克斯坦欧亚创新大学等海外院校的交流互访活动，提供出访计划制定、签证办理咨询、行程安排协调等服务，促进中外师生双向交流。</w:t>
            </w:r>
          </w:p>
          <w:p>
            <w:pPr>
              <w:pStyle w:val="null3"/>
              <w:ind w:firstLine="422"/>
              <w:jc w:val="both"/>
            </w:pPr>
            <w:r>
              <w:rPr>
                <w:rFonts w:ascii="仿宋_GB2312" w:hAnsi="仿宋_GB2312" w:cs="仿宋_GB2312" w:eastAsia="仿宋_GB2312"/>
                <w:sz w:val="21"/>
                <w:b/>
                <w:color w:val="000000"/>
              </w:rPr>
              <w:t>二、技术要求</w:t>
            </w:r>
          </w:p>
          <w:p>
            <w:pPr>
              <w:pStyle w:val="null3"/>
              <w:ind w:firstLine="420"/>
              <w:jc w:val="both"/>
            </w:pPr>
            <w:r>
              <w:rPr>
                <w:rFonts w:ascii="仿宋_GB2312" w:hAnsi="仿宋_GB2312" w:cs="仿宋_GB2312" w:eastAsia="仿宋_GB2312"/>
                <w:sz w:val="21"/>
                <w:color w:val="000000"/>
              </w:rPr>
              <w:t>(一)数字化国际教育平台(西安职院中文学习平台)技术要求</w:t>
            </w:r>
          </w:p>
          <w:p>
            <w:pPr>
              <w:pStyle w:val="null3"/>
              <w:ind w:firstLine="420"/>
              <w:jc w:val="both"/>
            </w:pPr>
            <w:r>
              <w:rPr>
                <w:rFonts w:ascii="仿宋_GB2312" w:hAnsi="仿宋_GB2312" w:cs="仿宋_GB2312" w:eastAsia="仿宋_GB2312"/>
                <w:sz w:val="21"/>
                <w:color w:val="000000"/>
              </w:rPr>
              <w:t>(1)平台架构：采用云原生架构，支持弹性扩展，可根据用户数量及访问量动态调整服务器资源，满足至少500名用户同时在线访问需求。</w:t>
            </w:r>
          </w:p>
          <w:p>
            <w:pPr>
              <w:pStyle w:val="null3"/>
              <w:ind w:firstLine="420"/>
              <w:jc w:val="both"/>
            </w:pPr>
            <w:r>
              <w:rPr>
                <w:rFonts w:ascii="仿宋_GB2312" w:hAnsi="仿宋_GB2312" w:cs="仿宋_GB2312" w:eastAsia="仿宋_GB2312"/>
                <w:sz w:val="21"/>
                <w:color w:val="000000"/>
              </w:rPr>
              <w:t>(2)功能模块：①门户功能模块：提供统一门户承载能力，支持内容展示、课程推荐、资讯发布与通知触达。②教师应用模块：面向教学执行场景，提供教师工作台、教学任务协同与班级相关能力支撑。③后台管理模块：提供统一管理中枢，覆盖教学对象管理、课程配置、运营维护等核心管理能力。④资源管理模块：提供教学资源全生命周期管理能力，支持资源归集、分类、发布与复用。⑤账号与管理机制模块：具备统一账号管理与系统使用管控能力，可依据管理需求实施差异化访问控制。⑥慕课课程模块：支持课程接入、学习记录、学情分析、学习过程管理与教学服务协同。⑦数据支撑模块：提供教学与运营数据的汇聚、分析与可视化呈现能力。</w:t>
            </w:r>
          </w:p>
          <w:p>
            <w:pPr>
              <w:pStyle w:val="null3"/>
              <w:ind w:firstLine="420"/>
              <w:jc w:val="both"/>
            </w:pPr>
            <w:r>
              <w:rPr>
                <w:rFonts w:ascii="仿宋_GB2312" w:hAnsi="仿宋_GB2312" w:cs="仿宋_GB2312" w:eastAsia="仿宋_GB2312"/>
                <w:sz w:val="21"/>
                <w:color w:val="000000"/>
              </w:rPr>
              <w:t>(3)安全技术：采用SSL加密传输机制，保障数据通信安全。系统具备完善的身份认证与权限控制体系，支持多种认证方式扩展。</w:t>
            </w:r>
          </w:p>
          <w:p>
            <w:pPr>
              <w:pStyle w:val="null3"/>
              <w:ind w:firstLine="420"/>
              <w:jc w:val="both"/>
            </w:pPr>
            <w:r>
              <w:rPr>
                <w:rFonts w:ascii="仿宋_GB2312" w:hAnsi="仿宋_GB2312" w:cs="仿宋_GB2312" w:eastAsia="仿宋_GB2312"/>
                <w:sz w:val="21"/>
                <w:color w:val="000000"/>
              </w:rPr>
              <w:t>(4)兼容性：系统采用 B/S 架构，无需安装专用客户端，可通过浏览器直接访问使用。系统支持 Windows、macOS、Linux 等主流操作系统，并兼容国产操作系统环境，包括但不限于 统信 UOS、银河麒麟 等。系统兼容 Chrome、Firefox、Edge、Safari 等主流浏览器，并支持基于 Chromium 内核的国产主流浏览器，包括 360安全浏览器、奇安信可信浏览器、QQ浏览器 等。系统支持 PC、平板、手机等多终端访问，兼容 Android、iOS 等主流移动操作系统，具备良好的响应式页面适配能力，可满足教师、学生及管理人员在不同场景下的使用需求。</w:t>
            </w:r>
          </w:p>
          <w:p>
            <w:pPr>
              <w:pStyle w:val="null3"/>
              <w:ind w:firstLine="420"/>
              <w:jc w:val="both"/>
            </w:pPr>
            <w:r>
              <w:rPr>
                <w:rFonts w:ascii="仿宋_GB2312" w:hAnsi="仿宋_GB2312" w:cs="仿宋_GB2312" w:eastAsia="仿宋_GB2312"/>
                <w:sz w:val="21"/>
                <w:color w:val="000000"/>
              </w:rPr>
              <w:t>(二)数字教学资源技术要求</w:t>
            </w:r>
          </w:p>
          <w:p>
            <w:pPr>
              <w:pStyle w:val="null3"/>
              <w:ind w:firstLine="420"/>
              <w:jc w:val="both"/>
            </w:pPr>
            <w:r>
              <w:rPr>
                <w:rFonts w:ascii="仿宋_GB2312" w:hAnsi="仿宋_GB2312" w:cs="仿宋_GB2312" w:eastAsia="仿宋_GB2312"/>
                <w:sz w:val="21"/>
                <w:color w:val="000000"/>
              </w:rPr>
              <w:t>(1)视频技术参数：视频格式为可用于网络播放的标准。MP4(Mpeg4/H.264/AVC格式)格式，视频分辨率不得低于1920*1080像素，视频目标比特率≥8Mbps，视频的标准音频采样率为48kHz。使用专业非线性编辑系统渲染成片，所有内容编辑结束后，生成成片，成品为1080P高清版本。</w:t>
            </w:r>
          </w:p>
          <w:p>
            <w:pPr>
              <w:pStyle w:val="null3"/>
              <w:ind w:firstLine="420"/>
              <w:jc w:val="both"/>
            </w:pPr>
            <w:r>
              <w:rPr>
                <w:rFonts w:ascii="仿宋_GB2312" w:hAnsi="仿宋_GB2312" w:cs="仿宋_GB2312" w:eastAsia="仿宋_GB2312"/>
                <w:sz w:val="21"/>
                <w:color w:val="000000"/>
              </w:rPr>
              <w:t>(2)文档资源格式：教学课件、参考资料等文档格式为PDF或PPT，PDF文档可正常浏览、打印，PPT文档排版整齐，字体清晰，无格式错乱问题。</w:t>
            </w:r>
          </w:p>
          <w:p>
            <w:pPr>
              <w:pStyle w:val="null3"/>
              <w:ind w:firstLine="420"/>
              <w:jc w:val="both"/>
            </w:pPr>
            <w:r>
              <w:rPr>
                <w:rFonts w:ascii="仿宋_GB2312" w:hAnsi="仿宋_GB2312" w:cs="仿宋_GB2312" w:eastAsia="仿宋_GB2312"/>
                <w:sz w:val="21"/>
                <w:color w:val="000000"/>
              </w:rPr>
              <w:t>(3)课程兼容性：课程资源需兼容西安职院中文学习平台及中文联盟平台，可正常上传、播放、学习，无技术适配问题。</w:t>
            </w:r>
          </w:p>
          <w:p>
            <w:pPr>
              <w:pStyle w:val="null3"/>
              <w:ind w:firstLine="420"/>
              <w:jc w:val="both"/>
            </w:pPr>
            <w:r>
              <w:rPr>
                <w:rFonts w:ascii="仿宋_GB2312" w:hAnsi="仿宋_GB2312" w:cs="仿宋_GB2312" w:eastAsia="仿宋_GB2312"/>
                <w:sz w:val="21"/>
                <w:color w:val="000000"/>
              </w:rPr>
              <w:t>(三)在线课程资源技术要求</w:t>
            </w:r>
          </w:p>
          <w:p>
            <w:pPr>
              <w:pStyle w:val="null3"/>
              <w:ind w:firstLine="420"/>
              <w:jc w:val="both"/>
            </w:pPr>
            <w:r>
              <w:rPr>
                <w:rFonts w:ascii="仿宋_GB2312" w:hAnsi="仿宋_GB2312" w:cs="仿宋_GB2312" w:eastAsia="仿宋_GB2312"/>
                <w:sz w:val="21"/>
                <w:color w:val="000000"/>
              </w:rPr>
              <w:t>(1)课程质量：提供的精品国际中文教育在线课程需由专业教师团队开发，教学内容科学准确、逻辑清晰，符合国际中文教育及职业教育相关标准，具有较高的教学价值和实用性。</w:t>
            </w:r>
          </w:p>
          <w:p>
            <w:pPr>
              <w:pStyle w:val="null3"/>
              <w:ind w:firstLine="420"/>
              <w:jc w:val="both"/>
            </w:pPr>
            <w:r>
              <w:rPr>
                <w:rFonts w:ascii="仿宋_GB2312" w:hAnsi="仿宋_GB2312" w:cs="仿宋_GB2312" w:eastAsia="仿宋_GB2312"/>
                <w:sz w:val="21"/>
                <w:color w:val="000000"/>
              </w:rPr>
              <w:t>(2)访问速度：在线课程访问速度快，视频加载时间不超过3秒(在正常网络环境下)，无卡顿、缓冲频繁等问题。</w:t>
            </w:r>
          </w:p>
          <w:p>
            <w:pPr>
              <w:pStyle w:val="null3"/>
              <w:ind w:firstLine="422"/>
              <w:jc w:val="both"/>
            </w:pPr>
            <w:r>
              <w:rPr>
                <w:rFonts w:ascii="仿宋_GB2312" w:hAnsi="仿宋_GB2312" w:cs="仿宋_GB2312" w:eastAsia="仿宋_GB2312"/>
                <w:sz w:val="21"/>
                <w:b/>
                <w:color w:val="000000"/>
              </w:rPr>
              <w:t>三</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服务要求</w:t>
            </w:r>
          </w:p>
          <w:p>
            <w:pPr>
              <w:pStyle w:val="null3"/>
              <w:ind w:firstLine="400"/>
              <w:jc w:val="left"/>
            </w:pPr>
            <w:r>
              <w:rPr>
                <w:rFonts w:ascii="仿宋_GB2312" w:hAnsi="仿宋_GB2312" w:cs="仿宋_GB2312" w:eastAsia="仿宋_GB2312"/>
                <w:sz w:val="20"/>
                <w:color w:val="000000"/>
              </w:rPr>
              <w:t>(一)服务商指派专属人员与采购人联系服务事宜，服务响应时间应根据采购人实际安排随时调整。</w:t>
            </w:r>
          </w:p>
          <w:p>
            <w:pPr>
              <w:pStyle w:val="null3"/>
              <w:ind w:firstLine="400"/>
              <w:jc w:val="left"/>
            </w:pPr>
            <w:r>
              <w:rPr>
                <w:rFonts w:ascii="仿宋_GB2312" w:hAnsi="仿宋_GB2312" w:cs="仿宋_GB2312" w:eastAsia="仿宋_GB2312"/>
                <w:sz w:val="20"/>
                <w:color w:val="000000"/>
              </w:rPr>
              <w:t>(二)服务商根据服务实际情况编制服务方案、管理方案、服务计划、重点难点分析、质量控制、整改意见及措施、合理化建议、后续服务等方案措施。</w:t>
            </w:r>
          </w:p>
          <w:p>
            <w:pPr>
              <w:pStyle w:val="null3"/>
              <w:ind w:firstLine="400"/>
              <w:jc w:val="left"/>
            </w:pPr>
            <w:r>
              <w:rPr>
                <w:rFonts w:ascii="仿宋_GB2312" w:hAnsi="仿宋_GB2312" w:cs="仿宋_GB2312" w:eastAsia="仿宋_GB2312"/>
                <w:sz w:val="20"/>
                <w:color w:val="000000"/>
              </w:rPr>
              <w:t>(三)定期与采购单位进行沟通对接，每月至少召开1次项目进展沟通会，汇报项目实施情况、存在问题及下一步工作计划；建立书面沟通机制，对于项目相关的重要事项，及时以书面形式(包括邮件、函件等)进行确认和反馈。</w:t>
            </w:r>
          </w:p>
          <w:p>
            <w:pPr>
              <w:pStyle w:val="null3"/>
              <w:ind w:firstLine="400"/>
              <w:jc w:val="left"/>
            </w:pPr>
            <w:r>
              <w:rPr>
                <w:rFonts w:ascii="仿宋_GB2312" w:hAnsi="仿宋_GB2312" w:cs="仿宋_GB2312" w:eastAsia="仿宋_GB2312"/>
                <w:sz w:val="20"/>
                <w:color w:val="000000"/>
              </w:rPr>
              <w:t>(四)建立7×24小时服务热线和在线客服渠道，对于采购单位及用户提出的咨询、投诉、故障报修等需求，工作时间(9:00-18:00)内30分钟内响应，非工作时间1小时内响应；一般问题24小时内解决，复杂问题48小时内解决，重大问题成立专项工作组，明确解决时限并及时向采购单位汇报进展。</w:t>
            </w:r>
          </w:p>
          <w:p>
            <w:pPr>
              <w:pStyle w:val="null3"/>
              <w:ind w:firstLine="400"/>
              <w:jc w:val="left"/>
            </w:pPr>
            <w:r>
              <w:rPr>
                <w:rFonts w:ascii="仿宋_GB2312" w:hAnsi="仿宋_GB2312" w:cs="仿宋_GB2312" w:eastAsia="仿宋_GB2312"/>
                <w:sz w:val="20"/>
                <w:color w:val="000000"/>
              </w:rPr>
              <w:t>(五)严格遵守国家相关</w:t>
            </w:r>
            <w:r>
              <w:rPr>
                <w:rFonts w:ascii="仿宋_GB2312" w:hAnsi="仿宋_GB2312" w:cs="仿宋_GB2312" w:eastAsia="仿宋_GB2312"/>
                <w:sz w:val="20"/>
                <w:color w:val="000000"/>
              </w:rPr>
              <w:t>保守国家秘密法</w:t>
            </w:r>
            <w:r>
              <w:rPr>
                <w:rFonts w:ascii="仿宋_GB2312" w:hAnsi="仿宋_GB2312" w:cs="仿宋_GB2312" w:eastAsia="仿宋_GB2312"/>
                <w:sz w:val="20"/>
                <w:color w:val="000000"/>
              </w:rPr>
              <w:t>律法规，对项目实施过程中涉及的采购单位商业秘密、教学资源、用户信息等敏感数据进行严格保密，建立保密制度，与核心服务人员签订保密协议；未经采购单位书面同意，不得向任何第三方泄露相关信息，否则承担相应的法律责任。</w:t>
            </w:r>
          </w:p>
          <w:p>
            <w:pPr>
              <w:pStyle w:val="null3"/>
              <w:ind w:firstLine="400"/>
              <w:jc w:val="left"/>
            </w:pPr>
            <w:r>
              <w:rPr>
                <w:rFonts w:ascii="仿宋_GB2312" w:hAnsi="仿宋_GB2312" w:cs="仿宋_GB2312" w:eastAsia="仿宋_GB2312"/>
                <w:sz w:val="20"/>
                <w:color w:val="000000"/>
              </w:rPr>
              <w:t>(六)严格按照国家、陕西省、西安市有关规定及采购人要求进行服务，不得随意更改或者变换服务内容，每项服务内容在实施前应事先取得采购人的落实后方可实施。</w:t>
            </w:r>
          </w:p>
          <w:p>
            <w:pPr>
              <w:pStyle w:val="null3"/>
              <w:ind w:firstLine="400"/>
              <w:jc w:val="left"/>
            </w:pPr>
            <w:r>
              <w:rPr>
                <w:rFonts w:ascii="仿宋_GB2312" w:hAnsi="仿宋_GB2312" w:cs="仿宋_GB2312" w:eastAsia="仿宋_GB2312"/>
                <w:sz w:val="20"/>
                <w:color w:val="000000"/>
              </w:rPr>
              <w:t>(七)服务期满后有专人负责与采购人联系后续服务事宜，并提供咨询、解释、问题处理、答疑和必要的资料递交等后续服务事宜，后续服务费用由服务商自行承担。</w:t>
            </w:r>
          </w:p>
          <w:p>
            <w:pPr>
              <w:pStyle w:val="null3"/>
              <w:ind w:left="555"/>
              <w:jc w:val="both"/>
            </w:pPr>
            <w:r>
              <w:rPr>
                <w:rFonts w:ascii="仿宋_GB2312" w:hAnsi="仿宋_GB2312" w:cs="仿宋_GB2312" w:eastAsia="仿宋_GB2312"/>
                <w:sz w:val="21"/>
                <w:b/>
                <w:color w:val="000000"/>
              </w:rPr>
              <w:t>四、成果交付要求</w:t>
            </w:r>
          </w:p>
          <w:p>
            <w:pPr>
              <w:pStyle w:val="null3"/>
              <w:ind w:firstLine="400"/>
              <w:jc w:val="left"/>
            </w:pPr>
            <w:r>
              <w:rPr>
                <w:rFonts w:ascii="仿宋_GB2312" w:hAnsi="仿宋_GB2312" w:cs="仿宋_GB2312" w:eastAsia="仿宋_GB2312"/>
                <w:sz w:val="20"/>
                <w:color w:val="000000"/>
              </w:rPr>
              <w:t>(一)交付数字化国际教育平台(西安职院中文学习平台)运维用户服务成果，系统运维与数据成果，如需驻场服务，额外提交驻场服务记录；</w:t>
            </w:r>
          </w:p>
          <w:p>
            <w:pPr>
              <w:pStyle w:val="null3"/>
              <w:ind w:firstLine="400"/>
              <w:jc w:val="left"/>
            </w:pPr>
            <w:r>
              <w:rPr>
                <w:rFonts w:ascii="仿宋_GB2312" w:hAnsi="仿宋_GB2312" w:cs="仿宋_GB2312" w:eastAsia="仿宋_GB2312"/>
                <w:sz w:val="20"/>
                <w:color w:val="000000"/>
              </w:rPr>
              <w:t>(二)交付“中文+职业技能”产教融合中心建设总体方案1套，包含建设规划、组织架构、运营管理等完整内容。</w:t>
            </w:r>
          </w:p>
          <w:p>
            <w:pPr>
              <w:pStyle w:val="null3"/>
              <w:ind w:firstLine="400"/>
              <w:jc w:val="left"/>
            </w:pPr>
            <w:r>
              <w:rPr>
                <w:rFonts w:ascii="仿宋_GB2312" w:hAnsi="仿宋_GB2312" w:cs="仿宋_GB2312" w:eastAsia="仿宋_GB2312"/>
                <w:sz w:val="20"/>
                <w:color w:val="000000"/>
              </w:rPr>
              <w:t>(三)交付三方合作协议范本及正式签约文件1套，含协议文本、签约流程、权责约定、履约保障条款。</w:t>
            </w:r>
          </w:p>
          <w:p>
            <w:pPr>
              <w:pStyle w:val="null3"/>
              <w:ind w:firstLine="400"/>
              <w:jc w:val="left"/>
            </w:pPr>
            <w:r>
              <w:rPr>
                <w:rFonts w:ascii="仿宋_GB2312" w:hAnsi="仿宋_GB2312" w:cs="仿宋_GB2312" w:eastAsia="仿宋_GB2312"/>
                <w:sz w:val="20"/>
                <w:color w:val="000000"/>
              </w:rPr>
              <w:t>(四)交付管理委员会组建及运行文件1套，含委员会章程、成员组成、议事规则、工作制度等；</w:t>
            </w:r>
          </w:p>
          <w:p>
            <w:pPr>
              <w:pStyle w:val="null3"/>
              <w:ind w:firstLine="400"/>
              <w:jc w:val="left"/>
            </w:pPr>
            <w:r>
              <w:rPr>
                <w:rFonts w:ascii="仿宋_GB2312" w:hAnsi="仿宋_GB2312" w:cs="仿宋_GB2312" w:eastAsia="仿宋_GB2312"/>
                <w:sz w:val="20"/>
                <w:color w:val="000000"/>
              </w:rPr>
              <w:t>(五)交付中心挂牌全套规范材料1套，含牌匾设计规范、挂牌仪式方案、挂牌证明文件、宣传展示材料。</w:t>
            </w:r>
          </w:p>
          <w:p>
            <w:pPr>
              <w:pStyle w:val="null3"/>
              <w:ind w:firstLine="400"/>
              <w:jc w:val="left"/>
            </w:pPr>
            <w:r>
              <w:rPr>
                <w:rFonts w:ascii="仿宋_GB2312" w:hAnsi="仿宋_GB2312" w:cs="仿宋_GB2312" w:eastAsia="仿宋_GB2312"/>
                <w:sz w:val="20"/>
                <w:color w:val="000000"/>
              </w:rPr>
              <w:t>(六)交付海外人才培养基地建设成果1套，含基地建设方案、合作框架、教学体系、运营模式、落地实施材料。</w:t>
            </w:r>
          </w:p>
          <w:p>
            <w:pPr>
              <w:pStyle w:val="null3"/>
              <w:ind w:firstLine="400"/>
              <w:jc w:val="left"/>
            </w:pPr>
            <w:r>
              <w:rPr>
                <w:rFonts w:ascii="仿宋_GB2312" w:hAnsi="仿宋_GB2312" w:cs="仿宋_GB2312" w:eastAsia="仿宋_GB2312"/>
                <w:sz w:val="20"/>
                <w:color w:val="000000"/>
              </w:rPr>
              <w:t>(七)交付数字教学资源建设成果：</w:t>
            </w:r>
            <w:r>
              <w:rPr>
                <w:rFonts w:ascii="仿宋_GB2312" w:hAnsi="仿宋_GB2312" w:cs="仿宋_GB2312" w:eastAsia="仿宋_GB2312"/>
                <w:sz w:val="21"/>
                <w:color w:val="000000"/>
              </w:rPr>
              <w:t>(1)</w:t>
            </w:r>
            <w:r>
              <w:rPr>
                <w:rFonts w:ascii="仿宋_GB2312" w:hAnsi="仿宋_GB2312" w:cs="仿宋_GB2312" w:eastAsia="仿宋_GB2312"/>
                <w:sz w:val="20"/>
                <w:color w:val="000000"/>
              </w:rPr>
              <w:t>20-30个教学单元的教学视频，总时长100-200分钟的课程视频文件(MP4格式，含双语字幕)；</w:t>
            </w:r>
            <w:r>
              <w:rPr>
                <w:rFonts w:ascii="仿宋_GB2312" w:hAnsi="仿宋_GB2312" w:cs="仿宋_GB2312" w:eastAsia="仿宋_GB2312"/>
                <w:sz w:val="21"/>
                <w:color w:val="000000"/>
              </w:rPr>
              <w:t>(2)</w:t>
            </w:r>
            <w:r>
              <w:rPr>
                <w:rFonts w:ascii="仿宋_GB2312" w:hAnsi="仿宋_GB2312" w:cs="仿宋_GB2312" w:eastAsia="仿宋_GB2312"/>
                <w:sz w:val="20"/>
                <w:color w:val="000000"/>
              </w:rPr>
              <w:t>每个教学单元配套教学课件</w:t>
            </w:r>
            <w:r>
              <w:rPr>
                <w:rFonts w:ascii="仿宋_GB2312" w:hAnsi="仿宋_GB2312" w:cs="仿宋_GB2312" w:eastAsia="仿宋_GB2312"/>
                <w:sz w:val="20"/>
                <w:color w:val="000000"/>
              </w:rPr>
              <w:t>(PPT格式)、音频；</w:t>
            </w:r>
            <w:r>
              <w:rPr>
                <w:rFonts w:ascii="仿宋_GB2312" w:hAnsi="仿宋_GB2312" w:cs="仿宋_GB2312" w:eastAsia="仿宋_GB2312"/>
                <w:sz w:val="21"/>
                <w:color w:val="000000"/>
              </w:rPr>
              <w:t>(3)</w:t>
            </w:r>
            <w:r>
              <w:rPr>
                <w:rFonts w:ascii="仿宋_GB2312" w:hAnsi="仿宋_GB2312" w:cs="仿宋_GB2312" w:eastAsia="仿宋_GB2312"/>
                <w:sz w:val="20"/>
                <w:color w:val="000000"/>
              </w:rPr>
              <w:t>课程上线证明材料</w:t>
            </w:r>
            <w:r>
              <w:rPr>
                <w:rFonts w:ascii="仿宋_GB2312" w:hAnsi="仿宋_GB2312" w:cs="仿宋_GB2312" w:eastAsia="仿宋_GB2312"/>
                <w:sz w:val="20"/>
                <w:color w:val="000000"/>
              </w:rPr>
              <w:t>(平台截图、课程资源上线中文联盟平台的说明函等)。</w:t>
            </w:r>
          </w:p>
          <w:p>
            <w:pPr>
              <w:pStyle w:val="null3"/>
              <w:ind w:firstLine="400"/>
              <w:jc w:val="left"/>
            </w:pPr>
            <w:r>
              <w:rPr>
                <w:rFonts w:ascii="仿宋_GB2312" w:hAnsi="仿宋_GB2312" w:cs="仿宋_GB2312" w:eastAsia="仿宋_GB2312"/>
                <w:sz w:val="20"/>
                <w:color w:val="000000"/>
              </w:rPr>
              <w:t>(八)交付教学支持成果：</w:t>
            </w:r>
            <w:r>
              <w:rPr>
                <w:rFonts w:ascii="仿宋_GB2312" w:hAnsi="仿宋_GB2312" w:cs="仿宋_GB2312" w:eastAsia="仿宋_GB2312"/>
                <w:sz w:val="21"/>
                <w:color w:val="000000"/>
              </w:rPr>
              <w:t>(1)</w:t>
            </w:r>
            <w:r>
              <w:rPr>
                <w:rFonts w:ascii="仿宋_GB2312" w:hAnsi="仿宋_GB2312" w:cs="仿宋_GB2312" w:eastAsia="仿宋_GB2312"/>
                <w:sz w:val="20"/>
                <w:color w:val="000000"/>
              </w:rPr>
              <w:t>50门精品国际中文教育在线课程清单；</w:t>
            </w:r>
            <w:r>
              <w:rPr>
                <w:rFonts w:ascii="仿宋_GB2312" w:hAnsi="仿宋_GB2312" w:cs="仿宋_GB2312" w:eastAsia="仿宋_GB2312"/>
                <w:sz w:val="21"/>
                <w:color w:val="000000"/>
              </w:rPr>
              <w:t>(2)</w:t>
            </w:r>
            <w:r>
              <w:rPr>
                <w:rFonts w:ascii="仿宋_GB2312" w:hAnsi="仿宋_GB2312" w:cs="仿宋_GB2312" w:eastAsia="仿宋_GB2312"/>
                <w:sz w:val="20"/>
                <w:color w:val="000000"/>
              </w:rPr>
              <w:t>教学支持服务记录</w:t>
            </w:r>
            <w:r>
              <w:rPr>
                <w:rFonts w:ascii="仿宋_GB2312" w:hAnsi="仿宋_GB2312" w:cs="仿宋_GB2312" w:eastAsia="仿宋_GB2312"/>
                <w:sz w:val="20"/>
                <w:color w:val="000000"/>
              </w:rPr>
              <w:t>(包括教学计划、教学活动图文等)1份；</w:t>
            </w:r>
            <w:r>
              <w:rPr>
                <w:rFonts w:ascii="仿宋_GB2312" w:hAnsi="仿宋_GB2312" w:cs="仿宋_GB2312" w:eastAsia="仿宋_GB2312"/>
                <w:sz w:val="21"/>
                <w:color w:val="000000"/>
              </w:rPr>
              <w:t>(3)</w:t>
            </w:r>
            <w:r>
              <w:rPr>
                <w:rFonts w:ascii="仿宋_GB2312" w:hAnsi="仿宋_GB2312" w:cs="仿宋_GB2312" w:eastAsia="仿宋_GB2312"/>
                <w:sz w:val="20"/>
                <w:color w:val="000000"/>
              </w:rPr>
              <w:t>教学效果评估报告。</w:t>
            </w:r>
          </w:p>
          <w:p>
            <w:pPr>
              <w:pStyle w:val="null3"/>
              <w:ind w:firstLine="400"/>
              <w:jc w:val="left"/>
            </w:pPr>
            <w:r>
              <w:rPr>
                <w:rFonts w:ascii="仿宋_GB2312" w:hAnsi="仿宋_GB2312" w:cs="仿宋_GB2312" w:eastAsia="仿宋_GB2312"/>
                <w:sz w:val="20"/>
                <w:color w:val="000000"/>
              </w:rPr>
              <w:t>(九)交付国际会议及国际活动推荐成果：</w:t>
            </w:r>
            <w:r>
              <w:rPr>
                <w:rFonts w:ascii="仿宋_GB2312" w:hAnsi="仿宋_GB2312" w:cs="仿宋_GB2312" w:eastAsia="仿宋_GB2312"/>
                <w:sz w:val="21"/>
                <w:color w:val="000000"/>
              </w:rPr>
              <w:t>(1)</w:t>
            </w:r>
            <w:r>
              <w:rPr>
                <w:rFonts w:ascii="仿宋_GB2312" w:hAnsi="仿宋_GB2312" w:cs="仿宋_GB2312" w:eastAsia="仿宋_GB2312"/>
                <w:sz w:val="20"/>
                <w:color w:val="000000"/>
              </w:rPr>
              <w:t>国际会议报名指导材料、参会代表名单及行程安排；</w:t>
            </w:r>
            <w:r>
              <w:rPr>
                <w:rFonts w:ascii="仿宋_GB2312" w:hAnsi="仿宋_GB2312" w:cs="仿宋_GB2312" w:eastAsia="仿宋_GB2312"/>
                <w:sz w:val="21"/>
                <w:color w:val="000000"/>
              </w:rPr>
              <w:t>(2)</w:t>
            </w:r>
            <w:r>
              <w:rPr>
                <w:rFonts w:ascii="仿宋_GB2312" w:hAnsi="仿宋_GB2312" w:cs="仿宋_GB2312" w:eastAsia="仿宋_GB2312"/>
                <w:sz w:val="20"/>
                <w:color w:val="000000"/>
              </w:rPr>
              <w:t>交流互访活动计划及相关协调记录。</w:t>
            </w:r>
          </w:p>
          <w:p>
            <w:pPr>
              <w:pStyle w:val="null3"/>
              <w:ind w:firstLine="400"/>
              <w:jc w:val="left"/>
            </w:pPr>
            <w:r>
              <w:rPr>
                <w:rFonts w:ascii="仿宋_GB2312" w:hAnsi="仿宋_GB2312" w:cs="仿宋_GB2312" w:eastAsia="仿宋_GB2312"/>
                <w:sz w:val="20"/>
                <w:color w:val="000000"/>
              </w:rPr>
              <w:t>(十)交付其他成果：项目总结报告1份，含全部文档、表格、图片、PPT及成果验收资料。所有交付成果均需提供纸质版(加盖供应商公章)和电子版(U盘或光盘存储)，数量根据学校验收标准确定。</w:t>
            </w:r>
          </w:p>
          <w:p>
            <w:pPr>
              <w:pStyle w:val="null3"/>
              <w:ind w:firstLine="422"/>
              <w:jc w:val="both"/>
            </w:pPr>
            <w:r>
              <w:rPr>
                <w:rFonts w:ascii="仿宋_GB2312" w:hAnsi="仿宋_GB2312" w:cs="仿宋_GB2312" w:eastAsia="仿宋_GB2312"/>
                <w:sz w:val="21"/>
                <w:b/>
                <w:color w:val="000000"/>
              </w:rPr>
              <w:t>五、服务标准</w:t>
            </w:r>
          </w:p>
          <w:p>
            <w:pPr>
              <w:pStyle w:val="null3"/>
              <w:ind w:firstLine="420"/>
              <w:jc w:val="both"/>
            </w:pPr>
            <w:r>
              <w:rPr>
                <w:rFonts w:ascii="仿宋_GB2312" w:hAnsi="仿宋_GB2312" w:cs="仿宋_GB2312" w:eastAsia="仿宋_GB2312"/>
                <w:sz w:val="21"/>
                <w:color w:val="000000"/>
              </w:rPr>
              <w:t>(一)严格按照采购需求书及合同约定的服务内容、技术要求、进度要求提供服务，确保服务质量达标；积极配合采购单位的监督检查和考核评估工作，对于采购单位提出的整改意见，在规定时间内完成整改。</w:t>
            </w:r>
          </w:p>
          <w:p>
            <w:pPr>
              <w:pStyle w:val="null3"/>
              <w:ind w:firstLine="420"/>
              <w:jc w:val="both"/>
            </w:pPr>
            <w:r>
              <w:rPr>
                <w:rFonts w:ascii="仿宋_GB2312" w:hAnsi="仿宋_GB2312" w:cs="仿宋_GB2312" w:eastAsia="仿宋_GB2312"/>
                <w:sz w:val="21"/>
                <w:color w:val="000000"/>
              </w:rPr>
              <w:t>(二)各项服务标准符合国家、省、市(行业)强制性标准及采购人要求的合格标准。</w:t>
            </w:r>
          </w:p>
          <w:p>
            <w:pPr>
              <w:pStyle w:val="null3"/>
              <w:ind w:firstLine="420"/>
              <w:jc w:val="both"/>
            </w:pPr>
            <w:r>
              <w:rPr>
                <w:rFonts w:ascii="仿宋_GB2312" w:hAnsi="仿宋_GB2312" w:cs="仿宋_GB2312" w:eastAsia="仿宋_GB2312"/>
                <w:sz w:val="21"/>
                <w:color w:val="000000"/>
              </w:rPr>
              <w:t>(三)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根据服务要求及特性，自行配置履行合同所必需的专业服务团队(不限于项目负责人、技术人员、运维人员、辅助人员等)，自行组织实施与管理，相关人员经过严格培训，具有相关工作经验，能够胜任项目工作，保证项目顺利实施。服务队伍稳定，保证整个项目顺利完成，服务商未经采购人同意，不得擅自更换本项目在响应文件中指定的服务人员。 (一)项目负责人：不少于1人，需具备本科及以上学历，5年以上相关项目管理经验，熟悉“中文+职业”教育领域，能够全面统筹项目实施，协调解决项目推进过程中的各类问题，每月至少1次向采购单位汇报项目进展情况。 (二)平台运维团队：不少于1人，至少具备计算机相关专业学士及以上学历或5年以上平台运维经验，团队成员需熟悉云服务器、数据库、网络安全等相关技术，能够快速响应并解决平台运行过程中的技术故障。 (三)教学资源建设团队：不少于2人，需具备中文教学或职业教育相关专业学士及以上学历。 (四)服务团队稳定性：项目实施期间，核心服务人员不得随意更换，若确需更换，需提前15个工作日书面通知采购单位，并提供同等资质或更优资质的人员替换方案，经采购单位同意后方可更换。</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服务商根据项目特性及要求，自行配置投入履行合同所必需的各类设施设备(不限于专业设备、辅助设备、工具、软件等)，保证项目顺利实施。 (一)平台运维设备：具备高性能服务器（CPU不低于鲲鹏 920 同级别处理能力的CPU均可，内存不低于 32GB，硬盘容量不低于 1TB）。 (二)教学资源制作设备：具备高清摄像机（4K）、专业录音设备、灯光设备、后期剪辑工作站（CPU 不低于龙芯 3A6000 同级别处理能力的CPU均可，内存不低于 16GB，显卡不低于摩尔线程 MTT S80 同级别能力显卡均可，硬盘容量不低于 2TB）等专业设备，以及 Premiere、AE、Audition、Photoshop 等专业制作软件。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供应商的磋商报价是供应商响应磋商项目要求的全部工作内容的价格体现，包括供应商完成本项目所需的直接费用、间接费、利润、税金及其它相关的一切费用，包括但不限于：服务费(含售后)、设备使用费、人员工资、管理费、验收费、社保、取暖费、降温费、保险费、利润和税金等全部费用；在提供服务的过程中的任何遗漏，均由成交供应商免费提供，采购人将不再支付任何费用。 （二）本项目标的所属行业为： 其他未列明行业 （从业人员300人以下的为中小微型企业。其中，从业人员100人及以上的为中型企业；从业人员10人及以上的为小型企业；从业人员10人以下的为微型企业）。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自合同签订生效之日起1年(具体服务起止时间以合同约定为准)。服务期满后，服务商需提供1个月的免费售后服务期，对项目实施过程中出现的问题进行及时处理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西安职业技术学院(具体按采购人指定地点)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采购文件、合同等相关文件，进行验收，确认服务标准和服务方式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 (一)验收流程：服务商完成服务内容后提交验收申请及相关成果材料，采购单位在收到申请后15个工作日内组织验收，成立验收小组(由学校相关部门人员、专业教师及行业专家组成)，通过资料审核、现场测试、效果评估等方式进行验收，验收合格后出具验收报告；验收不合格的，服务商需在规定时间内整改，整改后重新申请验收。 (二)验收标准：符合国家相关法律法规、《职业教育专业目录（2024年）》《国际中文教育中文水平等级标准》等行业标准及本项目采购需求的要求。 (1)数字化实践平台验收标准：平台运行稳定，全年正常运行时间不低于99.9%，无重大安全事故；功能模块齐全，满足教学及管理需求；用户访问速度快，无卡顿、加载缓慢等问题；数据安全可靠，备份及时有效。 (2)数字教学资源验收标准：课程内容准确无误，符合“语言能力+职业技能+跨文化素养”三维课程体系要求；视频画面清晰、音质良好，字幕准确；辅助资源齐全，实用性强。 (3)教学支持验收标准：培训方案科学合理，培训内容贴合需求；提供的在线课程质量达标，教学支持服务及时有效。 (4)国际会议及国际活动推荐验收标准：按要求完成国际会议及交流互访活动的推荐与协助工作，采购单位顺利参与相关活动。 (三)其他具体按拟签订采购合同相关条款执行。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预付款，协议签订生效后(付款前服务商应出具等值发票交至采购人，采购人以银行转账方式支付)，达到付款条件起10个工作日内，支付合同总金额的40.0%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其他，项目整体验收通过后(付款前服务商应出具等值发票交至采购人，采购人以银行转账方式支付；其他具体按拟签订采购合同相关条款执行)，达到付款条件起10个工作日内，支付合同总金额的60.0%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按拟签订采购合同相关条款执行。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(四)文件中签名是指：手写签名或加盖签名章（含电子章、印章、签名章），盖章是指加盖单位公章（含电子章）。 (五)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六)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承接服务的供应商应为符合政策要求的中小企业或残疾人福利性单位或监狱企业。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根据整体实施方案中①服务范围、②服务计划、③服务方法、④服务目标、⑤成果审核等方案措施的响应程度。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重点、难点分析及问题解决对策</w:t>
            </w:r>
          </w:p>
        </w:tc>
        <w:tc>
          <w:tcPr>
            <w:tcW w:type="dxa" w:w="2492"/>
          </w:tcPr>
          <w:p>
            <w:pPr>
              <w:pStyle w:val="null3"/>
            </w:pPr>
            <w:r>
              <w:rPr>
                <w:rFonts w:ascii="仿宋_GB2312" w:hAnsi="仿宋_GB2312" w:cs="仿宋_GB2312" w:eastAsia="仿宋_GB2312"/>
              </w:rPr>
              <w:t>根据服务过程中①重点、难点分析和②问题解决对策等方案措施的响应程度。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执行方案</w:t>
            </w:r>
          </w:p>
        </w:tc>
        <w:tc>
          <w:tcPr>
            <w:tcW w:type="dxa" w:w="2492"/>
          </w:tcPr>
          <w:p>
            <w:pPr>
              <w:pStyle w:val="null3"/>
            </w:pPr>
            <w:r>
              <w:rPr>
                <w:rFonts w:ascii="仿宋_GB2312" w:hAnsi="仿宋_GB2312" w:cs="仿宋_GB2312" w:eastAsia="仿宋_GB2312"/>
              </w:rPr>
              <w:t>根据项目执行方案的①数字化国际教育平台、②“中文+职业”产教融合中心建设、③“中文+职业技能”数字教学资源建设、④“中文+职业”教学服务支持、⑤国际会议及国际活动推荐等方案措施的响应程度。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管理制度及组织结构</w:t>
            </w:r>
          </w:p>
        </w:tc>
        <w:tc>
          <w:tcPr>
            <w:tcW w:type="dxa" w:w="2492"/>
          </w:tcPr>
          <w:p>
            <w:pPr>
              <w:pStyle w:val="null3"/>
            </w:pPr>
            <w:r>
              <w:rPr>
                <w:rFonts w:ascii="仿宋_GB2312" w:hAnsi="仿宋_GB2312" w:cs="仿宋_GB2312" w:eastAsia="仿宋_GB2312"/>
              </w:rPr>
              <w:t>根据管理制度的①组织结构设置、②职责及分工、③管理制度、④工作规范等方案措施的响应程度。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应急保障及合理化建议</w:t>
            </w:r>
          </w:p>
        </w:tc>
        <w:tc>
          <w:tcPr>
            <w:tcW w:type="dxa" w:w="2492"/>
          </w:tcPr>
          <w:p>
            <w:pPr>
              <w:pStyle w:val="null3"/>
            </w:pPr>
            <w:r>
              <w:rPr>
                <w:rFonts w:ascii="仿宋_GB2312" w:hAnsi="仿宋_GB2312" w:cs="仿宋_GB2312" w:eastAsia="仿宋_GB2312"/>
              </w:rPr>
              <w:t>根据对服务过程中①突发、应急情况处理、②有利于采购人的合理化建议等方案措施的响应程度。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根据服务质量的①隐患排查及处理、②质量保证措施、③交付及验收等方案措施的响应程度。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根据对后续服务的①后期服务方案(响应方式、时间、人员到位等)和②后期服务质量保证等方案措施的响应程度。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供应商针对本项目实施有专门的项目负责人，项目负责人具有本科及以上学历、具有5年(含)以上相关项目管理经验、熟悉“中文+职业”教育领域，以上条件全满足的得3分，不满足不得分。 说明：需提供不限于学历证、从业证明、专业证书、职称证等任意形式的证明材料。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实施有专业的服务团队，团队成员不少于4人，且团队人员中至少包含①1名计算机相关专业人员或5年以上平台运维经验、②2名中文教学或职业教育相关专业学士及以上学历人员，两项条件全满足的得4分；缺少一项扣2分；两项均不满足的不得分。 说明：团队成员不含项目负责人，每人只计一个专业、需提供相关人员的不限于从业证明、专业证书、职称证等任意形式证明材料。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供应商针对本项目实施有专业设施设备包含且满足采购需求中①“平台运维设备”、②“教学资源制作设备”要求，两项条件全满足的得4分；缺少一项扣2分，两项均不满足的不得分。 说明：需提供相关设施(含软件)设备的不限于产权证明、租赁合同、划拨证明、发票、带标识(说明)的照片等任意形式证明材料。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供应商具有2023年1月1日起至今的类似(“中文+职业”数字化教育平台运维或“中文+职业技能”教学资源建设或中文培训服务)业绩，业绩以合同扫描(复印)件为依据；每提供1个业绩得2分，最多得10分。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10。 （最低报价不是中标(成交)的唯一依据）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