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98652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50" w:lineRule="atLeast"/>
        <w:ind w:left="0" w:right="0" w:firstLine="0"/>
        <w:jc w:val="center"/>
        <w:rPr>
          <w:rFonts w:hint="eastAsia" w:ascii="宋体" w:hAnsi="宋体" w:eastAsia="宋体" w:cs="宋体"/>
          <w:b/>
          <w:bCs/>
          <w:i w:val="0"/>
          <w:iCs w:val="0"/>
          <w:caps w:val="0"/>
          <w:color w:val="333333"/>
          <w:spacing w:val="0"/>
          <w:sz w:val="39"/>
          <w:szCs w:val="39"/>
        </w:rPr>
      </w:pPr>
      <w:bookmarkStart w:id="0" w:name="_GoBack"/>
      <w:r>
        <w:rPr>
          <w:rFonts w:hint="eastAsia" w:ascii="宋体" w:hAnsi="宋体" w:eastAsia="宋体" w:cs="宋体"/>
          <w:b/>
          <w:bCs/>
          <w:i w:val="0"/>
          <w:iCs w:val="0"/>
          <w:caps w:val="0"/>
          <w:color w:val="333333"/>
          <w:spacing w:val="0"/>
          <w:sz w:val="39"/>
          <w:szCs w:val="39"/>
          <w:bdr w:val="none" w:color="auto" w:sz="0" w:space="0"/>
          <w:shd w:val="clear" w:fill="FFFFFF"/>
        </w:rPr>
        <w:t>谈判项目技术、服务、商务及其他要求</w:t>
      </w:r>
    </w:p>
    <w:bookmarkEnd w:id="0"/>
    <w:p w14:paraId="67AFF444">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420"/>
        <w:rPr>
          <w:rFonts w:hint="eastAsia" w:ascii="宋体" w:hAnsi="宋体" w:eastAsia="宋体" w:cs="宋体"/>
          <w:i w:val="0"/>
          <w:iCs w:val="0"/>
          <w:caps w:val="0"/>
          <w:color w:val="333333"/>
          <w:spacing w:val="0"/>
          <w:sz w:val="18"/>
          <w:szCs w:val="18"/>
        </w:rPr>
      </w:pPr>
      <w:r>
        <w:rPr>
          <w:rFonts w:hint="eastAsia" w:ascii="宋体" w:hAnsi="宋体" w:eastAsia="宋体" w:cs="宋体"/>
          <w:i w:val="0"/>
          <w:iCs w:val="0"/>
          <w:caps w:val="0"/>
          <w:color w:val="333333"/>
          <w:spacing w:val="0"/>
          <w:sz w:val="18"/>
          <w:szCs w:val="18"/>
          <w:bdr w:val="none" w:color="auto" w:sz="0" w:space="0"/>
          <w:shd w:val="clear" w:fill="FFFFFF"/>
        </w:rPr>
        <w:t>（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14:paraId="46B2BD9D">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3.1采购项目概况</w:t>
      </w:r>
    </w:p>
    <w:p w14:paraId="648536B8">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含学生终端、教师终端、电子教室管理软件、机房还原系统、机柜、交换机、稳压器、教师桌椅、双人学生桌凳等教学设施设备一批及配套室内改造，用于教学品质改善与能力提升，要求所有货物(产品)质量标准符合国家、省、市(行业)强制性标准及采购人要求的合格标准、安装调试到位、验收合格达到交钥匙条件。</w:t>
      </w:r>
    </w:p>
    <w:p w14:paraId="44BDD2FF">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3.2采购内容</w:t>
      </w:r>
    </w:p>
    <w:p w14:paraId="66E69EB2">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73C106AD">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采购包预算金额（元）: 350,000.00</w:t>
      </w:r>
    </w:p>
    <w:p w14:paraId="3301FD22">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采购包最高限价（元）: 350,000.00</w:t>
      </w:r>
    </w:p>
    <w:p w14:paraId="1CF0C9EE">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供应商报价不允许超过标的金额</w:t>
      </w:r>
    </w:p>
    <w:p w14:paraId="1E50113A">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（招单价的）供应商报价不允许超过标的单价</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74"/>
        <w:gridCol w:w="3061"/>
        <w:gridCol w:w="481"/>
        <w:gridCol w:w="963"/>
        <w:gridCol w:w="481"/>
        <w:gridCol w:w="481"/>
        <w:gridCol w:w="481"/>
        <w:gridCol w:w="481"/>
        <w:gridCol w:w="481"/>
        <w:gridCol w:w="481"/>
        <w:gridCol w:w="481"/>
      </w:tblGrid>
      <w:tr w14:paraId="21375AA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75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7AA625F9">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序号</w:t>
            </w:r>
          </w:p>
        </w:tc>
        <w:tc>
          <w:tcPr>
            <w:tcW w:w="1500" w:type="dxa"/>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67D552C">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标的名称</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286F1D2">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数量</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6D9E495">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标的金额 （元）</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C738C2B">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计量单位</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3BE476E">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所属行业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DD62004">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是否核心产品</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6F8737D">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是否允许进口产品</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1F604A1">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是否属于节能产品</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19BA6D6">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是否属于环境标志产品</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E0141F8">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是否实施本国产品政策</w:t>
            </w:r>
          </w:p>
        </w:tc>
      </w:tr>
      <w:tr w14:paraId="7314011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6CCF3B2">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E6C225B">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计算机教室设施设备及配套室内改造</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66AD06D">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1.00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238440E">
            <w:pPr>
              <w:keepNext w:val="0"/>
              <w:keepLines w:val="0"/>
              <w:widowControl/>
              <w:suppressLineNumbers w:val="0"/>
              <w:wordWrap w:val="0"/>
              <w:spacing w:before="0" w:beforeAutospacing="0" w:after="0" w:afterAutospacing="0" w:line="480" w:lineRule="atLeast"/>
              <w:ind w:left="0" w:right="0"/>
              <w:jc w:val="righ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350,000.00</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9AB07A9">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批</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69BA768">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工业</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3CDCF1FF">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497FE07">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42F78A77">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5337A33">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否</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56CCB905">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是</w:t>
            </w:r>
          </w:p>
        </w:tc>
      </w:tr>
    </w:tbl>
    <w:p w14:paraId="69E87A33">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3.3技术要求</w:t>
      </w:r>
    </w:p>
    <w:p w14:paraId="74CB1E0B">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5AB97BEF">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标的名称：计算机教室设施设备及配套室内改造</w:t>
      </w:r>
    </w:p>
    <w:tbl>
      <w:tblPr>
        <w:tblW w:w="5000"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220"/>
        <w:gridCol w:w="1221"/>
        <w:gridCol w:w="6105"/>
      </w:tblGrid>
      <w:tr w14:paraId="5C86995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245674E9">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序号</w:t>
            </w:r>
          </w:p>
        </w:tc>
        <w:tc>
          <w:tcPr>
            <w:tcW w:w="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34E1DEB">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参数性质</w:t>
            </w:r>
          </w:p>
        </w:tc>
        <w:tc>
          <w:tcPr>
            <w:tcW w:w="2500" w:type="pct"/>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65592C18">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b/>
                <w:bCs/>
              </w:rPr>
            </w:pPr>
            <w:r>
              <w:rPr>
                <w:rFonts w:hint="eastAsia" w:ascii="宋体" w:hAnsi="宋体" w:eastAsia="宋体" w:cs="宋体"/>
                <w:b/>
                <w:bCs/>
                <w:kern w:val="0"/>
                <w:sz w:val="24"/>
                <w:szCs w:val="24"/>
                <w:bdr w:val="none" w:color="auto" w:sz="0" w:space="0"/>
                <w:lang w:val="en-US" w:eastAsia="zh-CN" w:bidi="ar"/>
              </w:rPr>
              <w:t>技术参数与性能指标</w:t>
            </w:r>
          </w:p>
        </w:tc>
      </w:tr>
      <w:tr w14:paraId="4E36BC2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46C295F">
            <w:pPr>
              <w:keepNext w:val="0"/>
              <w:keepLines w:val="0"/>
              <w:widowControl/>
              <w:suppressLineNumbers w:val="0"/>
              <w:wordWrap w:val="0"/>
              <w:spacing w:before="0" w:beforeAutospacing="0" w:after="0" w:afterAutospacing="0" w:line="480" w:lineRule="atLeast"/>
              <w:ind w:left="0" w:right="0"/>
              <w:jc w:val="left"/>
              <w:rPr>
                <w:rFonts w:hint="eastAsia" w:ascii="宋体" w:hAnsi="宋体" w:eastAsia="宋体" w:cs="宋体"/>
              </w:rPr>
            </w:pPr>
            <w:r>
              <w:rPr>
                <w:rFonts w:hint="eastAsia" w:ascii="宋体" w:hAnsi="宋体" w:eastAsia="宋体" w:cs="宋体"/>
                <w:kern w:val="0"/>
                <w:sz w:val="24"/>
                <w:szCs w:val="24"/>
                <w:bdr w:val="none" w:color="auto" w:sz="0" w:space="0"/>
                <w:lang w:val="en-US" w:eastAsia="zh-CN" w:bidi="ar"/>
              </w:rPr>
              <w:t>1</w:t>
            </w: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0A3336AE">
            <w:pPr>
              <w:rPr>
                <w:rFonts w:hint="eastAsia" w:ascii="宋体" w:hAnsi="宋体" w:eastAsia="宋体" w:cs="宋体"/>
                <w:sz w:val="24"/>
                <w:szCs w:val="24"/>
              </w:rPr>
            </w:pPr>
          </w:p>
        </w:tc>
        <w:tc>
          <w:tcPr>
            <w:tcW w:w="0" w:type="auto"/>
            <w:tcBorders>
              <w:top w:val="single" w:color="000000" w:sz="6" w:space="0"/>
              <w:left w:val="single" w:color="000000" w:sz="6" w:space="0"/>
              <w:bottom w:val="single" w:color="000000" w:sz="6" w:space="0"/>
              <w:right w:val="single" w:color="000000" w:sz="6" w:space="0"/>
            </w:tcBorders>
            <w:shd w:val="clear"/>
            <w:tcMar>
              <w:left w:w="120" w:type="dxa"/>
              <w:right w:w="120" w:type="dxa"/>
            </w:tcMar>
            <w:vAlign w:val="center"/>
          </w:tcPr>
          <w:p w14:paraId="18069F78">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Style w:val="10"/>
                <w:rFonts w:ascii="仿宋" w:hAnsi="仿宋" w:eastAsia="仿宋" w:cs="仿宋"/>
                <w:color w:val="000000"/>
                <w:sz w:val="26"/>
                <w:szCs w:val="26"/>
                <w:bdr w:val="none" w:color="auto" w:sz="0" w:space="0"/>
              </w:rPr>
              <w:t>1.</w:t>
            </w:r>
            <w:r>
              <w:rPr>
                <w:rStyle w:val="10"/>
                <w:rFonts w:hint="eastAsia" w:ascii="仿宋" w:hAnsi="仿宋" w:eastAsia="仿宋" w:cs="仿宋"/>
                <w:color w:val="000000"/>
                <w:sz w:val="26"/>
                <w:szCs w:val="26"/>
                <w:bdr w:val="none" w:color="auto" w:sz="0" w:space="0"/>
              </w:rPr>
              <w:t>采购需求及要求</w:t>
            </w:r>
          </w:p>
          <w:p w14:paraId="520A590A">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105"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1.1采购需求清单：详见附件：计算机教室设备采购需求一览表。</w:t>
            </w:r>
          </w:p>
          <w:p w14:paraId="4036B0DD">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1.2质量标准：(1)所有货物(产品)、服务符合国家、省、市(行业)强制性标准及采购人要求的合格标准；</w:t>
            </w:r>
          </w:p>
          <w:p w14:paraId="13B88844">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(2)货物(产品)制造商、经销代理商应严格遵守《中华人民共和国产品质量法》，确保提供的产品符合质量标准，达到合格产品的要求。可能危及人体健康和人身、财产安全的工业产品，必须符合保障人体健康和人身、财产安全的国家标准、行业标准；未制定国家标准、行业标准的，必须符合保障人体健康和人身、财产安全的要求。</w:t>
            </w:r>
          </w:p>
          <w:p w14:paraId="14ECB208">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105"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(3)货物(产品)、服务执行的标准、规范：必须执行国家、行业强制性标准；没有国家、行业强制性标准的按①国家标准、规范→②行业标准、规范→③地方标准、规范→④团体标准、规范→⑤企业标准、规范类推顺序执行；凡涉及的相关规范，国家有最新标准的以最新标准为准，所有标准哪个标准高执行哪个标准。</w:t>
            </w:r>
          </w:p>
          <w:p w14:paraId="2CB464C5">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1.3产品“三包”要求：货物(产品)属于国家规定的“三包产品”，产品制造商、经销代理商应遵守“三包”的规定，在产品发生质量问题时，及时对所提供产品实行“包退、包换、保修”服务。</w:t>
            </w:r>
          </w:p>
          <w:p w14:paraId="6F932E84">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1.4安全要求：认真贯彻执行国家及省、市有关安全文明生产的法律法规规章和强制性标准、安全操作规程等，所有设备(产品)应符合国家相关安全标准，所有货物(产品)能够承受频繁使用和可能的不当操作，结构稳定，不易损坏，无锐利边角、无毒无害、不易造成意外伤害，与实际使用场地相匹配；建立健全安装现场安全文明生产保证体系，落实各项具体措施，切实履行安全文明生产责任和义务，保护职工身体健康和生命安全，以及社会公众安全，保持安装现场整齐有序。</w:t>
            </w:r>
          </w:p>
          <w:p w14:paraId="0F8092F7">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1.5为保证货物(软件和硬件)质量功能的严谨性，中标(成交)后采购人有权要求成交供应商对其所提供的设备(包含软件和硬件)的功能进行逐一演示，如有实际性能指标、功能等与响应内容不相符，一律按虚假应标处理，由成交供应商承担因此产生的一切后果和责任。</w:t>
            </w:r>
          </w:p>
          <w:p w14:paraId="1E859BB5">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1.6供应商应保证投标所提供的资料内容真实、完整、准确；如存在相关第三方书面声明、相关检测报告等任意资料虚假情形，监管部门有权根据调查情形认定其是否属于提供虚假材料谋取中标(成交)，如属于将虚假应标情形，按照相关处罚条例进行严肃处理，由成交供应商承担因此产生的一切后果和责任。</w:t>
            </w:r>
          </w:p>
          <w:p w14:paraId="4C2D2E78">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1.7售后服务要求：(1)成交供应商须指派专人负责与采购人联系售后服务事宜。售后服务条款(包括具体的服务内容、故障响应时间、响应方式、维修措施及时限、维护响应计划等方面)。</w:t>
            </w:r>
          </w:p>
          <w:p w14:paraId="079EF907">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(2)成交供应商负责货物(含软件)的现场安装、调试、测试和启动等。</w:t>
            </w:r>
          </w:p>
          <w:p w14:paraId="260429E4">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(3)成交供应商负责货物(含软件)的安装、启动、运行及维护等对使用人员进行免费培训：培训主要内容为货物(含软件)的基本结构、性能、主要部件的构造及原理，日常使用操作、维护保养与管理，常见故障的排除、紧急情况的处理等，如使用方未使用过同类型货物(含软件)，成交供应商还需就货物(含软件)的功能对使用方人员进行相应的技术培训，培训地点为货物(含软件)安装现场或由采购人安排。</w:t>
            </w:r>
          </w:p>
          <w:p w14:paraId="405AA457">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(4)质保期自采购人在质量验收单(终验)上签字之日起计算，质保费用计入总价。在最终验收后的质量保证期内，成交供应商应对货物(含软件)的设计、工艺或材料、功能等所有的缺陷而产生的故障负责。</w:t>
            </w:r>
          </w:p>
          <w:p w14:paraId="3152453E">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(5)成交供应商负责对其提供的货物(含软件)整体进行维修和系统维护，质保期内应无偿负责现场技术巡检、维修和替换等工作；若遇到采购人重大活动需无条件提供现场技术支持服务且不再收取任何费用，但不可抗力(如火灾、雷击等)造成的故障除外；超出质保期只收取维修所需原设备、材料成本费用；采购人使用产品过程中因产品质量、产品缺陷及安装质量等造成人身伤亡、财产损失的，由成交供应商负责解决并承担全部责任。</w:t>
            </w:r>
          </w:p>
          <w:p w14:paraId="44DF28E2">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(6)成交供应商负责对其所提供的设备、材料等备品配件供应，提供长期维修，并提供技术咨询等服务，所有维修记录交由采购人的现场技术人员一份，并详细说明问题所在、解决办法及注意事项。对于存在质量问题或者短少的产品，成交供应商应在接到采购人的通知2个日历日内负责修复，调换、重新制作或补齐。</w:t>
            </w:r>
          </w:p>
          <w:p w14:paraId="0FD4F213">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(7)所有货物(含软件)服务方式均为成交供应商上门服务，即由成交供应商派人到货物(含软件)使用现场维修，由此产生的一切费用均由成交供应商承担，对系统进行定期的检修、保养工作，并与用户进行沟通，定期开展技术交流活动，预防故障发生，保证系统的正常运行。</w:t>
            </w:r>
          </w:p>
          <w:p w14:paraId="4A9B77DC">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(8)在质保期内，对软件系统出现的质量问题，免费提供平台维护和技术保障、系统更新服务；4小时内对所提出的维护要求做出实质性反应，并提供应急响应策略。平台运行过程中如果出现技术故障(如硬件故障、软件故障、配置丢失等)，在此期间按紧急预案处置，确保软件系统最大限度地不中断运行。</w:t>
            </w:r>
          </w:p>
          <w:p w14:paraId="1138237B">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(9)质保期结束后的其他维修、维护等由双方协商再定。</w:t>
            </w:r>
          </w:p>
          <w:p w14:paraId="0FCDC297">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2.其他要求或说明</w:t>
            </w:r>
          </w:p>
          <w:p w14:paraId="3CA5BFC1">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left"/>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2.1供应商的报价是供应商响应采购项目要求的全部工作内容的价格体现，包括供应商完成本项目所需的直接费、间接费、利润、税金及其他相关的一切费用，包括但不限于：产品费、附件费、工具费、验收费、运输费、保险费、安装费、调试费、改造费、功能使用费、技术服务费(含售后)、招标代理费、税金、利润及不可预见费等全部费用；响应总报价中不得包含采购文件要求以外的内容，否则，在评审时不予核减。在提供项目实施过程中出现的任何遗漏，均由成交供应商免费提供，采购人将不再支付任何费用。</w:t>
            </w:r>
          </w:p>
          <w:p w14:paraId="2B25B8C6">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2.2人员配置要求：供应商根据采购项目特性及要求，自行配置履行合同所必需的专业服务团队，自行组织实施与管理，相关人员经过严格培训，有相关工作经验，能够胜任项目工作，保证项目顺利实施。</w:t>
            </w:r>
          </w:p>
          <w:p w14:paraId="2B3FC080">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2.3设施设备要求：供应商根据采购项目特性及要求，自行配置投入履行合同所必需的各类设施设备(不限于专业设备、辅助设备、工具、软件等)，保证项目顺利实施。</w:t>
            </w:r>
          </w:p>
          <w:p w14:paraId="0E78DFEE">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both"/>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2.4如所投产品(主要标的物)属于强制性产品认证目录范围内的16大类96种产品，响应文件中应附产品的3C认证证书或国家市场监督管理总局全国认证认可信息公共服务平台的查询截。证书或截图载明的产品信息必须包含所投产品(主要标的物)，信息不一致或未包含所投产品信息或认证过期的，按未提供强制性产品认证处理。</w:t>
            </w:r>
          </w:p>
          <w:p w14:paraId="6347036E">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260"/>
              <w:jc w:val="left"/>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2.5本项目主要采购标的所属行业为:</w:t>
            </w:r>
            <w:r>
              <w:rPr>
                <w:rFonts w:hint="eastAsia" w:ascii="仿宋" w:hAnsi="仿宋" w:eastAsia="仿宋" w:cs="仿宋"/>
                <w:color w:val="000000"/>
                <w:sz w:val="26"/>
                <w:szCs w:val="26"/>
                <w:u w:val="single"/>
                <w:bdr w:val="none" w:color="auto" w:sz="0" w:space="0"/>
              </w:rPr>
              <w:t> 工业 </w:t>
            </w:r>
            <w:r>
              <w:rPr>
                <w:rFonts w:hint="eastAsia" w:ascii="仿宋" w:hAnsi="仿宋" w:eastAsia="仿宋" w:cs="仿宋"/>
                <w:color w:val="000000"/>
                <w:sz w:val="26"/>
                <w:szCs w:val="26"/>
                <w:bdr w:val="none" w:color="auto" w:sz="0" w:space="0"/>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供应商填写中小企业声明时需根据所投产品(主要标的物)的制造(生产)商适应情况逐条进行填写声明。</w:t>
            </w:r>
          </w:p>
          <w:p w14:paraId="0510F59A">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left"/>
              <w:rPr>
                <w:rFonts w:hint="eastAsia" w:ascii="宋体" w:hAnsi="宋体" w:eastAsia="宋体" w:cs="宋体"/>
                <w:sz w:val="18"/>
                <w:szCs w:val="18"/>
              </w:rPr>
            </w:pPr>
            <w:r>
              <w:rPr>
                <w:rFonts w:hint="eastAsia" w:ascii="仿宋" w:hAnsi="仿宋" w:eastAsia="仿宋" w:cs="仿宋"/>
                <w:color w:val="000000"/>
                <w:sz w:val="26"/>
                <w:szCs w:val="26"/>
                <w:bdr w:val="none" w:color="auto" w:sz="0" w:space="0"/>
              </w:rPr>
              <w:t>2.6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供应商填写关于符合本国产品标准的声明函时应根据所投产品(主要标的物)的适应情况逐条进行填写声明。</w:t>
            </w:r>
          </w:p>
        </w:tc>
      </w:tr>
    </w:tbl>
    <w:p w14:paraId="4926B328">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360" w:lineRule="atLeast"/>
        <w:ind w:left="0" w:right="0" w:firstLine="0"/>
        <w:jc w:val="left"/>
        <w:rPr>
          <w:rFonts w:hint="eastAsia" w:ascii="宋体" w:hAnsi="宋体" w:eastAsia="宋体" w:cs="宋体"/>
          <w:b/>
          <w:bCs/>
          <w:i w:val="0"/>
          <w:iCs w:val="0"/>
          <w:caps w:val="0"/>
          <w:color w:val="333333"/>
          <w:spacing w:val="0"/>
          <w:sz w:val="27"/>
          <w:szCs w:val="27"/>
        </w:rPr>
      </w:pPr>
      <w:r>
        <w:rPr>
          <w:rFonts w:hint="eastAsia" w:ascii="宋体" w:hAnsi="宋体" w:eastAsia="宋体" w:cs="宋体"/>
          <w:b/>
          <w:bCs/>
          <w:i w:val="0"/>
          <w:iCs w:val="0"/>
          <w:caps w:val="0"/>
          <w:color w:val="333333"/>
          <w:spacing w:val="0"/>
          <w:sz w:val="27"/>
          <w:szCs w:val="27"/>
          <w:bdr w:val="none" w:color="auto" w:sz="0" w:space="0"/>
          <w:shd w:val="clear" w:fill="FFFFFF"/>
        </w:rPr>
        <w:t>3.4商务要求</w:t>
      </w:r>
    </w:p>
    <w:p w14:paraId="1EA109D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3.4.1交货时间</w:t>
      </w:r>
    </w:p>
    <w:p w14:paraId="316F4F0E">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6530A58C">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交货时间为自合同签订生效之日起30日内完成部室改造、供货、安装、调试、验收；合同履行期限为自合同签订之日起至质保期结束。</w:t>
      </w:r>
    </w:p>
    <w:p w14:paraId="3B0F6525">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3.4.2交货地点和方式</w:t>
      </w:r>
    </w:p>
    <w:p w14:paraId="76FD1A46">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01D7FE7E">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西安市航空六一八中学(具体按采购人指定地点)</w:t>
      </w:r>
    </w:p>
    <w:p w14:paraId="54AD47DD">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3.4.3支付方式</w:t>
      </w:r>
    </w:p>
    <w:p w14:paraId="71798A3D">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2636C763">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一次付清</w:t>
      </w:r>
    </w:p>
    <w:p w14:paraId="62481DF2">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3.4.4支付约定</w:t>
      </w:r>
    </w:p>
    <w:p w14:paraId="218396F8">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4C0576AA">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120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1、 其他， 所有货物交货完成，验收合格 (付款前成交供应商应出具等值发票交至采购人，采购人以银行转账方式支付；其他具体按拟签订采购合同相关条款执行)后，达到付款条件起10个工作日内，支付合同总金额的100.0%</w:t>
      </w:r>
    </w:p>
    <w:p w14:paraId="2D2EA1B7">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3.4.5验收标准和方法</w:t>
      </w:r>
    </w:p>
    <w:p w14:paraId="3BF87C50">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4E418491">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一)现行的国家标准或国家行政部门颁布的法律法规、规章制度等，是项目验收的重要依据。采购人根据有关规范、规定及项目要求对成交供应商所供货物（产品）或服务进行检查或验收，成交供应商须无条件的接受采购人检查或验收。 (二)成交供应商完成全部设备供货、安装调试工作后，向采购人提交书面履约验收申请及全套验收资料。采购人审核资料无误后，组织开展正式验收工作。核查供应商提交资料的完整性、真实性、有效性，资料不全不予开展现场验收。主要包含：履约验收申请书、采购(招标)文件、响应(投标)文件、成交(中标)通知书、采购合同、设备送货清单、产品合格证、出厂检测报告、设备使用说明书、原厂质保承诺书、安装调试记录、培训记录（如有)及采购文件要求的其他佐证材料。（1）对照设备清单，逐一核对所有设备名称、品牌、规格型号、数量、序列号，确保无缺漏、无替换、无短缺；设备外观完好，无破损、变形、划痕、锈蚀，包装及配件齐全；（2）对照采购文件及合同约定技术参数，重点核查星号实质性条款，对设备逐一进行通电测试、功能调试。所有设备运行稳定、功能齐全，各项技术指标达标，可正常满足日常使用需求，无功能缺陷、参数不达标等问题；（3）设备按规范完成安装、布局、调试，设备摆放规范、安装牢固，线路排布整齐、安全合规，整体运行状态良好，可直接投入使用。 (三)若验收不通过或质量不合格，成交供应商应在一定期限进行整改完善，以采购人要求的标准提供合格的货物（产品）或服务；若成交供应商在接受检查整改后，仍不能提供符合采购要求的合格货物（产品）或服务，采购人有权按违约予以撤项并要求承包人承担相应的法律责任和经济损失。 (四)有关验收的其他事宜按拟签订采购合同文本中相关条款执行。</w:t>
      </w:r>
    </w:p>
    <w:p w14:paraId="0D1CA2D6">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3.4.6包装方式及运输</w:t>
      </w:r>
    </w:p>
    <w:p w14:paraId="36D1B788">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053C9052">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涉及的商品包装和快递包装，均应符合《商品包装政府采购需求标准（试行）》《快递包装政府采购需求标准（试行）》的要求，包装应适应于远距离运输、防潮、防震、防锈和防野蛮装卸，以确保货物安全无损运抵指定地点。</w:t>
      </w:r>
    </w:p>
    <w:p w14:paraId="57D1D7C4">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3.4.7质量保修范围和保修期</w:t>
      </w:r>
    </w:p>
    <w:p w14:paraId="713BF698">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43BC2362">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(一)本项目整体质保期≥24个月，供应商承诺超过采购文件要求的，按其承诺的质保期进行质保，质保期起始时间为终验合格之日。 (二)成交供应商应保证在要求时间内完成全部供货、安装、调试、验收和培训工作(或其他伴随服务)等工作，并按其承诺的质量保修范围和内容(售后服务等)进行免费质保，且符合国家标准、行业规范和合同等相关文件的要求。</w:t>
      </w:r>
    </w:p>
    <w:p w14:paraId="4AC5C62B">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3.4.8违约责任及解决争议的方法</w:t>
      </w:r>
    </w:p>
    <w:p w14:paraId="5368A1FF">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214ED2F5">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按拟签订采购合同文本中相关条款执行</w:t>
      </w:r>
    </w:p>
    <w:p w14:paraId="676DFABA">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jc w:val="left"/>
        <w:rPr>
          <w:rFonts w:hint="eastAsia" w:ascii="宋体" w:hAnsi="宋体" w:eastAsia="宋体" w:cs="宋体"/>
          <w:b/>
          <w:bCs/>
          <w:i w:val="0"/>
          <w:iCs w:val="0"/>
          <w:caps w:val="0"/>
          <w:color w:val="333333"/>
          <w:spacing w:val="0"/>
          <w:sz w:val="24"/>
          <w:szCs w:val="24"/>
        </w:rPr>
      </w:pPr>
      <w:r>
        <w:rPr>
          <w:rFonts w:hint="eastAsia" w:ascii="宋体" w:hAnsi="宋体" w:eastAsia="宋体" w:cs="宋体"/>
          <w:b/>
          <w:bCs/>
          <w:i w:val="0"/>
          <w:iCs w:val="0"/>
          <w:caps w:val="0"/>
          <w:color w:val="333333"/>
          <w:spacing w:val="0"/>
          <w:sz w:val="24"/>
          <w:szCs w:val="24"/>
          <w:bdr w:val="none" w:color="auto" w:sz="0" w:space="0"/>
          <w:shd w:val="clear" w:fill="FFFFFF"/>
        </w:rPr>
        <w:t>3.5其他要求</w:t>
      </w:r>
    </w:p>
    <w:p w14:paraId="1C5EE64E">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采购包1：</w:t>
      </w:r>
    </w:p>
    <w:p w14:paraId="2B5167E3">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80" w:lineRule="atLeast"/>
        <w:ind w:left="0" w:right="0" w:firstLine="420"/>
        <w:rPr>
          <w:rFonts w:hint="eastAsia" w:ascii="宋体" w:hAnsi="宋体" w:eastAsia="宋体" w:cs="宋体"/>
          <w:sz w:val="18"/>
          <w:szCs w:val="18"/>
        </w:rPr>
      </w:pPr>
      <w:r>
        <w:rPr>
          <w:rFonts w:hint="eastAsia" w:ascii="宋体" w:hAnsi="宋体" w:eastAsia="宋体" w:cs="宋体"/>
          <w:i w:val="0"/>
          <w:iCs w:val="0"/>
          <w:caps w:val="0"/>
          <w:color w:val="0A82E5"/>
          <w:spacing w:val="0"/>
          <w:sz w:val="18"/>
          <w:szCs w:val="18"/>
          <w:bdr w:val="none" w:color="auto" w:sz="0" w:space="0"/>
          <w:shd w:val="clear" w:fill="FFFFFF"/>
        </w:rPr>
        <w:t>(一)谈判有效期 1.出现特殊情况需要延长谈判有效期的，采购代理机构或采购人可于谈判有效期满之前，以书面形式通知所有供应商延长谈判有效期。供应商应予书面答复，同意延长的，但不得要求或被允许修改其响应文件；供应商拒绝延长的，其响应文件失效。 2.在谈判有效期内，供应商撤销响应文件的，应承担响应文件和法律规定的责任。 3.成交供应商的谈判有效期自动延长至合同终止为止。 (二)分公司独立参与谈判时，不能使用总公司的资质或业绩；总公司授权分公司或分支机构参与谈判，可以使用总公司的资质或业绩。总公司单独参与谈判时，可以使用分公司的业绩，在相关资质证书的管理要求和适用范围内可以使用分公司资质。 (三)供应商的电子响应文件中的所有文字资料、图纸、数据、方案、证书、检测报告等响应内容应清晰可辨，表达意思统一，便于查找，供应商自行承担资料模糊不清、无法辨认的不利后果。 (四)文件中签名是指：手写签名或加盖签名章（含电子章、印章、签名章），盖章是指加盖单位章（含电子章）。 (五)恶意质疑、投诉的法律后果 1.对捏造事实、提供虚假材料进行质疑、投诉的行为将予以严肃处理： 《政府采购质疑和投诉办法》（财政部令第94号）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 2.对捏造事实诬告陷害他人、诽谤他人的法律适用： （1）《中华人民共和国刑法》第243条【诬告陷害罪】捏造事实诬告陷害他人，意图使他人受到刑事追究，情节严重的，处三年以下有期徒刑、拘役或者管制；造成严重后果的，处三年以上十年以下有期徒刑。 （2）《中华人民共和国刑法》第246条【侮辱罪、诽谤罪】以暴力或者其他方法公然侮辱他人或者捏造事实诽谤他人，情节严重的，处三年以下有期徒刑、拘役、管制或者剥夺政治权利。 (六)参与本项目的供应商应通过陕西省政府采购综合管理平台的项目电子化交易系统在线实施报名、获取采购文件、响应、报价等操作，供应商无需现场提供纸质响应文件。但在中标（成交）后，中标（成交）供应商在领取中标（成交）通知书时需提供纸质响应文件两套用于备案，纸质响应文件应通过专用制作软件直接打印(自定单双面、黑白/彩色)，确保与项目电子化交易系统中的电子响应文件保持一致，不允许修改和补充。中标（成交）通知书领取地址：西安市雁塔区雁翔路111号赛格·中京坊6幢1（公寓A1）单元2层招标一部。</w:t>
      </w:r>
    </w:p>
    <w:p w14:paraId="21211E08">
      <w:r>
        <w:br w:type="page"/>
      </w:r>
    </w:p>
    <w:p w14:paraId="2BDB11C0">
      <w:pPr>
        <w:pStyle w:val="5"/>
        <w:adjustRightInd w:val="0"/>
        <w:snapToGrid w:val="0"/>
        <w:spacing w:line="360" w:lineRule="auto"/>
        <w:jc w:val="left"/>
        <w:rPr>
          <w:rFonts w:hint="eastAsia" w:ascii="宋体" w:hAnsi="宋体" w:cs="宋体"/>
          <w:b/>
          <w:bCs/>
          <w:color w:val="000000" w:themeColor="text1"/>
          <w:sz w:val="28"/>
          <w:szCs w:val="28"/>
          <w:highlight w:val="none"/>
          <w:lang w:eastAsia="zh-CN"/>
          <w14:textFill>
            <w14:solidFill>
              <w14:schemeClr w14:val="tx1"/>
            </w14:solidFill>
          </w14:textFill>
        </w:rPr>
      </w:pPr>
      <w:r>
        <w:rPr>
          <w:rFonts w:hint="eastAsia" w:ascii="宋体" w:hAnsi="宋体" w:cs="宋体"/>
          <w:b/>
          <w:bCs/>
          <w:color w:val="000000" w:themeColor="text1"/>
          <w:sz w:val="28"/>
          <w:szCs w:val="28"/>
          <w:highlight w:val="none"/>
          <w:lang w:val="en-US" w:eastAsia="zh-CN"/>
          <w14:textFill>
            <w14:solidFill>
              <w14:schemeClr w14:val="tx1"/>
            </w14:solidFill>
          </w14:textFill>
        </w:rPr>
        <w:t>附件：</w:t>
      </w:r>
    </w:p>
    <w:p w14:paraId="08CD763A">
      <w:pPr>
        <w:spacing w:line="300" w:lineRule="auto"/>
        <w:jc w:val="center"/>
        <w:rPr>
          <w:rFonts w:hint="eastAsia" w:ascii="仿宋" w:hAnsi="仿宋" w:eastAsia="仿宋" w:cs="仿宋"/>
          <w:b/>
          <w:bCs w:val="0"/>
          <w:color w:val="000000" w:themeColor="text1"/>
          <w:sz w:val="26"/>
          <w:szCs w:val="26"/>
          <w:highlight w:val="none"/>
          <w14:textFill>
            <w14:solidFill>
              <w14:schemeClr w14:val="tx1"/>
            </w14:solidFill>
          </w14:textFill>
        </w:rPr>
      </w:pPr>
      <w:r>
        <w:rPr>
          <w:rFonts w:hint="eastAsia" w:ascii="仿宋" w:hAnsi="仿宋" w:eastAsia="仿宋" w:cs="仿宋"/>
          <w:b/>
          <w:bCs w:val="0"/>
          <w:color w:val="000000" w:themeColor="text1"/>
          <w:sz w:val="26"/>
          <w:szCs w:val="26"/>
          <w:highlight w:val="none"/>
          <w:lang w:eastAsia="zh-CN"/>
          <w14:textFill>
            <w14:solidFill>
              <w14:schemeClr w14:val="tx1"/>
            </w14:solidFill>
          </w14:textFill>
        </w:rPr>
        <w:t>计算机教室设备采购项目</w:t>
      </w:r>
      <w:r>
        <w:rPr>
          <w:rFonts w:hint="eastAsia" w:ascii="仿宋" w:hAnsi="仿宋" w:eastAsia="仿宋" w:cs="仿宋"/>
          <w:b/>
          <w:bCs w:val="0"/>
          <w:color w:val="000000" w:themeColor="text1"/>
          <w:sz w:val="26"/>
          <w:szCs w:val="26"/>
          <w:highlight w:val="none"/>
          <w14:textFill>
            <w14:solidFill>
              <w14:schemeClr w14:val="tx1"/>
            </w14:solidFill>
          </w14:textFill>
        </w:rPr>
        <w:t>采购需求一览表</w:t>
      </w:r>
    </w:p>
    <w:tbl>
      <w:tblPr>
        <w:tblStyle w:val="8"/>
        <w:tblW w:w="98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9"/>
        <w:gridCol w:w="1426"/>
        <w:gridCol w:w="6122"/>
        <w:gridCol w:w="786"/>
        <w:gridCol w:w="751"/>
      </w:tblGrid>
      <w:tr w14:paraId="6C830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809" w:type="dxa"/>
            <w:noWrap w:val="0"/>
            <w:vAlign w:val="center"/>
          </w:tcPr>
          <w:p w14:paraId="6CA8834B">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pPr>
          </w:p>
        </w:tc>
        <w:tc>
          <w:tcPr>
            <w:tcW w:w="8334" w:type="dxa"/>
            <w:gridSpan w:val="3"/>
            <w:noWrap w:val="0"/>
            <w:vAlign w:val="center"/>
          </w:tcPr>
          <w:p w14:paraId="14348EB2">
            <w:pPr>
              <w:keepNext w:val="0"/>
              <w:keepLines w:val="0"/>
              <w:pageBreakBefore w:val="0"/>
              <w:widowControl w:val="0"/>
              <w:kinsoku/>
              <w:wordWrap/>
              <w:overflowPunct/>
              <w:topLinePunct w:val="0"/>
              <w:autoSpaceDE/>
              <w:autoSpaceDN/>
              <w:bidi w:val="0"/>
              <w:adjustRightInd/>
              <w:snapToGrid/>
              <w:jc w:val="both"/>
              <w:textAlignment w:val="auto"/>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t>主要标的：</w:t>
            </w:r>
          </w:p>
        </w:tc>
        <w:tc>
          <w:tcPr>
            <w:tcW w:w="751" w:type="dxa"/>
            <w:noWrap w:val="0"/>
            <w:vAlign w:val="center"/>
          </w:tcPr>
          <w:p w14:paraId="51AF2198">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pPr>
          </w:p>
        </w:tc>
      </w:tr>
      <w:tr w14:paraId="14E64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809" w:type="dxa"/>
            <w:noWrap w:val="0"/>
            <w:vAlign w:val="center"/>
          </w:tcPr>
          <w:p w14:paraId="1F2757AF">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t>序号</w:t>
            </w:r>
          </w:p>
        </w:tc>
        <w:tc>
          <w:tcPr>
            <w:tcW w:w="1426" w:type="dxa"/>
            <w:noWrap w:val="0"/>
            <w:vAlign w:val="center"/>
          </w:tcPr>
          <w:p w14:paraId="767AC5B9">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t>标的名称</w:t>
            </w:r>
          </w:p>
        </w:tc>
        <w:tc>
          <w:tcPr>
            <w:tcW w:w="6122" w:type="dxa"/>
            <w:noWrap w:val="0"/>
            <w:vAlign w:val="center"/>
          </w:tcPr>
          <w:p w14:paraId="12A6020F">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t>参数指标要求</w:t>
            </w:r>
          </w:p>
        </w:tc>
        <w:tc>
          <w:tcPr>
            <w:tcW w:w="786" w:type="dxa"/>
            <w:noWrap w:val="0"/>
            <w:vAlign w:val="center"/>
          </w:tcPr>
          <w:p w14:paraId="22364F88">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t>数量</w:t>
            </w:r>
          </w:p>
        </w:tc>
        <w:tc>
          <w:tcPr>
            <w:tcW w:w="751" w:type="dxa"/>
            <w:noWrap w:val="0"/>
            <w:vAlign w:val="center"/>
          </w:tcPr>
          <w:p w14:paraId="7E560C6C">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t>单位</w:t>
            </w:r>
          </w:p>
        </w:tc>
      </w:tr>
      <w:tr w14:paraId="218167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7" w:hRule="atLeast"/>
          <w:jc w:val="center"/>
        </w:trPr>
        <w:tc>
          <w:tcPr>
            <w:tcW w:w="809" w:type="dxa"/>
            <w:noWrap w:val="0"/>
            <w:vAlign w:val="center"/>
          </w:tcPr>
          <w:p w14:paraId="5931AF04">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t>1</w:t>
            </w:r>
          </w:p>
        </w:tc>
        <w:tc>
          <w:tcPr>
            <w:tcW w:w="1426" w:type="dxa"/>
            <w:noWrap w:val="0"/>
            <w:vAlign w:val="center"/>
          </w:tcPr>
          <w:p w14:paraId="7832AF43">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学生终端</w:t>
            </w:r>
          </w:p>
        </w:tc>
        <w:tc>
          <w:tcPr>
            <w:tcW w:w="6122" w:type="dxa"/>
            <w:noWrap w:val="0"/>
            <w:vAlign w:val="center"/>
          </w:tcPr>
          <w:p w14:paraId="33EE9986">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t>1.CPU:国产X86架构，主频≥2.7Ghz,≥8核8线程。</w:t>
            </w:r>
          </w:p>
          <w:p w14:paraId="51191BAE">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t>2.内存：≥8GB DDR4，最大支持32GB。</w:t>
            </w:r>
          </w:p>
          <w:p w14:paraId="1607C77B">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t>3.硬盘：≥512G固态硬盘。</w:t>
            </w:r>
          </w:p>
          <w:p w14:paraId="00EECFB2">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t>4.接口:正面：≥耳机*1个，≥麦克风*1个，≥USB3.0*2个；背面：≥耳机输出*1个，≥耳机输入*1个，≥麦克风*1个，≥RJ-45千兆网口*1个，≥USB3.0*2个，≥USB2.0*2个。</w:t>
            </w:r>
          </w:p>
          <w:p w14:paraId="17BB4C68">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t>5.显示接口：≥HDMI*1个，≥VGA*1个。</w:t>
            </w:r>
          </w:p>
          <w:p w14:paraId="6B7A5E05">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t>6.显示器：≥23.</w:t>
            </w:r>
            <w:r>
              <w:rPr>
                <w:rFonts w:hint="eastAsia" w:ascii="仿宋" w:hAnsi="仿宋" w:eastAsia="仿宋" w:cs="仿宋"/>
                <w:color w:val="000000" w:themeColor="text1"/>
                <w:sz w:val="24"/>
                <w:szCs w:val="24"/>
                <w:highlight w:val="none"/>
                <w:lang w:val="en-US" w:eastAsia="zh-CN"/>
                <w14:textFill>
                  <w14:solidFill>
                    <w14:schemeClr w14:val="tx1"/>
                  </w14:solidFill>
                </w14:textFill>
              </w:rPr>
              <w:t>8英</w:t>
            </w:r>
            <w: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t>寸，支持VGA、HDMI接口，分辨率≥1920x1080,支持低蓝光无频闪，刷新率≥60Hz，显示屏响应时间≤15ms。</w:t>
            </w:r>
          </w:p>
          <w:p w14:paraId="1E1D8914">
            <w:pPr>
              <w:keepNext w:val="0"/>
              <w:keepLines w:val="0"/>
              <w:pageBreakBefore w:val="0"/>
              <w:kinsoku/>
              <w:wordWrap/>
              <w:overflowPunct/>
              <w:topLinePunct w:val="0"/>
              <w:autoSpaceDE/>
              <w:autoSpaceDN/>
              <w:bidi w:val="0"/>
              <w:adjustRightInd/>
              <w:snapToGrid/>
              <w:spacing w:line="216" w:lineRule="auto"/>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t>7.操作系统:预装国产正版操作系统(银河麒麟、统信、中科方德等通过安全测评操作系统均可）。</w:t>
            </w:r>
          </w:p>
        </w:tc>
        <w:tc>
          <w:tcPr>
            <w:tcW w:w="786" w:type="dxa"/>
            <w:noWrap w:val="0"/>
            <w:vAlign w:val="center"/>
          </w:tcPr>
          <w:p w14:paraId="6897DDA9">
            <w:pPr>
              <w:keepNext w:val="0"/>
              <w:keepLines w:val="0"/>
              <w:widowControl/>
              <w:suppressLineNumbers w:val="0"/>
              <w:jc w:val="center"/>
              <w:textAlignment w:val="center"/>
              <w:rPr>
                <w:rFonts w:hint="eastAsia" w:ascii="仿宋" w:hAnsi="仿宋" w:eastAsia="仿宋" w:cs="仿宋"/>
                <w:b/>
                <w:bCs/>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50</w:t>
            </w:r>
          </w:p>
        </w:tc>
        <w:tc>
          <w:tcPr>
            <w:tcW w:w="751" w:type="dxa"/>
            <w:noWrap w:val="0"/>
            <w:vAlign w:val="center"/>
          </w:tcPr>
          <w:p w14:paraId="487AE442">
            <w:pPr>
              <w:keepNext w:val="0"/>
              <w:keepLines w:val="0"/>
              <w:widowControl/>
              <w:suppressLineNumbers w:val="0"/>
              <w:jc w:val="center"/>
              <w:textAlignment w:val="center"/>
              <w:rPr>
                <w:rFonts w:hint="eastAsia" w:ascii="仿宋" w:hAnsi="仿宋" w:eastAsia="仿宋" w:cs="仿宋"/>
                <w:b/>
                <w:bCs/>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套</w:t>
            </w:r>
          </w:p>
        </w:tc>
      </w:tr>
      <w:tr w14:paraId="5FE9C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7" w:hRule="atLeast"/>
          <w:jc w:val="center"/>
        </w:trPr>
        <w:tc>
          <w:tcPr>
            <w:tcW w:w="809" w:type="dxa"/>
            <w:noWrap w:val="0"/>
            <w:vAlign w:val="center"/>
          </w:tcPr>
          <w:p w14:paraId="612D27E7">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t>2</w:t>
            </w:r>
          </w:p>
        </w:tc>
        <w:tc>
          <w:tcPr>
            <w:tcW w:w="1426" w:type="dxa"/>
            <w:noWrap w:val="0"/>
            <w:vAlign w:val="center"/>
          </w:tcPr>
          <w:p w14:paraId="6D6435FC">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教师终端</w:t>
            </w:r>
          </w:p>
        </w:tc>
        <w:tc>
          <w:tcPr>
            <w:tcW w:w="6122" w:type="dxa"/>
            <w:noWrap w:val="0"/>
            <w:vAlign w:val="center"/>
          </w:tcPr>
          <w:p w14:paraId="1328BDD5">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t>1.CPU:国产X86架构，主频≥2.7Ghz,≥于8核8线程。</w:t>
            </w:r>
          </w:p>
          <w:p w14:paraId="4B75EAD9">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t>2.内存:≥16GB DDR4，支持双通道，最大支持32G。</w:t>
            </w:r>
          </w:p>
          <w:p w14:paraId="00EC1505">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t>3.硬盘：≥SSD 512G M.2固态。</w:t>
            </w:r>
          </w:p>
          <w:p w14:paraId="7A2D9CA9">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t>4.网络接口:集成100/1000M千兆以太网端口*1个(RJ45)。</w:t>
            </w:r>
          </w:p>
          <w:p w14:paraId="03C67AC7">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t>5.USB端口:侧端接口：≥USB3.0*2个、≥USB2.0*2个、≥Type-C*1个、≥3.5mm音频口输入*1个；背端接口：≥USB2.0*2个、≥Type-C*1个、≥VGA*1个、≥HDMI*1个。</w:t>
            </w:r>
          </w:p>
          <w:p w14:paraId="047BF582">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t>★6.显示屏:≥27.0英寸，分辨率≥2K(2560*1440)。</w:t>
            </w:r>
          </w:p>
          <w:p w14:paraId="66021BED">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t>7.操作系统:预装国产正版操作系统(银河麒麟、统信、中科方德等通过安全测评操作系统均可）。</w:t>
            </w:r>
          </w:p>
          <w:p w14:paraId="5B25DF47">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t>★8.机型类型：一体机机型，不接受分体式(显示器+miniPC、云桌面+瘦终端等)方案。</w:t>
            </w:r>
          </w:p>
          <w:p w14:paraId="14597B40">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t>★10.为了软、硬件产品兼容性，学生终端、教师终端、机房还原系统须为同一品牌。</w:t>
            </w:r>
          </w:p>
        </w:tc>
        <w:tc>
          <w:tcPr>
            <w:tcW w:w="786" w:type="dxa"/>
            <w:noWrap w:val="0"/>
            <w:vAlign w:val="center"/>
          </w:tcPr>
          <w:p w14:paraId="64EC86B9">
            <w:pPr>
              <w:keepNext w:val="0"/>
              <w:keepLines w:val="0"/>
              <w:widowControl/>
              <w:suppressLineNumbers w:val="0"/>
              <w:jc w:val="center"/>
              <w:textAlignment w:val="center"/>
              <w:rPr>
                <w:rFonts w:hint="eastAsia" w:ascii="仿宋" w:hAnsi="仿宋" w:eastAsia="仿宋" w:cs="仿宋"/>
                <w:b/>
                <w:bCs/>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w:t>
            </w:r>
          </w:p>
        </w:tc>
        <w:tc>
          <w:tcPr>
            <w:tcW w:w="751" w:type="dxa"/>
            <w:noWrap w:val="0"/>
            <w:vAlign w:val="center"/>
          </w:tcPr>
          <w:p w14:paraId="39D6DD19">
            <w:pPr>
              <w:keepNext w:val="0"/>
              <w:keepLines w:val="0"/>
              <w:widowControl/>
              <w:suppressLineNumbers w:val="0"/>
              <w:jc w:val="center"/>
              <w:textAlignment w:val="center"/>
              <w:rPr>
                <w:rFonts w:hint="eastAsia" w:ascii="仿宋" w:hAnsi="仿宋" w:eastAsia="仿宋" w:cs="仿宋"/>
                <w:b/>
                <w:bCs/>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套</w:t>
            </w:r>
          </w:p>
        </w:tc>
      </w:tr>
      <w:tr w14:paraId="3EBBBE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9" w:type="dxa"/>
            <w:noWrap w:val="0"/>
            <w:vAlign w:val="center"/>
          </w:tcPr>
          <w:p w14:paraId="194F8373">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t>3</w:t>
            </w:r>
          </w:p>
        </w:tc>
        <w:tc>
          <w:tcPr>
            <w:tcW w:w="1426" w:type="dxa"/>
            <w:noWrap w:val="0"/>
            <w:vAlign w:val="center"/>
          </w:tcPr>
          <w:p w14:paraId="55BD5462">
            <w:pPr>
              <w:keepNext w:val="0"/>
              <w:keepLines w:val="0"/>
              <w:widowControl/>
              <w:suppressLineNumbers w:val="0"/>
              <w:jc w:val="center"/>
              <w:textAlignment w:val="center"/>
              <w:rPr>
                <w:rFonts w:hint="eastAsia" w:ascii="仿宋" w:hAnsi="仿宋" w:eastAsia="仿宋" w:cs="仿宋"/>
                <w:b/>
                <w:bCs/>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t>电子教室管理软件</w:t>
            </w:r>
          </w:p>
        </w:tc>
        <w:tc>
          <w:tcPr>
            <w:tcW w:w="6122" w:type="dxa"/>
            <w:noWrap w:val="0"/>
            <w:vAlign w:val="center"/>
          </w:tcPr>
          <w:p w14:paraId="2AD74253">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t>1.支持同版本同时兼容国产操作系统(银河麒麟、统信、中科方德等)、Windows等多种操作系统；使用时，支持教师端可选任意操作系统，学生端也是任意操作系统。</w:t>
            </w:r>
          </w:p>
          <w:p w14:paraId="3D3A29D2">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t>2.支持屏幕广播：支持将教师终端的屏幕和声音广播给单一、部分或全体学生终端，支持全屏或窗口方式；屏幕广播过程中，支持教师选定一台学生终端来远程控制教师终端，代替教师来完成相关教学功能的操作；支持4K画质的屏幕广播；支持屏幕笔进行批注，插入文本、线条和图形。</w:t>
            </w:r>
          </w:p>
          <w:p w14:paraId="16F7A2B4">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t>3.支持学生演示：支持教师选定一台学生终端作为示范进行演示。</w:t>
            </w:r>
          </w:p>
          <w:p w14:paraId="323F6DD7">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t>4.支持网络影院实现教师终端播放的视频同步无延时广播到学生终端，支持720p、1080p、4K高清视频。</w:t>
            </w:r>
          </w:p>
          <w:p w14:paraId="5DD479F6">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t>★5.支持多种文件交互功能，包含文件分发、文件提交、文件收集、文件共享等功能；支持对正在发送的文件进行暂停、撤销、断线续传；支持对已发送的文件进行删除和清空学生端文件夹；支持预定义多个文件收集任务，并支持教师预设学生文件收集类型、收集路径、收集后保存路径；支持通过课件点播实现教师上传文件供学生查看和下载；支持通过共享中心实现教师和学生上传文件，供全体师生查看和下载。（提供功能截图）</w:t>
            </w:r>
          </w:p>
          <w:p w14:paraId="0F25324F">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t>6.支持教师发起分组讨论或主题讨论，支持教师发送文字、画布、图片、文件等与学生进行讨论。</w:t>
            </w:r>
          </w:p>
          <w:p w14:paraId="66955C9B">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t>★7.支持共享白板：支持教师共享白板、图片或截图与选定的学生共同完成相同的学习任务或绘画作品，并提供多种不同的工具，如画笔、图形等供教师和学生绘制时使用；支持历史记录，可以查看过往绘制的白板；支持批量导入和导出白板记录。（提供功能截图）</w:t>
            </w:r>
          </w:p>
          <w:p w14:paraId="56D7BBF4">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t>★8.支持互动功能，支持教师实时截屏、添加本地图片、手动输入问题等方式发起互动答题，答题类型支持单选、多选、判断、算数、简答、投票、演示等，答题模式支持全体作答、挑人、抢答；支持教师查看正在进行课堂和已结束课堂的参与人数、发起答题数、答题正确率、答题详情、答案分布等信息。（提供功能截图）</w:t>
            </w:r>
          </w:p>
          <w:p w14:paraId="015C833C">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t>9.支持考试：支持对全体学生发起统一的考试，支持添加多种试卷卷对不同组别的学生发送不同试卷；支持教师实时查看学生答题进度。</w:t>
            </w:r>
          </w:p>
          <w:p w14:paraId="613703C1">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t>10.支持全体遥控：支持教师端实时遥控所有学生终端的操作，可同时执行应用程序、打开网页、安装卸载应用甚至绘图、代码编写等。</w:t>
            </w:r>
          </w:p>
          <w:p w14:paraId="349C932B">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t>11.支持各种上机策略，包括U盘限制、网页限制、程序限制等，U盘访问权限支持全部开放、只读、完全阻止三种策略。</w:t>
            </w:r>
          </w:p>
          <w:p w14:paraId="3B763667">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t>12.支持教师远程查看学生终端登录名、IP地址、系统类型、MAC地址、磁盘空间、进程、CPU使用情况、内存使用情况、网络利用率等信息。</w:t>
            </w:r>
          </w:p>
          <w:p w14:paraId="1B83202A">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t>★13.支持控制中心面板，支持通过控制中心快速一键执行黑屏安静、联网权限、举手权限、发送消息、发送文件、键鼠、U盘等使用权限的开关控制；支持调整扬声器音量、麦克风音量；控制中心面板支持折叠。（提供功能截图）</w:t>
            </w:r>
          </w:p>
          <w:p w14:paraId="54719686">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t>14、支持远程命令：支持教师进行远程开机、关机、重启、注销、自定义命令等操作。</w:t>
            </w:r>
          </w:p>
          <w:p w14:paraId="4FF03D27">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t>★15.支持图标监看：支持通过班级模型显示学生终端桌面的缩略图，缩略图显示大小也可自由设定；缩略图可显示正在被应用的状态，状态包含联网、举手、发送消息、发送文件、键鼠、U盘等使用权限。（提供功能截图）</w:t>
            </w:r>
          </w:p>
          <w:p w14:paraId="0DE4A505">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t>16.支持远程设置学生端密码、是否显示学生端浮动工具栏、断网锁屏、远程消息、学生举手、学生签到、屏幕监看等功能。</w:t>
            </w:r>
          </w:p>
        </w:tc>
        <w:tc>
          <w:tcPr>
            <w:tcW w:w="786" w:type="dxa"/>
            <w:noWrap w:val="0"/>
            <w:vAlign w:val="center"/>
          </w:tcPr>
          <w:p w14:paraId="2A21E56A">
            <w:pPr>
              <w:keepNext w:val="0"/>
              <w:keepLines w:val="0"/>
              <w:widowControl/>
              <w:suppressLineNumbers w:val="0"/>
              <w:jc w:val="center"/>
              <w:textAlignment w:val="center"/>
              <w:rPr>
                <w:rFonts w:hint="eastAsia" w:ascii="仿宋" w:hAnsi="仿宋" w:eastAsia="仿宋" w:cs="仿宋"/>
                <w:b/>
                <w:bCs/>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51</w:t>
            </w:r>
          </w:p>
        </w:tc>
        <w:tc>
          <w:tcPr>
            <w:tcW w:w="751" w:type="dxa"/>
            <w:noWrap w:val="0"/>
            <w:vAlign w:val="center"/>
          </w:tcPr>
          <w:p w14:paraId="08FA2A3A">
            <w:pPr>
              <w:keepNext w:val="0"/>
              <w:keepLines w:val="0"/>
              <w:widowControl/>
              <w:suppressLineNumbers w:val="0"/>
              <w:jc w:val="center"/>
              <w:textAlignment w:val="center"/>
              <w:rPr>
                <w:rFonts w:hint="eastAsia" w:ascii="仿宋" w:hAnsi="仿宋" w:eastAsia="仿宋" w:cs="仿宋"/>
                <w:b/>
                <w:bCs/>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点位</w:t>
            </w:r>
          </w:p>
        </w:tc>
      </w:tr>
      <w:tr w14:paraId="50BA3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809" w:type="dxa"/>
            <w:noWrap w:val="0"/>
            <w:vAlign w:val="center"/>
          </w:tcPr>
          <w:p w14:paraId="65F2B6A4">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t>4</w:t>
            </w:r>
          </w:p>
        </w:tc>
        <w:tc>
          <w:tcPr>
            <w:tcW w:w="1426" w:type="dxa"/>
            <w:noWrap w:val="0"/>
            <w:vAlign w:val="center"/>
          </w:tcPr>
          <w:p w14:paraId="7A8F648E">
            <w:pPr>
              <w:keepNext w:val="0"/>
              <w:keepLines w:val="0"/>
              <w:widowControl/>
              <w:suppressLineNumbers w:val="0"/>
              <w:jc w:val="center"/>
              <w:textAlignment w:val="center"/>
              <w:rPr>
                <w:rFonts w:hint="eastAsia" w:ascii="仿宋" w:hAnsi="仿宋" w:eastAsia="仿宋" w:cs="仿宋"/>
                <w:b/>
                <w:bCs/>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机房还原系统</w:t>
            </w:r>
          </w:p>
        </w:tc>
        <w:tc>
          <w:tcPr>
            <w:tcW w:w="6122" w:type="dxa"/>
            <w:noWrap w:val="0"/>
            <w:vAlign w:val="center"/>
          </w:tcPr>
          <w:p w14:paraId="5B8BE78A">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t>1.支持同版本同时兼容国产(兆芯、海光、龙芯、飞腾、麒麟等)、Intel、AMD等硬件平台；兼容国产操作系统(银河麒麟、统信、中科方德等)、Windows等多种操作系统。</w:t>
            </w:r>
          </w:p>
          <w:p w14:paraId="41A3A636">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t>2.支持同界面可分别独立设置操作系统的开机还原、手动还原、每天还原、每周还原、每月还原、定时还原及不还原等多种数据还原方式；支持在操作系统下对所有终端批量设置还原参数，也可对单台还原参数独立设置。</w:t>
            </w:r>
          </w:p>
          <w:p w14:paraId="43346EE7">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t>3.支持BIOS底层和国产操作系统(银河麒麟、统信、中科方德等)下两种方式对管理员模式、还原模式、考试模式进行一键自由切换。</w:t>
            </w:r>
          </w:p>
          <w:p w14:paraId="056C9B9D">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t>4.支持多系统启动功能，提供国产操作系统(银河麒麟、统信、中科方德等)多系统同时安装启动，每个操作系统都可以设置自己私有的IP和终端名称；具备每个系统的数据相互隔离，支持用户可自由切换到需要使用的系统；支持每个系统的启动界面可根据需要选择是否隐藏。</w:t>
            </w:r>
          </w:p>
          <w:p w14:paraId="7DBA6824">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t>5.支持智慧对拷功能，支持将教师终端数据同步到所有学生端，支持对拷前可根据数据量大小预设广播、组播、单播等对拷数据发送方式；支持可根据网络状况预设全速、高速、快速、流畅等延时时间以及是否启用断点续传、数据加密传输功能，对拷过程中可实时查看当前对拷速度、对拷分区类型、分区大小、总剩余数据量、已用时间、剩余时间和所有参与对拷终端的详情；支持对终端进行智慧排序、IP分配、参数对拷等功能。</w:t>
            </w:r>
          </w:p>
          <w:p w14:paraId="53EE22EB">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t>★6.支持UEFI PXE和Legacy PXE双模式自动连线；支持三种数据同步方式：同步所有资料、仅同步第一个系统分区、仅同步机房运维管理系统，将发送端数据同步到列表中的接收端。（提供功能截图）</w:t>
            </w:r>
          </w:p>
          <w:p w14:paraId="71DE8A20">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t>7.支持分区管理功能，BIOS底层对硬盘进行分区新建、删除、编辑等操作，无需借助第三方分区工具，根据需要自由划分硬盘分区；分区类型包括系统分区/数据分区；支持系统分区可设置是否隐藏，支持数据分区可设置所属系统。</w:t>
            </w:r>
          </w:p>
          <w:p w14:paraId="30C8AF5E">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t>8.支持系统对拷功能，将已安装的系统克隆出相同的系统，如用户需要多个相同系统无需逐个安装，只需要将现有系统通过系统对拷即可。</w:t>
            </w:r>
          </w:p>
          <w:p w14:paraId="01F527AF">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t>9.支持虚拟系统功能，每个真实的系统最多可建立≥50个虚拟系统，虚拟系统的数据和真实系统相互隔离。</w:t>
            </w:r>
          </w:p>
        </w:tc>
        <w:tc>
          <w:tcPr>
            <w:tcW w:w="786" w:type="dxa"/>
            <w:noWrap w:val="0"/>
            <w:vAlign w:val="center"/>
          </w:tcPr>
          <w:p w14:paraId="17E6C341">
            <w:pPr>
              <w:keepNext w:val="0"/>
              <w:keepLines w:val="0"/>
              <w:widowControl/>
              <w:suppressLineNumbers w:val="0"/>
              <w:jc w:val="center"/>
              <w:textAlignment w:val="center"/>
              <w:rPr>
                <w:rFonts w:hint="eastAsia" w:ascii="仿宋" w:hAnsi="仿宋" w:eastAsia="仿宋" w:cs="仿宋"/>
                <w:b/>
                <w:bCs/>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w:t>
            </w:r>
          </w:p>
        </w:tc>
        <w:tc>
          <w:tcPr>
            <w:tcW w:w="751" w:type="dxa"/>
            <w:noWrap w:val="0"/>
            <w:vAlign w:val="center"/>
          </w:tcPr>
          <w:p w14:paraId="01505D91">
            <w:pPr>
              <w:keepNext w:val="0"/>
              <w:keepLines w:val="0"/>
              <w:widowControl/>
              <w:suppressLineNumbers w:val="0"/>
              <w:jc w:val="center"/>
              <w:textAlignment w:val="center"/>
              <w:rPr>
                <w:rFonts w:hint="eastAsia" w:ascii="仿宋" w:hAnsi="仿宋" w:eastAsia="仿宋" w:cs="仿宋"/>
                <w:b/>
                <w:bCs/>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套</w:t>
            </w:r>
          </w:p>
        </w:tc>
      </w:tr>
      <w:tr w14:paraId="3AF00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2" w:hRule="atLeast"/>
          <w:jc w:val="center"/>
        </w:trPr>
        <w:tc>
          <w:tcPr>
            <w:tcW w:w="809" w:type="dxa"/>
            <w:noWrap w:val="0"/>
            <w:vAlign w:val="center"/>
          </w:tcPr>
          <w:p w14:paraId="699A56BB">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t>5</w:t>
            </w:r>
          </w:p>
        </w:tc>
        <w:tc>
          <w:tcPr>
            <w:tcW w:w="1426" w:type="dxa"/>
            <w:noWrap w:val="0"/>
            <w:vAlign w:val="center"/>
          </w:tcPr>
          <w:p w14:paraId="693E1937">
            <w:pPr>
              <w:keepNext w:val="0"/>
              <w:keepLines w:val="0"/>
              <w:widowControl/>
              <w:suppressLineNumbers w:val="0"/>
              <w:jc w:val="center"/>
              <w:textAlignment w:val="center"/>
              <w:rPr>
                <w:rFonts w:hint="eastAsia" w:ascii="仿宋" w:hAnsi="仿宋" w:eastAsia="仿宋" w:cs="仿宋"/>
                <w:b/>
                <w:bCs/>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机柜</w:t>
            </w:r>
          </w:p>
        </w:tc>
        <w:tc>
          <w:tcPr>
            <w:tcW w:w="6122" w:type="dxa"/>
            <w:noWrap w:val="0"/>
            <w:vAlign w:val="center"/>
          </w:tcPr>
          <w:p w14:paraId="0A4BEBCA">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t>1.机柜外形整体规格(约)：600mm*600mm*1000mm。</w:t>
            </w:r>
          </w:p>
          <w:p w14:paraId="10DEBBF0">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t>2.采用SPCC级冷轧钢板制作，表面经静电喷塑工艺处理，具备良好的防锈、耐腐蚀性能，机柜防护等级≥IP20。</w:t>
            </w:r>
          </w:p>
          <w:p w14:paraId="41473AE6">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t>3.安装立柱板材厚度≥2.0mm，前后门、侧板、托板、横梁板材厚度≥1.2mm，板材厚度：≥1.2mm。帽底、框架板材厚度：≥1.0mm，机柜静态承重≥300kg。</w:t>
            </w:r>
          </w:p>
          <w:p w14:paraId="6DE4C4CB">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t>4.前门为网孔前门和高密度透气网孔后门，同时满足设备保护、通风散热、外部观察机器运行状态等要求。</w:t>
            </w:r>
          </w:p>
          <w:p w14:paraId="161F3BCF">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t>5.支持落地式安装，支持根据使用场景选配支撑脚或移动脚轮。</w:t>
            </w:r>
          </w:p>
          <w:p w14:paraId="0AA8EE53">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t>6.标配电源排插、移动脚轮、固定地脚，支持走线通道规格调节。</w:t>
            </w:r>
          </w:p>
        </w:tc>
        <w:tc>
          <w:tcPr>
            <w:tcW w:w="786" w:type="dxa"/>
            <w:noWrap w:val="0"/>
            <w:vAlign w:val="center"/>
          </w:tcPr>
          <w:p w14:paraId="2A89CE08">
            <w:pPr>
              <w:keepNext w:val="0"/>
              <w:keepLines w:val="0"/>
              <w:widowControl/>
              <w:suppressLineNumbers w:val="0"/>
              <w:jc w:val="center"/>
              <w:textAlignment w:val="center"/>
              <w:rPr>
                <w:rFonts w:hint="eastAsia" w:ascii="仿宋" w:hAnsi="仿宋" w:eastAsia="仿宋" w:cs="仿宋"/>
                <w:b/>
                <w:bCs/>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w:t>
            </w:r>
          </w:p>
        </w:tc>
        <w:tc>
          <w:tcPr>
            <w:tcW w:w="751" w:type="dxa"/>
            <w:noWrap w:val="0"/>
            <w:vAlign w:val="center"/>
          </w:tcPr>
          <w:p w14:paraId="0683FD00">
            <w:pPr>
              <w:keepNext w:val="0"/>
              <w:keepLines w:val="0"/>
              <w:widowControl/>
              <w:suppressLineNumbers w:val="0"/>
              <w:jc w:val="center"/>
              <w:textAlignment w:val="center"/>
              <w:rPr>
                <w:rFonts w:hint="eastAsia" w:ascii="仿宋" w:hAnsi="仿宋" w:eastAsia="仿宋" w:cs="仿宋"/>
                <w:b/>
                <w:bCs/>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套</w:t>
            </w:r>
          </w:p>
        </w:tc>
      </w:tr>
      <w:tr w14:paraId="60B95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82" w:hRule="atLeast"/>
          <w:jc w:val="center"/>
        </w:trPr>
        <w:tc>
          <w:tcPr>
            <w:tcW w:w="809" w:type="dxa"/>
            <w:noWrap w:val="0"/>
            <w:vAlign w:val="center"/>
          </w:tcPr>
          <w:p w14:paraId="52506C4E">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t>6</w:t>
            </w:r>
          </w:p>
        </w:tc>
        <w:tc>
          <w:tcPr>
            <w:tcW w:w="1426" w:type="dxa"/>
            <w:noWrap w:val="0"/>
            <w:vAlign w:val="center"/>
          </w:tcPr>
          <w:p w14:paraId="344A82D5">
            <w:pPr>
              <w:keepNext w:val="0"/>
              <w:keepLines w:val="0"/>
              <w:widowControl/>
              <w:suppressLineNumbers w:val="0"/>
              <w:jc w:val="center"/>
              <w:textAlignment w:val="center"/>
              <w:rPr>
                <w:rFonts w:hint="eastAsia" w:ascii="仿宋" w:hAnsi="仿宋" w:eastAsia="仿宋" w:cs="仿宋"/>
                <w:b/>
                <w:bCs/>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交换机</w:t>
            </w:r>
          </w:p>
        </w:tc>
        <w:tc>
          <w:tcPr>
            <w:tcW w:w="6122" w:type="dxa"/>
            <w:noWrap w:val="0"/>
            <w:vAlign w:val="center"/>
          </w:tcPr>
          <w:p w14:paraId="17194575">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t>1.交换容量≥336Gbps，包转发率≥43.5Mpps；≥24个10/100/1000Mbps自适应电口，≥2个千兆光口。</w:t>
            </w:r>
          </w:p>
          <w:p w14:paraId="238ABD29">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t>2.支持准交换、端口隔离、汇聚上联、防环路四种模式切换，支持优先转发端口。</w:t>
            </w:r>
          </w:p>
          <w:p w14:paraId="409AF8B1">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t>3.支持云管模式下，支持防环路、防私接、风暴抑制，支持远程管理 。</w:t>
            </w:r>
          </w:p>
        </w:tc>
        <w:tc>
          <w:tcPr>
            <w:tcW w:w="786" w:type="dxa"/>
            <w:noWrap w:val="0"/>
            <w:vAlign w:val="center"/>
          </w:tcPr>
          <w:p w14:paraId="78D49F17">
            <w:pPr>
              <w:keepNext w:val="0"/>
              <w:keepLines w:val="0"/>
              <w:widowControl/>
              <w:suppressLineNumbers w:val="0"/>
              <w:jc w:val="center"/>
              <w:textAlignment w:val="center"/>
              <w:rPr>
                <w:rFonts w:hint="eastAsia" w:ascii="仿宋" w:hAnsi="仿宋" w:eastAsia="仿宋" w:cs="仿宋"/>
                <w:b/>
                <w:bCs/>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3</w:t>
            </w:r>
          </w:p>
        </w:tc>
        <w:tc>
          <w:tcPr>
            <w:tcW w:w="751" w:type="dxa"/>
            <w:noWrap w:val="0"/>
            <w:vAlign w:val="center"/>
          </w:tcPr>
          <w:p w14:paraId="4F9C7713">
            <w:pPr>
              <w:keepNext w:val="0"/>
              <w:keepLines w:val="0"/>
              <w:widowControl/>
              <w:suppressLineNumbers w:val="0"/>
              <w:jc w:val="center"/>
              <w:textAlignment w:val="center"/>
              <w:rPr>
                <w:rFonts w:hint="eastAsia" w:ascii="仿宋" w:hAnsi="仿宋" w:eastAsia="仿宋" w:cs="仿宋"/>
                <w:b/>
                <w:bCs/>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台</w:t>
            </w:r>
          </w:p>
        </w:tc>
      </w:tr>
      <w:tr w14:paraId="35CC6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9" w:hRule="atLeast"/>
          <w:jc w:val="center"/>
        </w:trPr>
        <w:tc>
          <w:tcPr>
            <w:tcW w:w="809" w:type="dxa"/>
            <w:noWrap w:val="0"/>
            <w:vAlign w:val="center"/>
          </w:tcPr>
          <w:p w14:paraId="249FAD1F">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t>7</w:t>
            </w:r>
          </w:p>
        </w:tc>
        <w:tc>
          <w:tcPr>
            <w:tcW w:w="1426" w:type="dxa"/>
            <w:noWrap w:val="0"/>
            <w:vAlign w:val="center"/>
          </w:tcPr>
          <w:p w14:paraId="08257B12">
            <w:pPr>
              <w:keepNext w:val="0"/>
              <w:keepLines w:val="0"/>
              <w:widowControl/>
              <w:suppressLineNumbers w:val="0"/>
              <w:jc w:val="center"/>
              <w:textAlignment w:val="center"/>
              <w:rPr>
                <w:rFonts w:hint="eastAsia" w:ascii="仿宋" w:hAnsi="仿宋" w:eastAsia="仿宋" w:cs="仿宋"/>
                <w:b/>
                <w:bCs/>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稳压器</w:t>
            </w:r>
          </w:p>
        </w:tc>
        <w:tc>
          <w:tcPr>
            <w:tcW w:w="6122" w:type="dxa"/>
            <w:noWrap w:val="0"/>
            <w:vAlign w:val="center"/>
          </w:tcPr>
          <w:p w14:paraId="1A2A3C7C">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t>1.输出功率：≥30KVA/24000W。</w:t>
            </w:r>
          </w:p>
          <w:p w14:paraId="1076AC24">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t>2.稳压范围：275V-430V；</w:t>
            </w:r>
          </w:p>
          <w:p w14:paraId="5715121C">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t>3.输出电压：380V±3%。</w:t>
            </w:r>
          </w:p>
          <w:p w14:paraId="6CD10B9E">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t>4.频率：50/60Hz。</w:t>
            </w:r>
          </w:p>
          <w:p w14:paraId="0C54D7CD">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t>5.过压保护：246V±4V。</w:t>
            </w:r>
          </w:p>
          <w:p w14:paraId="7A3397DE">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t>6.调整时间：≤1秒。</w:t>
            </w:r>
          </w:p>
          <w:p w14:paraId="3BE0AD21">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t>7.绝缘电阻：≥2MΩ。</w:t>
            </w:r>
          </w:p>
        </w:tc>
        <w:tc>
          <w:tcPr>
            <w:tcW w:w="786" w:type="dxa"/>
            <w:noWrap w:val="0"/>
            <w:vAlign w:val="center"/>
          </w:tcPr>
          <w:p w14:paraId="2B86E046">
            <w:pPr>
              <w:keepNext w:val="0"/>
              <w:keepLines w:val="0"/>
              <w:widowControl/>
              <w:suppressLineNumbers w:val="0"/>
              <w:jc w:val="center"/>
              <w:textAlignment w:val="center"/>
              <w:rPr>
                <w:rFonts w:hint="eastAsia" w:ascii="仿宋" w:hAnsi="仿宋" w:eastAsia="仿宋" w:cs="仿宋"/>
                <w:b/>
                <w:bCs/>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w:t>
            </w:r>
          </w:p>
        </w:tc>
        <w:tc>
          <w:tcPr>
            <w:tcW w:w="751" w:type="dxa"/>
            <w:noWrap w:val="0"/>
            <w:vAlign w:val="center"/>
          </w:tcPr>
          <w:p w14:paraId="1878BFD7">
            <w:pPr>
              <w:keepNext w:val="0"/>
              <w:keepLines w:val="0"/>
              <w:widowControl/>
              <w:suppressLineNumbers w:val="0"/>
              <w:jc w:val="center"/>
              <w:textAlignment w:val="center"/>
              <w:rPr>
                <w:rFonts w:hint="eastAsia" w:ascii="仿宋" w:hAnsi="仿宋" w:eastAsia="仿宋" w:cs="仿宋"/>
                <w:b/>
                <w:bCs/>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套</w:t>
            </w:r>
          </w:p>
        </w:tc>
      </w:tr>
      <w:tr w14:paraId="67624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2" w:hRule="atLeast"/>
          <w:jc w:val="center"/>
        </w:trPr>
        <w:tc>
          <w:tcPr>
            <w:tcW w:w="809" w:type="dxa"/>
            <w:noWrap w:val="0"/>
            <w:vAlign w:val="center"/>
          </w:tcPr>
          <w:p w14:paraId="0CD6A9DC">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t>8</w:t>
            </w:r>
          </w:p>
        </w:tc>
        <w:tc>
          <w:tcPr>
            <w:tcW w:w="1426" w:type="dxa"/>
            <w:noWrap w:val="0"/>
            <w:vAlign w:val="center"/>
          </w:tcPr>
          <w:p w14:paraId="5B176C1E">
            <w:pPr>
              <w:keepNext w:val="0"/>
              <w:keepLines w:val="0"/>
              <w:widowControl/>
              <w:suppressLineNumbers w:val="0"/>
              <w:jc w:val="center"/>
              <w:textAlignment w:val="center"/>
              <w:rPr>
                <w:rFonts w:hint="eastAsia" w:ascii="仿宋" w:hAnsi="仿宋" w:eastAsia="仿宋" w:cs="仿宋"/>
                <w:b/>
                <w:bCs/>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网线</w:t>
            </w:r>
          </w:p>
        </w:tc>
        <w:tc>
          <w:tcPr>
            <w:tcW w:w="6122" w:type="dxa"/>
            <w:noWrap w:val="0"/>
            <w:vAlign w:val="center"/>
          </w:tcPr>
          <w:p w14:paraId="3BBEFF9B">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t>不低于国标的六类网线，每箱≥300米。</w:t>
            </w:r>
          </w:p>
        </w:tc>
        <w:tc>
          <w:tcPr>
            <w:tcW w:w="786" w:type="dxa"/>
            <w:noWrap w:val="0"/>
            <w:vAlign w:val="center"/>
          </w:tcPr>
          <w:p w14:paraId="08AD51AA">
            <w:pPr>
              <w:keepNext w:val="0"/>
              <w:keepLines w:val="0"/>
              <w:widowControl/>
              <w:suppressLineNumbers w:val="0"/>
              <w:jc w:val="center"/>
              <w:textAlignment w:val="center"/>
              <w:rPr>
                <w:rFonts w:hint="eastAsia" w:ascii="仿宋" w:hAnsi="仿宋" w:eastAsia="仿宋" w:cs="仿宋"/>
                <w:b/>
                <w:bCs/>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5</w:t>
            </w:r>
          </w:p>
        </w:tc>
        <w:tc>
          <w:tcPr>
            <w:tcW w:w="751" w:type="dxa"/>
            <w:noWrap w:val="0"/>
            <w:vAlign w:val="center"/>
          </w:tcPr>
          <w:p w14:paraId="06A210E5">
            <w:pPr>
              <w:keepNext w:val="0"/>
              <w:keepLines w:val="0"/>
              <w:widowControl/>
              <w:suppressLineNumbers w:val="0"/>
              <w:jc w:val="center"/>
              <w:textAlignment w:val="center"/>
              <w:rPr>
                <w:rFonts w:hint="eastAsia" w:ascii="仿宋" w:hAnsi="仿宋" w:eastAsia="仿宋" w:cs="仿宋"/>
                <w:b/>
                <w:bCs/>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箱</w:t>
            </w:r>
          </w:p>
        </w:tc>
      </w:tr>
      <w:tr w14:paraId="19A3B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6" w:hRule="atLeast"/>
          <w:jc w:val="center"/>
        </w:trPr>
        <w:tc>
          <w:tcPr>
            <w:tcW w:w="809" w:type="dxa"/>
            <w:noWrap w:val="0"/>
            <w:vAlign w:val="center"/>
          </w:tcPr>
          <w:p w14:paraId="4A17F31A">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t>9</w:t>
            </w:r>
          </w:p>
        </w:tc>
        <w:tc>
          <w:tcPr>
            <w:tcW w:w="1426" w:type="dxa"/>
            <w:noWrap w:val="0"/>
            <w:vAlign w:val="center"/>
          </w:tcPr>
          <w:p w14:paraId="32143190">
            <w:pPr>
              <w:keepNext w:val="0"/>
              <w:keepLines w:val="0"/>
              <w:widowControl/>
              <w:suppressLineNumbers w:val="0"/>
              <w:jc w:val="center"/>
              <w:textAlignment w:val="center"/>
              <w:rPr>
                <w:rFonts w:hint="eastAsia" w:ascii="仿宋" w:hAnsi="仿宋" w:eastAsia="仿宋" w:cs="仿宋"/>
                <w:b/>
                <w:bCs/>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教师桌椅</w:t>
            </w:r>
          </w:p>
        </w:tc>
        <w:tc>
          <w:tcPr>
            <w:tcW w:w="6122" w:type="dxa"/>
            <w:noWrap w:val="0"/>
            <w:vAlign w:val="center"/>
          </w:tcPr>
          <w:p w14:paraId="2D328B14">
            <w:pPr>
              <w:textAlignment w:val="center"/>
              <w:rPr>
                <w:rFonts w:hint="eastAsia" w:ascii="仿宋" w:hAnsi="仿宋" w:eastAsia="仿宋" w:cs="仿宋"/>
                <w:color w:val="000000" w:themeColor="text1"/>
                <w:sz w:val="24"/>
                <w:szCs w:val="24"/>
                <w:highlight w:val="none"/>
                <w:lang w:eastAsia="zh-CN" w:bidi="ar"/>
                <w14:textFill>
                  <w14:solidFill>
                    <w14:schemeClr w14:val="tx1"/>
                  </w14:solidFill>
                </w14:textFill>
              </w:rPr>
            </w:pPr>
            <w:r>
              <w:rPr>
                <w:rFonts w:hint="eastAsia" w:ascii="仿宋" w:hAnsi="仿宋" w:eastAsia="仿宋" w:cs="仿宋"/>
                <w:color w:val="000000" w:themeColor="text1"/>
                <w:sz w:val="24"/>
                <w:szCs w:val="24"/>
                <w:highlight w:val="none"/>
                <w:lang w:eastAsia="zh-CN" w:bidi="ar"/>
                <w14:textFill>
                  <w14:solidFill>
                    <w14:schemeClr w14:val="tx1"/>
                  </w14:solidFill>
                </w14:textFill>
              </w:rPr>
              <w:t>一、教师桌：</w:t>
            </w:r>
          </w:p>
          <w:p w14:paraId="027BAA0C">
            <w:pPr>
              <w:textAlignment w:val="center"/>
              <w:rPr>
                <w:rFonts w:hint="eastAsia" w:ascii="仿宋" w:hAnsi="仿宋" w:eastAsia="仿宋" w:cs="仿宋"/>
                <w:color w:val="000000" w:themeColor="text1"/>
                <w:sz w:val="24"/>
                <w:szCs w:val="24"/>
                <w:highlight w:val="none"/>
                <w:lang w:eastAsia="zh-CN" w:bidi="ar"/>
                <w14:textFill>
                  <w14:solidFill>
                    <w14:schemeClr w14:val="tx1"/>
                  </w14:solidFill>
                </w14:textFill>
              </w:rPr>
            </w:pPr>
            <w:r>
              <w:rPr>
                <w:rFonts w:hint="eastAsia" w:ascii="仿宋" w:hAnsi="仿宋" w:eastAsia="仿宋" w:cs="仿宋"/>
                <w:color w:val="000000" w:themeColor="text1"/>
                <w:sz w:val="24"/>
                <w:szCs w:val="24"/>
                <w:highlight w:val="none"/>
                <w:lang w:eastAsia="zh-CN" w:bidi="ar"/>
                <w14:textFill>
                  <w14:solidFill>
                    <w14:schemeClr w14:val="tx1"/>
                  </w14:solidFill>
                </w14:textFill>
              </w:rPr>
              <w:t>1.桌子整体规格</w:t>
            </w:r>
            <w: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t>(约)</w:t>
            </w:r>
            <w:r>
              <w:rPr>
                <w:rFonts w:hint="eastAsia" w:ascii="仿宋" w:hAnsi="仿宋" w:eastAsia="仿宋" w:cs="仿宋"/>
                <w:color w:val="000000" w:themeColor="text1"/>
                <w:sz w:val="24"/>
                <w:szCs w:val="24"/>
                <w:highlight w:val="none"/>
                <w:lang w:eastAsia="zh-CN" w:bidi="ar"/>
                <w14:textFill>
                  <w14:solidFill>
                    <w14:schemeClr w14:val="tx1"/>
                  </w14:solidFill>
                </w14:textFill>
              </w:rPr>
              <w:t>：1200mm*600mm*750mm。</w:t>
            </w:r>
          </w:p>
          <w:p w14:paraId="00C64650">
            <w:pPr>
              <w:textAlignment w:val="center"/>
              <w:rPr>
                <w:rFonts w:hint="eastAsia" w:ascii="仿宋" w:hAnsi="仿宋" w:eastAsia="仿宋" w:cs="仿宋"/>
                <w:color w:val="000000" w:themeColor="text1"/>
                <w:sz w:val="24"/>
                <w:szCs w:val="24"/>
                <w:highlight w:val="none"/>
                <w:lang w:eastAsia="zh-CN" w:bidi="ar"/>
                <w14:textFill>
                  <w14:solidFill>
                    <w14:schemeClr w14:val="tx1"/>
                  </w14:solidFill>
                </w14:textFill>
              </w:rPr>
            </w:pPr>
            <w:r>
              <w:rPr>
                <w:rFonts w:hint="eastAsia" w:ascii="仿宋" w:hAnsi="仿宋" w:eastAsia="仿宋" w:cs="仿宋"/>
                <w:color w:val="000000" w:themeColor="text1"/>
                <w:sz w:val="24"/>
                <w:szCs w:val="24"/>
                <w:highlight w:val="none"/>
                <w:lang w:eastAsia="zh-CN" w:bidi="ar"/>
                <w14:textFill>
                  <w14:solidFill>
                    <w14:schemeClr w14:val="tx1"/>
                  </w14:solidFill>
                </w14:textFill>
              </w:rPr>
              <w:t>2.板材采用中密度纤维板。</w:t>
            </w:r>
          </w:p>
          <w:p w14:paraId="47C06DC0">
            <w:pPr>
              <w:textAlignment w:val="center"/>
              <w:rPr>
                <w:rFonts w:hint="eastAsia" w:ascii="仿宋" w:hAnsi="仿宋" w:eastAsia="仿宋" w:cs="仿宋"/>
                <w:color w:val="000000" w:themeColor="text1"/>
                <w:sz w:val="24"/>
                <w:szCs w:val="24"/>
                <w:highlight w:val="none"/>
                <w:lang w:eastAsia="zh-CN" w:bidi="ar"/>
                <w14:textFill>
                  <w14:solidFill>
                    <w14:schemeClr w14:val="tx1"/>
                  </w14:solidFill>
                </w14:textFill>
              </w:rPr>
            </w:pPr>
            <w:r>
              <w:rPr>
                <w:rFonts w:hint="eastAsia" w:ascii="仿宋" w:hAnsi="仿宋" w:eastAsia="仿宋" w:cs="仿宋"/>
                <w:color w:val="000000" w:themeColor="text1"/>
                <w:sz w:val="24"/>
                <w:szCs w:val="24"/>
                <w:highlight w:val="none"/>
                <w:lang w:eastAsia="zh-CN" w:bidi="ar"/>
                <w14:textFill>
                  <w14:solidFill>
                    <w14:schemeClr w14:val="tx1"/>
                  </w14:solidFill>
                </w14:textFill>
              </w:rPr>
              <w:t>3.台面贴厚度≥0.6mm胡桃木皮。</w:t>
            </w:r>
          </w:p>
          <w:p w14:paraId="56738946">
            <w:pPr>
              <w:textAlignment w:val="center"/>
              <w:rPr>
                <w:rFonts w:hint="eastAsia" w:ascii="仿宋" w:hAnsi="仿宋" w:eastAsia="仿宋" w:cs="仿宋"/>
                <w:color w:val="000000" w:themeColor="text1"/>
                <w:sz w:val="24"/>
                <w:szCs w:val="24"/>
                <w:highlight w:val="none"/>
                <w:lang w:eastAsia="zh-CN" w:bidi="ar"/>
                <w14:textFill>
                  <w14:solidFill>
                    <w14:schemeClr w14:val="tx1"/>
                  </w14:solidFill>
                </w14:textFill>
              </w:rPr>
            </w:pPr>
            <w:r>
              <w:rPr>
                <w:rFonts w:hint="eastAsia" w:ascii="仿宋" w:hAnsi="仿宋" w:eastAsia="仿宋" w:cs="仿宋"/>
                <w:color w:val="000000" w:themeColor="text1"/>
                <w:sz w:val="24"/>
                <w:szCs w:val="24"/>
                <w:highlight w:val="none"/>
                <w:lang w:eastAsia="zh-CN" w:bidi="ar"/>
                <w14:textFill>
                  <w14:solidFill>
                    <w14:schemeClr w14:val="tx1"/>
                  </w14:solidFill>
                </w14:textFill>
              </w:rPr>
              <w:t>4.所有木质材料经过杀菌、杀虫处理，干燥率低于9%含水率。</w:t>
            </w:r>
          </w:p>
          <w:p w14:paraId="57336E3C">
            <w:pPr>
              <w:textAlignment w:val="center"/>
              <w:rPr>
                <w:rFonts w:hint="eastAsia" w:ascii="仿宋" w:hAnsi="仿宋" w:eastAsia="仿宋" w:cs="仿宋"/>
                <w:color w:val="000000" w:themeColor="text1"/>
                <w:sz w:val="24"/>
                <w:szCs w:val="24"/>
                <w:highlight w:val="none"/>
                <w:lang w:eastAsia="zh-CN" w:bidi="ar"/>
                <w14:textFill>
                  <w14:solidFill>
                    <w14:schemeClr w14:val="tx1"/>
                  </w14:solidFill>
                </w14:textFill>
              </w:rPr>
            </w:pPr>
            <w:r>
              <w:rPr>
                <w:rFonts w:hint="eastAsia" w:ascii="仿宋" w:hAnsi="仿宋" w:eastAsia="仿宋" w:cs="仿宋"/>
                <w:color w:val="000000" w:themeColor="text1"/>
                <w:sz w:val="24"/>
                <w:szCs w:val="24"/>
                <w:highlight w:val="none"/>
                <w:lang w:eastAsia="zh-CN" w:bidi="ar"/>
                <w14:textFill>
                  <w14:solidFill>
                    <w14:schemeClr w14:val="tx1"/>
                  </w14:solidFill>
                </w14:textFill>
              </w:rPr>
              <w:t>5.采用A级油漆,油漆面无颗粒，无气泡，无渣点，颜色均匀，硬度高。</w:t>
            </w:r>
          </w:p>
          <w:p w14:paraId="7470089B">
            <w:pPr>
              <w:textAlignment w:val="center"/>
              <w:rPr>
                <w:rFonts w:hint="eastAsia" w:ascii="仿宋" w:hAnsi="仿宋" w:eastAsia="仿宋" w:cs="仿宋"/>
                <w:color w:val="000000" w:themeColor="text1"/>
                <w:sz w:val="24"/>
                <w:szCs w:val="24"/>
                <w:highlight w:val="none"/>
                <w:lang w:eastAsia="zh-CN" w:bidi="ar"/>
                <w14:textFill>
                  <w14:solidFill>
                    <w14:schemeClr w14:val="tx1"/>
                  </w14:solidFill>
                </w14:textFill>
              </w:rPr>
            </w:pPr>
            <w:r>
              <w:rPr>
                <w:rFonts w:hint="eastAsia" w:ascii="仿宋" w:hAnsi="仿宋" w:eastAsia="仿宋" w:cs="仿宋"/>
                <w:color w:val="000000" w:themeColor="text1"/>
                <w:sz w:val="24"/>
                <w:szCs w:val="24"/>
                <w:highlight w:val="none"/>
                <w:lang w:eastAsia="zh-CN" w:bidi="ar"/>
                <w14:textFill>
                  <w14:solidFill>
                    <w14:schemeClr w14:val="tx1"/>
                  </w14:solidFill>
                </w14:textFill>
              </w:rPr>
              <w:t>6.</w:t>
            </w:r>
            <w:r>
              <w:rPr>
                <w:rFonts w:hint="eastAsia" w:ascii="仿宋" w:hAnsi="仿宋" w:eastAsia="仿宋" w:cs="仿宋"/>
                <w:color w:val="000000" w:themeColor="text1"/>
                <w:sz w:val="24"/>
                <w:szCs w:val="24"/>
                <w:highlight w:val="none"/>
                <w:lang w:val="en-US" w:eastAsia="zh-CN" w:bidi="ar"/>
                <w14:textFill>
                  <w14:solidFill>
                    <w14:schemeClr w14:val="tx1"/>
                  </w14:solidFill>
                </w14:textFill>
              </w:rPr>
              <w:t>配备</w:t>
            </w:r>
            <w:r>
              <w:rPr>
                <w:rFonts w:hint="eastAsia" w:ascii="仿宋" w:hAnsi="仿宋" w:eastAsia="仿宋" w:cs="仿宋"/>
                <w:color w:val="000000" w:themeColor="text1"/>
                <w:sz w:val="24"/>
                <w:szCs w:val="24"/>
                <w:highlight w:val="none"/>
                <w:lang w:eastAsia="zh-CN" w:bidi="ar"/>
                <w14:textFill>
                  <w14:solidFill>
                    <w14:schemeClr w14:val="tx1"/>
                  </w14:solidFill>
                </w14:textFill>
              </w:rPr>
              <w:t>优质五金配件，所有五金配件均经防锈、防腐处理。</w:t>
            </w:r>
          </w:p>
          <w:p w14:paraId="1CFF93F8">
            <w:pPr>
              <w:textAlignment w:val="center"/>
              <w:rPr>
                <w:rFonts w:hint="eastAsia" w:ascii="仿宋" w:hAnsi="仿宋" w:eastAsia="仿宋" w:cs="仿宋"/>
                <w:color w:val="000000" w:themeColor="text1"/>
                <w:sz w:val="24"/>
                <w:szCs w:val="24"/>
                <w:highlight w:val="none"/>
                <w:lang w:eastAsia="zh-CN" w:bidi="ar"/>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
                <w14:textFill>
                  <w14:solidFill>
                    <w14:schemeClr w14:val="tx1"/>
                  </w14:solidFill>
                </w14:textFill>
              </w:rPr>
              <w:t>7</w:t>
            </w:r>
            <w:r>
              <w:rPr>
                <w:rFonts w:hint="eastAsia" w:ascii="仿宋" w:hAnsi="仿宋" w:eastAsia="仿宋" w:cs="仿宋"/>
                <w:color w:val="000000" w:themeColor="text1"/>
                <w:sz w:val="24"/>
                <w:szCs w:val="24"/>
                <w:highlight w:val="none"/>
                <w:lang w:eastAsia="zh-CN" w:bidi="ar"/>
                <w14:textFill>
                  <w14:solidFill>
                    <w14:schemeClr w14:val="tx1"/>
                  </w14:solidFill>
                </w14:textFill>
              </w:rPr>
              <w:t>.</w:t>
            </w:r>
            <w:r>
              <w:rPr>
                <w:rFonts w:hint="eastAsia" w:ascii="仿宋" w:hAnsi="仿宋" w:eastAsia="仿宋" w:cs="仿宋"/>
                <w:color w:val="000000" w:themeColor="text1"/>
                <w:sz w:val="24"/>
                <w:szCs w:val="24"/>
                <w:highlight w:val="none"/>
                <w:lang w:val="en-US" w:eastAsia="zh-CN" w:bidi="ar"/>
                <w14:textFill>
                  <w14:solidFill>
                    <w14:schemeClr w14:val="tx1"/>
                  </w14:solidFill>
                </w14:textFill>
              </w:rPr>
              <w:t>配备</w:t>
            </w:r>
            <w:r>
              <w:rPr>
                <w:rFonts w:hint="eastAsia" w:ascii="仿宋" w:hAnsi="仿宋" w:eastAsia="仿宋" w:cs="仿宋"/>
                <w:color w:val="000000" w:themeColor="text1"/>
                <w:sz w:val="24"/>
                <w:szCs w:val="24"/>
                <w:highlight w:val="none"/>
                <w:lang w:eastAsia="zh-CN" w:bidi="ar"/>
                <w14:textFill>
                  <w14:solidFill>
                    <w14:schemeClr w14:val="tx1"/>
                  </w14:solidFill>
                </w14:textFill>
              </w:rPr>
              <w:t>塑料静音防滑胶垫。</w:t>
            </w:r>
          </w:p>
          <w:p w14:paraId="44DC3E4E">
            <w:pPr>
              <w:textAlignment w:val="center"/>
              <w:rPr>
                <w:rFonts w:hint="eastAsia" w:ascii="仿宋" w:hAnsi="仿宋" w:eastAsia="仿宋" w:cs="仿宋"/>
                <w:color w:val="000000" w:themeColor="text1"/>
                <w:sz w:val="24"/>
                <w:szCs w:val="24"/>
                <w:highlight w:val="none"/>
                <w:lang w:eastAsia="zh-CN" w:bidi="ar"/>
                <w14:textFill>
                  <w14:solidFill>
                    <w14:schemeClr w14:val="tx1"/>
                  </w14:solidFill>
                </w14:textFill>
              </w:rPr>
            </w:pPr>
            <w:r>
              <w:rPr>
                <w:rFonts w:hint="eastAsia" w:ascii="仿宋" w:hAnsi="仿宋" w:eastAsia="仿宋" w:cs="仿宋"/>
                <w:color w:val="000000" w:themeColor="text1"/>
                <w:sz w:val="24"/>
                <w:szCs w:val="24"/>
                <w:highlight w:val="none"/>
                <w:lang w:eastAsia="zh-CN" w:bidi="ar"/>
                <w14:textFill>
                  <w14:solidFill>
                    <w14:schemeClr w14:val="tx1"/>
                  </w14:solidFill>
                </w14:textFill>
              </w:rPr>
              <w:t>二、教师椅：</w:t>
            </w:r>
          </w:p>
          <w:p w14:paraId="67362A3E">
            <w:pPr>
              <w:textAlignment w:val="center"/>
              <w:rPr>
                <w:rFonts w:hint="eastAsia" w:ascii="仿宋" w:hAnsi="仿宋" w:eastAsia="仿宋" w:cs="仿宋"/>
                <w:color w:val="000000" w:themeColor="text1"/>
                <w:sz w:val="24"/>
                <w:szCs w:val="24"/>
                <w:highlight w:val="none"/>
                <w:lang w:eastAsia="zh-CN" w:bidi="ar"/>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
                <w14:textFill>
                  <w14:solidFill>
                    <w14:schemeClr w14:val="tx1"/>
                  </w14:solidFill>
                </w14:textFill>
              </w:rPr>
              <w:t>8</w:t>
            </w:r>
            <w:r>
              <w:rPr>
                <w:rFonts w:hint="eastAsia" w:ascii="仿宋" w:hAnsi="仿宋" w:eastAsia="仿宋" w:cs="仿宋"/>
                <w:color w:val="000000" w:themeColor="text1"/>
                <w:sz w:val="24"/>
                <w:szCs w:val="24"/>
                <w:highlight w:val="none"/>
                <w:lang w:eastAsia="zh-CN" w:bidi="ar"/>
                <w14:textFill>
                  <w14:solidFill>
                    <w14:schemeClr w14:val="tx1"/>
                  </w14:solidFill>
                </w14:textFill>
              </w:rPr>
              <w:t>.椅子整体规格</w:t>
            </w:r>
            <w: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t>(约)</w:t>
            </w:r>
            <w:r>
              <w:rPr>
                <w:rFonts w:hint="eastAsia" w:ascii="仿宋" w:hAnsi="仿宋" w:eastAsia="仿宋" w:cs="仿宋"/>
                <w:color w:val="000000" w:themeColor="text1"/>
                <w:sz w:val="24"/>
                <w:szCs w:val="24"/>
                <w:highlight w:val="none"/>
                <w:lang w:eastAsia="zh-CN" w:bidi="ar"/>
                <w14:textFill>
                  <w14:solidFill>
                    <w14:schemeClr w14:val="tx1"/>
                  </w14:solidFill>
                </w14:textFill>
              </w:rPr>
              <w:t>：590mm*970mm*510mm。</w:t>
            </w:r>
          </w:p>
          <w:p w14:paraId="130CC683">
            <w:pPr>
              <w:textAlignment w:val="cente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Fonts w:hint="eastAsia" w:ascii="仿宋" w:hAnsi="仿宋" w:eastAsia="仿宋" w:cs="仿宋"/>
                <w:color w:val="000000" w:themeColor="text1"/>
                <w:sz w:val="24"/>
                <w:szCs w:val="24"/>
                <w:highlight w:val="none"/>
                <w:lang w:val="en-US" w:eastAsia="zh-CN" w:bidi="ar"/>
                <w14:textFill>
                  <w14:solidFill>
                    <w14:schemeClr w14:val="tx1"/>
                  </w14:solidFill>
                </w14:textFill>
              </w:rPr>
              <w:t>9</w:t>
            </w:r>
            <w:r>
              <w:rPr>
                <w:rFonts w:hint="eastAsia" w:ascii="仿宋" w:hAnsi="仿宋" w:eastAsia="仿宋" w:cs="仿宋"/>
                <w:color w:val="000000" w:themeColor="text1"/>
                <w:sz w:val="24"/>
                <w:szCs w:val="24"/>
                <w:highlight w:val="none"/>
                <w:lang w:eastAsia="zh-CN" w:bidi="ar"/>
                <w14:textFill>
                  <w14:solidFill>
                    <w14:schemeClr w14:val="tx1"/>
                  </w14:solidFill>
                </w14:textFill>
              </w:rPr>
              <w:t>.材质：</w:t>
            </w:r>
            <w:r>
              <w:rPr>
                <w:rFonts w:hint="eastAsia" w:ascii="仿宋" w:hAnsi="仿宋" w:eastAsia="仿宋" w:cs="仿宋"/>
                <w:color w:val="000000" w:themeColor="text1"/>
                <w:sz w:val="24"/>
                <w:szCs w:val="24"/>
                <w:highlight w:val="none"/>
                <w:lang w:val="en-US" w:eastAsia="zh-CN" w:bidi="ar"/>
                <w14:textFill>
                  <w14:solidFill>
                    <w14:schemeClr w14:val="tx1"/>
                  </w14:solidFill>
                </w14:textFill>
              </w:rPr>
              <w:t>采用</w:t>
            </w:r>
            <w:r>
              <w:rPr>
                <w:rFonts w:hint="eastAsia" w:ascii="仿宋" w:hAnsi="仿宋" w:eastAsia="仿宋" w:cs="仿宋"/>
                <w:color w:val="000000" w:themeColor="text1"/>
                <w:sz w:val="24"/>
                <w:szCs w:val="24"/>
                <w:highlight w:val="none"/>
                <w:lang w:eastAsia="zh-CN" w:bidi="ar"/>
                <w14:textFill>
                  <w14:solidFill>
                    <w14:schemeClr w14:val="tx1"/>
                  </w14:solidFill>
                </w14:textFill>
              </w:rPr>
              <w:t>高透气网布、耐磨座布、高透气网布靠背、高密度定型海棉带座壳、PP加纤扶手。</w:t>
            </w:r>
          </w:p>
        </w:tc>
        <w:tc>
          <w:tcPr>
            <w:tcW w:w="786" w:type="dxa"/>
            <w:noWrap w:val="0"/>
            <w:vAlign w:val="center"/>
          </w:tcPr>
          <w:p w14:paraId="5659F9F6">
            <w:pPr>
              <w:keepNext w:val="0"/>
              <w:keepLines w:val="0"/>
              <w:widowControl/>
              <w:suppressLineNumbers w:val="0"/>
              <w:jc w:val="center"/>
              <w:textAlignment w:val="center"/>
              <w:rPr>
                <w:rFonts w:hint="eastAsia" w:ascii="仿宋" w:hAnsi="仿宋" w:eastAsia="仿宋" w:cs="仿宋"/>
                <w:b/>
                <w:bCs/>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w:t>
            </w:r>
          </w:p>
        </w:tc>
        <w:tc>
          <w:tcPr>
            <w:tcW w:w="751" w:type="dxa"/>
            <w:noWrap w:val="0"/>
            <w:vAlign w:val="center"/>
          </w:tcPr>
          <w:p w14:paraId="558B3F3B">
            <w:pPr>
              <w:keepNext w:val="0"/>
              <w:keepLines w:val="0"/>
              <w:widowControl/>
              <w:suppressLineNumbers w:val="0"/>
              <w:jc w:val="center"/>
              <w:textAlignment w:val="center"/>
              <w:rPr>
                <w:rFonts w:hint="eastAsia" w:ascii="仿宋" w:hAnsi="仿宋" w:eastAsia="仿宋" w:cs="仿宋"/>
                <w:b/>
                <w:bCs/>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套</w:t>
            </w:r>
          </w:p>
        </w:tc>
      </w:tr>
      <w:tr w14:paraId="1C5EE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6" w:hRule="atLeast"/>
          <w:jc w:val="center"/>
        </w:trPr>
        <w:tc>
          <w:tcPr>
            <w:tcW w:w="809" w:type="dxa"/>
            <w:noWrap w:val="0"/>
            <w:vAlign w:val="center"/>
          </w:tcPr>
          <w:p w14:paraId="1596DD56">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t>10</w:t>
            </w:r>
          </w:p>
        </w:tc>
        <w:tc>
          <w:tcPr>
            <w:tcW w:w="1426" w:type="dxa"/>
            <w:noWrap w:val="0"/>
            <w:vAlign w:val="center"/>
          </w:tcPr>
          <w:p w14:paraId="2A4AABB8">
            <w:pPr>
              <w:keepNext w:val="0"/>
              <w:keepLines w:val="0"/>
              <w:widowControl/>
              <w:suppressLineNumbers w:val="0"/>
              <w:jc w:val="center"/>
              <w:textAlignment w:val="center"/>
              <w:rPr>
                <w:rFonts w:hint="eastAsia" w:ascii="仿宋" w:hAnsi="仿宋" w:eastAsia="仿宋" w:cs="仿宋"/>
                <w:b/>
                <w:bCs/>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双人学生桌凳</w:t>
            </w:r>
          </w:p>
        </w:tc>
        <w:tc>
          <w:tcPr>
            <w:tcW w:w="6122" w:type="dxa"/>
            <w:noWrap w:val="0"/>
            <w:vAlign w:val="center"/>
          </w:tcPr>
          <w:p w14:paraId="2423B835">
            <w:pPr>
              <w:keepNext w:val="0"/>
              <w:keepLines w:val="0"/>
              <w:widowControl/>
              <w:suppressLineNumbers w:val="0"/>
              <w:jc w:val="left"/>
              <w:textAlignment w:val="cente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一、学生桌：</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1.桌子</w:t>
            </w:r>
            <w:r>
              <w:rPr>
                <w:rFonts w:hint="eastAsia" w:ascii="仿宋" w:hAnsi="仿宋" w:eastAsia="仿宋" w:cs="仿宋"/>
                <w:color w:val="000000" w:themeColor="text1"/>
                <w:sz w:val="24"/>
                <w:szCs w:val="24"/>
                <w:highlight w:val="none"/>
                <w:lang w:eastAsia="zh-CN" w:bidi="ar"/>
                <w14:textFill>
                  <w14:solidFill>
                    <w14:schemeClr w14:val="tx1"/>
                  </w14:solidFill>
                </w14:textFill>
              </w:rPr>
              <w:t>整体规格</w:t>
            </w:r>
            <w: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t>(约)</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：1200mm*600mm*750mm。</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2.材料:桌面采用厚度≥25mm中密度板；支架采用≥50mm*15mm管材，管材厚度≥1.2mm，钢材表面经静电喷塑处理；桌子档板为≥0.6mm钢板冲压成型；桌架带可调节地脚。</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3.桌面板采用环保材料制作，具有耐磨，耐热、耐酸碱，耐烟灼，耐撞击等性能，色彩鲜艳，花式逼真。</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4.配备塑料静音防滑胶垫。</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二、学生凳：</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5.结构：全钢架构焊接小方凳。。</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6.凳面整体尺寸</w:t>
            </w:r>
            <w: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t>(约)</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：340mm*240mm。</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7.凳面采用厚度≥25mm三聚氰胺板。</w:t>
            </w:r>
          </w:p>
        </w:tc>
        <w:tc>
          <w:tcPr>
            <w:tcW w:w="786" w:type="dxa"/>
            <w:noWrap w:val="0"/>
            <w:vAlign w:val="center"/>
          </w:tcPr>
          <w:p w14:paraId="4178031A">
            <w:pPr>
              <w:keepNext w:val="0"/>
              <w:keepLines w:val="0"/>
              <w:widowControl/>
              <w:suppressLineNumbers w:val="0"/>
              <w:jc w:val="center"/>
              <w:textAlignment w:val="center"/>
              <w:rPr>
                <w:rFonts w:hint="eastAsia" w:ascii="仿宋" w:hAnsi="仿宋" w:eastAsia="仿宋" w:cs="仿宋"/>
                <w:b/>
                <w:bCs/>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25</w:t>
            </w:r>
          </w:p>
        </w:tc>
        <w:tc>
          <w:tcPr>
            <w:tcW w:w="751" w:type="dxa"/>
            <w:noWrap w:val="0"/>
            <w:vAlign w:val="center"/>
          </w:tcPr>
          <w:p w14:paraId="3B366B12">
            <w:pPr>
              <w:keepNext w:val="0"/>
              <w:keepLines w:val="0"/>
              <w:widowControl/>
              <w:suppressLineNumbers w:val="0"/>
              <w:jc w:val="center"/>
              <w:textAlignment w:val="center"/>
              <w:rPr>
                <w:rFonts w:hint="eastAsia" w:ascii="仿宋" w:hAnsi="仿宋" w:eastAsia="仿宋" w:cs="仿宋"/>
                <w:b/>
                <w:bCs/>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套</w:t>
            </w:r>
          </w:p>
        </w:tc>
      </w:tr>
      <w:tr w14:paraId="6A731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7" w:hRule="atLeast"/>
          <w:jc w:val="center"/>
        </w:trPr>
        <w:tc>
          <w:tcPr>
            <w:tcW w:w="809" w:type="dxa"/>
            <w:noWrap w:val="0"/>
            <w:vAlign w:val="center"/>
          </w:tcPr>
          <w:p w14:paraId="7E610AF2">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t>11</w:t>
            </w:r>
          </w:p>
        </w:tc>
        <w:tc>
          <w:tcPr>
            <w:tcW w:w="1426" w:type="dxa"/>
            <w:noWrap w:val="0"/>
            <w:vAlign w:val="center"/>
          </w:tcPr>
          <w:p w14:paraId="5196C665">
            <w:pPr>
              <w:keepNext w:val="0"/>
              <w:keepLines w:val="0"/>
              <w:widowControl/>
              <w:suppressLineNumbers w:val="0"/>
              <w:jc w:val="center"/>
              <w:textAlignment w:val="center"/>
              <w:rPr>
                <w:rFonts w:hint="eastAsia" w:ascii="仿宋" w:hAnsi="仿宋" w:eastAsia="仿宋" w:cs="仿宋"/>
                <w:b/>
                <w:bCs/>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防静电地板</w:t>
            </w:r>
          </w:p>
        </w:tc>
        <w:tc>
          <w:tcPr>
            <w:tcW w:w="6122" w:type="dxa"/>
            <w:noWrap w:val="0"/>
            <w:vAlign w:val="center"/>
          </w:tcPr>
          <w:p w14:paraId="2F8219AF">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t>1.整体规格(约)：600mm*600mm*35mm。</w:t>
            </w:r>
            <w: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br w:type="textWrapping"/>
            </w:r>
            <w: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t>2.全钢基材，钢板壳结构，内腔填充425发泡水泥，表面为陶瓷面层，四周经导电边条封边。</w:t>
            </w:r>
            <w: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br w:type="textWrapping"/>
            </w:r>
            <w: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t>3.中心载荷：≥1960N。</w:t>
            </w:r>
            <w: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br w:type="textWrapping"/>
            </w:r>
            <w: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t>4.全钢材质支架，经镀锌防锈处理，上托板≥68mm*68mm*3mm、下托板≥85mm*85mm*2mm、管径≥25mm、高度支持100mm-300mm可调节。</w:t>
            </w:r>
            <w: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br w:type="textWrapping"/>
            </w:r>
            <w: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t>5.横梁≥570mm*20mm*30mm，壁厚≥0.8mm。</w:t>
            </w:r>
          </w:p>
        </w:tc>
        <w:tc>
          <w:tcPr>
            <w:tcW w:w="786" w:type="dxa"/>
            <w:noWrap w:val="0"/>
            <w:vAlign w:val="center"/>
          </w:tcPr>
          <w:p w14:paraId="42FD1CA3">
            <w:pPr>
              <w:keepNext w:val="0"/>
              <w:keepLines w:val="0"/>
              <w:widowControl/>
              <w:suppressLineNumbers w:val="0"/>
              <w:jc w:val="center"/>
              <w:textAlignment w:val="center"/>
              <w:rPr>
                <w:rFonts w:hint="eastAsia" w:ascii="仿宋" w:hAnsi="仿宋" w:eastAsia="仿宋" w:cs="仿宋"/>
                <w:b/>
                <w:bCs/>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75</w:t>
            </w:r>
          </w:p>
        </w:tc>
        <w:tc>
          <w:tcPr>
            <w:tcW w:w="751" w:type="dxa"/>
            <w:noWrap w:val="0"/>
            <w:vAlign w:val="center"/>
          </w:tcPr>
          <w:p w14:paraId="617B4A07">
            <w:pPr>
              <w:keepNext w:val="0"/>
              <w:keepLines w:val="0"/>
              <w:widowControl/>
              <w:suppressLineNumbers w:val="0"/>
              <w:jc w:val="center"/>
              <w:textAlignment w:val="center"/>
              <w:rPr>
                <w:rFonts w:hint="eastAsia" w:ascii="仿宋" w:hAnsi="仿宋" w:eastAsia="仿宋" w:cs="仿宋"/>
                <w:b/>
                <w:bCs/>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w:t>
            </w:r>
          </w:p>
        </w:tc>
      </w:tr>
      <w:tr w14:paraId="051DE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809" w:type="dxa"/>
            <w:noWrap w:val="0"/>
            <w:vAlign w:val="center"/>
          </w:tcPr>
          <w:p w14:paraId="613F4F74">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pPr>
          </w:p>
        </w:tc>
        <w:tc>
          <w:tcPr>
            <w:tcW w:w="8334" w:type="dxa"/>
            <w:gridSpan w:val="3"/>
            <w:noWrap w:val="0"/>
            <w:vAlign w:val="center"/>
          </w:tcPr>
          <w:p w14:paraId="37FD01A6">
            <w:pPr>
              <w:keepNext w:val="0"/>
              <w:keepLines w:val="0"/>
              <w:widowControl/>
              <w:suppressLineNumbers w:val="0"/>
              <w:jc w:val="both"/>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b w:val="0"/>
                <w:bCs w:val="0"/>
                <w:i w:val="0"/>
                <w:iCs w:val="0"/>
                <w:color w:val="000000" w:themeColor="text1"/>
                <w:kern w:val="0"/>
                <w:sz w:val="24"/>
                <w:szCs w:val="24"/>
                <w:highlight w:val="none"/>
                <w:u w:val="none"/>
                <w:lang w:val="en-US" w:eastAsia="zh-CN" w:bidi="ar"/>
                <w14:textFill>
                  <w14:solidFill>
                    <w14:schemeClr w14:val="tx1"/>
                  </w14:solidFill>
                </w14:textFill>
              </w:rPr>
              <w:t>配套标的：</w:t>
            </w:r>
          </w:p>
        </w:tc>
        <w:tc>
          <w:tcPr>
            <w:tcW w:w="751" w:type="dxa"/>
            <w:noWrap w:val="0"/>
            <w:vAlign w:val="center"/>
          </w:tcPr>
          <w:p w14:paraId="29899EF3">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p>
        </w:tc>
      </w:tr>
      <w:tr w14:paraId="42F69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0" w:hRule="atLeast"/>
          <w:jc w:val="center"/>
        </w:trPr>
        <w:tc>
          <w:tcPr>
            <w:tcW w:w="809" w:type="dxa"/>
            <w:noWrap w:val="0"/>
            <w:vAlign w:val="center"/>
          </w:tcPr>
          <w:p w14:paraId="1858C427">
            <w:pPr>
              <w:keepNext w:val="0"/>
              <w:keepLines w:val="0"/>
              <w:pageBreakBefore w:val="0"/>
              <w:widowControl w:val="0"/>
              <w:kinsoku/>
              <w:wordWrap/>
              <w:overflowPunct/>
              <w:topLinePunct w:val="0"/>
              <w:autoSpaceDE/>
              <w:autoSpaceDN/>
              <w:bidi w:val="0"/>
              <w:adjustRightInd/>
              <w:snapToGrid/>
              <w:jc w:val="center"/>
              <w:textAlignment w:val="auto"/>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t>12</w:t>
            </w:r>
          </w:p>
        </w:tc>
        <w:tc>
          <w:tcPr>
            <w:tcW w:w="1426" w:type="dxa"/>
            <w:noWrap w:val="0"/>
            <w:vAlign w:val="center"/>
          </w:tcPr>
          <w:p w14:paraId="25F56CDA">
            <w:pPr>
              <w:keepNext w:val="0"/>
              <w:keepLines w:val="0"/>
              <w:widowControl/>
              <w:suppressLineNumbers w:val="0"/>
              <w:jc w:val="center"/>
              <w:textAlignment w:val="center"/>
              <w:rPr>
                <w:rFonts w:hint="eastAsia" w:ascii="仿宋" w:hAnsi="仿宋" w:eastAsia="仿宋" w:cs="仿宋"/>
                <w:b/>
                <w:bCs/>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室内改造</w:t>
            </w:r>
          </w:p>
        </w:tc>
        <w:tc>
          <w:tcPr>
            <w:tcW w:w="6122" w:type="dxa"/>
            <w:noWrap w:val="0"/>
            <w:vAlign w:val="center"/>
          </w:tcPr>
          <w:p w14:paraId="65927BA3">
            <w:pPr>
              <w:keepNext w:val="0"/>
              <w:keepLines w:val="0"/>
              <w:pageBreakBefore w:val="0"/>
              <w:widowControl/>
              <w:suppressLineNumbers w:val="0"/>
              <w:kinsoku/>
              <w:wordWrap/>
              <w:overflowPunct/>
              <w:topLinePunct w:val="0"/>
              <w:autoSpaceDE/>
              <w:autoSpaceDN/>
              <w:bidi w:val="0"/>
              <w:adjustRightInd/>
              <w:snapToGrid/>
              <w:spacing w:line="216" w:lineRule="auto"/>
              <w:jc w:val="left"/>
              <w:textAlignment w:val="cente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1.顶、地面原涂层局部铲除、修补。</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2.顶、地面局部刮白。</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br w:type="textWrapping"/>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3.地面设备用电、网络通讯布线</w:t>
            </w:r>
            <w:r>
              <w:rPr>
                <w:rStyle w:val="11"/>
                <w:rFonts w:hint="eastAsia" w:ascii="仿宋" w:hAnsi="仿宋" w:eastAsia="仿宋" w:cs="仿宋"/>
                <w:color w:val="000000" w:themeColor="text1"/>
                <w:sz w:val="24"/>
                <w:szCs w:val="24"/>
                <w:highlight w:val="none"/>
                <w:lang w:val="en-US" w:eastAsia="zh-CN" w:bidi="ar"/>
                <w14:textFill>
                  <w14:solidFill>
                    <w14:schemeClr w14:val="tx1"/>
                  </w14:solidFill>
                </w14:textFill>
              </w:rPr>
              <w:t>。</w:t>
            </w:r>
          </w:p>
        </w:tc>
        <w:tc>
          <w:tcPr>
            <w:tcW w:w="786" w:type="dxa"/>
            <w:noWrap w:val="0"/>
            <w:vAlign w:val="center"/>
          </w:tcPr>
          <w:p w14:paraId="283FF174">
            <w:pPr>
              <w:keepNext w:val="0"/>
              <w:keepLines w:val="0"/>
              <w:widowControl/>
              <w:suppressLineNumbers w:val="0"/>
              <w:jc w:val="center"/>
              <w:textAlignment w:val="center"/>
              <w:rPr>
                <w:rFonts w:hint="eastAsia" w:ascii="仿宋" w:hAnsi="仿宋" w:eastAsia="仿宋" w:cs="仿宋"/>
                <w:b/>
                <w:bCs/>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75</w:t>
            </w:r>
          </w:p>
        </w:tc>
        <w:tc>
          <w:tcPr>
            <w:tcW w:w="751" w:type="dxa"/>
            <w:noWrap w:val="0"/>
            <w:vAlign w:val="center"/>
          </w:tcPr>
          <w:p w14:paraId="2B5303BA">
            <w:pPr>
              <w:jc w:val="center"/>
              <w:rPr>
                <w:rFonts w:hint="eastAsia" w:ascii="仿宋" w:hAnsi="仿宋" w:eastAsia="仿宋" w:cs="仿宋"/>
                <w:b/>
                <w:bCs/>
                <w:color w:val="000000" w:themeColor="text1"/>
                <w:sz w:val="24"/>
                <w:szCs w:val="24"/>
                <w:highlight w:val="none"/>
                <w:vertAlign w:val="baseline"/>
                <w:lang w:val="en-US" w:eastAsia="zh-CN"/>
                <w14:textFill>
                  <w14:solidFill>
                    <w14:schemeClr w14:val="tx1"/>
                  </w14:solidFill>
                </w14:textFill>
              </w:rPr>
            </w:pPr>
            <w:r>
              <w:rPr>
                <w:rFonts w:hint="eastAsia" w:ascii="仿宋" w:hAnsi="仿宋" w:eastAsia="仿宋" w:cs="仿宋"/>
                <w:b w:val="0"/>
                <w:bCs w:val="0"/>
                <w:color w:val="000000" w:themeColor="text1"/>
                <w:sz w:val="24"/>
                <w:szCs w:val="24"/>
                <w:highlight w:val="none"/>
                <w:vertAlign w:val="baseline"/>
                <w:lang w:val="en-US" w:eastAsia="zh-CN"/>
                <w14:textFill>
                  <w14:solidFill>
                    <w14:schemeClr w14:val="tx1"/>
                  </w14:solidFill>
                </w14:textFill>
              </w:rPr>
              <w:t>㎡</w:t>
            </w:r>
          </w:p>
        </w:tc>
      </w:tr>
      <w:tr w14:paraId="6B6CB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94" w:type="dxa"/>
            <w:gridSpan w:val="5"/>
            <w:noWrap w:val="0"/>
            <w:vAlign w:val="center"/>
          </w:tcPr>
          <w:p w14:paraId="1E15A163">
            <w:pPr>
              <w:keepNext w:val="0"/>
              <w:keepLines w:val="0"/>
              <w:widowControl/>
              <w:suppressLineNumbers w:val="0"/>
              <w:jc w:val="both"/>
              <w:textAlignment w:val="center"/>
              <w:rPr>
                <w:rFonts w:hint="eastAsia" w:ascii="仿宋" w:hAnsi="仿宋" w:eastAsia="仿宋" w:cs="仿宋"/>
                <w:b w:val="0"/>
                <w:bCs/>
                <w:color w:val="000000" w:themeColor="text1"/>
                <w:kern w:val="2"/>
                <w:sz w:val="22"/>
                <w:szCs w:val="22"/>
                <w:highlight w:val="none"/>
                <w:lang w:val="en-US" w:eastAsia="zh-CN" w:bidi="ar-SA"/>
                <w14:textFill>
                  <w14:solidFill>
                    <w14:schemeClr w14:val="tx1"/>
                  </w14:solidFill>
                </w14:textFill>
              </w:rPr>
            </w:pPr>
            <w:r>
              <w:rPr>
                <w:rFonts w:hint="eastAsia" w:ascii="仿宋" w:hAnsi="仿宋" w:eastAsia="仿宋" w:cs="仿宋"/>
                <w:b w:val="0"/>
                <w:bCs/>
                <w:color w:val="000000" w:themeColor="text1"/>
                <w:kern w:val="2"/>
                <w:sz w:val="22"/>
                <w:szCs w:val="22"/>
                <w:highlight w:val="none"/>
                <w:lang w:val="en-US" w:eastAsia="zh-CN" w:bidi="ar-SA"/>
                <w14:textFill>
                  <w14:solidFill>
                    <w14:schemeClr w14:val="tx1"/>
                  </w14:solidFill>
                </w14:textFill>
              </w:rPr>
              <w:t>说明：1.需求清单中带“★”的参数指标均应以要求的形式(如“★”的参数指标无形式要求的，可提供不限于原厂印刷的产品说明书、制造商官方网站截图、第三方机构检验报告、带标识(说明)的功能截图等任意形式)提供相应的证明材料。任意一条带“★”的参数指标未响应或者不满足的，将按无效响应处理。</w:t>
            </w:r>
          </w:p>
          <w:p w14:paraId="39318977">
            <w:pPr>
              <w:keepNext w:val="0"/>
              <w:keepLines w:val="0"/>
              <w:widowControl/>
              <w:suppressLineNumbers w:val="0"/>
              <w:jc w:val="both"/>
              <w:textAlignment w:val="center"/>
              <w:rPr>
                <w:rFonts w:hint="eastAsia" w:ascii="仿宋" w:hAnsi="仿宋" w:eastAsia="仿宋" w:cs="仿宋"/>
                <w:b w:val="0"/>
                <w:bCs/>
                <w:color w:val="000000" w:themeColor="text1"/>
                <w:kern w:val="2"/>
                <w:sz w:val="22"/>
                <w:szCs w:val="22"/>
                <w:highlight w:val="none"/>
                <w:lang w:val="en-US" w:eastAsia="zh-CN" w:bidi="ar-SA"/>
                <w14:textFill>
                  <w14:solidFill>
                    <w14:schemeClr w14:val="tx1"/>
                  </w14:solidFill>
                </w14:textFill>
              </w:rPr>
            </w:pPr>
            <w:r>
              <w:rPr>
                <w:rFonts w:hint="eastAsia" w:ascii="仿宋" w:hAnsi="仿宋" w:eastAsia="仿宋" w:cs="仿宋"/>
                <w:b w:val="0"/>
                <w:bCs/>
                <w:color w:val="000000" w:themeColor="text1"/>
                <w:kern w:val="2"/>
                <w:sz w:val="22"/>
                <w:szCs w:val="22"/>
                <w:highlight w:val="none"/>
                <w:lang w:val="en-US" w:eastAsia="zh-CN" w:bidi="ar-SA"/>
                <w14:textFill>
                  <w14:solidFill>
                    <w14:schemeClr w14:val="tx1"/>
                  </w14:solidFill>
                </w14:textFill>
              </w:rPr>
              <w:t>2.需求清单中有关标的的整体规格、尺寸、体积、面积等表述要求，供应商所投产品整体的偏差应符合行业通用公差要求并满足实际使用需求。</w:t>
            </w:r>
          </w:p>
          <w:p w14:paraId="3717B438">
            <w:pPr>
              <w:keepNext w:val="0"/>
              <w:keepLines w:val="0"/>
              <w:widowControl/>
              <w:suppressLineNumbers w:val="0"/>
              <w:jc w:val="both"/>
              <w:textAlignment w:val="center"/>
              <w:rPr>
                <w:rFonts w:hint="eastAsia" w:ascii="宋体" w:hAnsi="宋体" w:eastAsia="宋体" w:cs="宋体"/>
                <w:b/>
                <w:bCs/>
                <w:color w:val="000000" w:themeColor="text1"/>
                <w:sz w:val="21"/>
                <w:szCs w:val="21"/>
                <w:highlight w:val="none"/>
                <w:vertAlign w:val="baseline"/>
                <w:lang w:val="en-US" w:eastAsia="zh-CN"/>
                <w14:textFill>
                  <w14:solidFill>
                    <w14:schemeClr w14:val="tx1"/>
                  </w14:solidFill>
                </w14:textFill>
              </w:rPr>
            </w:pPr>
            <w:r>
              <w:rPr>
                <w:rFonts w:hint="eastAsia" w:ascii="仿宋" w:hAnsi="仿宋" w:eastAsia="仿宋" w:cs="仿宋"/>
                <w:b w:val="0"/>
                <w:bCs/>
                <w:color w:val="000000" w:themeColor="text1"/>
                <w:kern w:val="2"/>
                <w:sz w:val="22"/>
                <w:szCs w:val="22"/>
                <w:highlight w:val="none"/>
                <w:lang w:val="en-US" w:eastAsia="zh-CN" w:bidi="ar-SA"/>
                <w14:textFill>
                  <w14:solidFill>
                    <w14:schemeClr w14:val="tx1"/>
                  </w14:solidFill>
                </w14:textFill>
              </w:rPr>
              <w:t>3.需求清单中的</w:t>
            </w:r>
            <w:r>
              <w:rPr>
                <w:rFonts w:hint="eastAsia" w:ascii="仿宋" w:hAnsi="仿宋" w:eastAsia="仿宋" w:cs="仿宋"/>
                <w:b w:val="0"/>
                <w:bCs/>
                <w:color w:val="000000" w:themeColor="text1"/>
                <w:kern w:val="2"/>
                <w:sz w:val="22"/>
                <w:szCs w:val="22"/>
                <w:highlight w:val="none"/>
                <w:lang w:val="en-CA" w:eastAsia="zh-CN" w:bidi="ar-SA"/>
                <w14:textFill>
                  <w14:solidFill>
                    <w14:schemeClr w14:val="tx1"/>
                  </w14:solidFill>
                </w14:textFill>
              </w:rPr>
              <w:t>“支持...；具备...；配备...”等描述，为已具备的功能要求，且后期使用费用包含在响应报价中。</w:t>
            </w:r>
          </w:p>
        </w:tc>
      </w:tr>
    </w:tbl>
    <w:p w14:paraId="1BBD939E">
      <w:pPr>
        <w:rPr>
          <w:color w:val="000000" w:themeColor="text1"/>
          <w:highlight w:val="none"/>
          <w14:textFill>
            <w14:solidFill>
              <w14:schemeClr w14:val="tx1"/>
            </w14:solidFill>
          </w14:textFill>
        </w:rPr>
      </w:pPr>
    </w:p>
    <w:p w14:paraId="67D0CEEA"/>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9EA349D"/>
    <w:rsid w:val="19EA34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3">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4">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9">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paragraph" w:styleId="5">
    <w:name w:val="Plain Text"/>
    <w:basedOn w:val="1"/>
    <w:qFormat/>
    <w:uiPriority w:val="0"/>
    <w:rPr>
      <w:rFonts w:ascii="宋体" w:hAnsi="Courier New" w:cs="Courier New"/>
      <w:szCs w:val="21"/>
    </w:rPr>
  </w:style>
  <w:style w:type="paragraph" w:styleId="6">
    <w:name w:val="Normal (Web)"/>
    <w:basedOn w:val="1"/>
    <w:uiPriority w:val="0"/>
    <w:pPr>
      <w:spacing w:before="0" w:beforeAutospacing="1" w:after="0" w:afterAutospacing="1"/>
      <w:ind w:left="0" w:right="0"/>
      <w:jc w:val="left"/>
    </w:pPr>
    <w:rPr>
      <w:kern w:val="0"/>
      <w:sz w:val="24"/>
      <w:lang w:val="en-US" w:eastAsia="zh-CN" w:bidi="ar"/>
    </w:rPr>
  </w:style>
  <w:style w:type="table" w:styleId="8">
    <w:name w:val="Table Grid"/>
    <w:basedOn w:val="7"/>
    <w:qFormat/>
    <w:uiPriority w:val="39"/>
    <w:rPr>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0">
    <w:name w:val="Strong"/>
    <w:basedOn w:val="9"/>
    <w:qFormat/>
    <w:uiPriority w:val="0"/>
    <w:rPr>
      <w:b/>
    </w:rPr>
  </w:style>
  <w:style w:type="character" w:customStyle="1" w:styleId="11">
    <w:name w:val="font41"/>
    <w:basedOn w:val="9"/>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16</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2026-09-07T01:29:00Z</dcterms:created>
  <dc:creator>杜航</dc:creator>
  <cp:lastModifiedBy>杜航</cp:lastModifiedBy>
  <dcterms:modified xsi:type="dcterms:W3CDTF">2026-09-07T01:30:38Z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A12725EFB92C48E78EA368D743C91630_11</vt:lpwstr>
  </property>
  <property fmtid="{D5CDD505-2E9C-101B-9397-08002B2CF9AE}" pid="4" name="KSOTemplateDocerSaveRecord">
    <vt:lpwstr>eyJoZGlkIjoiNGVjNGI1ZWQxMDUyODY5ZDAxOTAyNjljNjE1NWUwNGQiLCJ1c2VySWQiOiIzMDgwODY2MDYifQ==</vt:lpwstr>
  </property>
</Properties>
</file>