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E11FA3">
      <w:pPr>
        <w:pStyle w:val="11"/>
        <w:ind w:firstLine="552"/>
        <w:rPr>
          <w:rFonts w:hint="eastAsia"/>
          <w:sz w:val="28"/>
          <w:szCs w:val="28"/>
        </w:rPr>
      </w:pPr>
      <w:r>
        <w:rPr>
          <w:sz w:val="28"/>
          <w:szCs w:val="28"/>
        </w:rPr>
        <w:t xml:space="preserve">合同编号: </w:t>
      </w:r>
    </w:p>
    <w:p w14:paraId="2F8781F7">
      <w:pPr>
        <w:pStyle w:val="11"/>
        <w:rPr>
          <w:rFonts w:hint="eastAsia"/>
        </w:rPr>
      </w:pPr>
    </w:p>
    <w:p w14:paraId="6EE56F12">
      <w:pPr>
        <w:ind w:right="357"/>
        <w:jc w:val="center"/>
        <w:rPr>
          <w:rFonts w:hint="eastAsia"/>
          <w:b/>
          <w:spacing w:val="-5"/>
          <w:sz w:val="44"/>
        </w:rPr>
      </w:pPr>
    </w:p>
    <w:p w14:paraId="0A127F31">
      <w:pPr>
        <w:ind w:right="357"/>
        <w:jc w:val="center"/>
        <w:rPr>
          <w:rFonts w:hint="eastAsia"/>
          <w:b/>
          <w:spacing w:val="-5"/>
          <w:sz w:val="44"/>
        </w:rPr>
      </w:pPr>
    </w:p>
    <w:p w14:paraId="3BA932B5">
      <w:pPr>
        <w:ind w:right="357"/>
        <w:jc w:val="center"/>
        <w:rPr>
          <w:rFonts w:hint="eastAsia"/>
          <w:b/>
          <w:spacing w:val="-5"/>
          <w:sz w:val="44"/>
        </w:rPr>
      </w:pPr>
      <w:r>
        <w:rPr>
          <w:b/>
          <w:spacing w:val="-5"/>
          <w:sz w:val="44"/>
        </w:rPr>
        <w:t>陕西省疾病预防控制中心</w:t>
      </w:r>
    </w:p>
    <w:p w14:paraId="7C919AB9">
      <w:pPr>
        <w:ind w:right="357"/>
        <w:jc w:val="center"/>
        <w:rPr>
          <w:rFonts w:hint="eastAsia"/>
          <w:b/>
          <w:sz w:val="44"/>
        </w:rPr>
      </w:pPr>
      <w:r>
        <w:rPr>
          <w:rFonts w:hint="eastAsia"/>
          <w:b/>
          <w:spacing w:val="-5"/>
          <w:sz w:val="44"/>
        </w:rPr>
        <w:t>XX</w:t>
      </w:r>
      <w:r>
        <w:rPr>
          <w:b/>
          <w:spacing w:val="-5"/>
          <w:sz w:val="44"/>
        </w:rPr>
        <w:t>采购项目合同</w:t>
      </w:r>
    </w:p>
    <w:p w14:paraId="78E99BAC">
      <w:pPr>
        <w:spacing w:before="479"/>
        <w:ind w:right="359"/>
        <w:jc w:val="center"/>
        <w:rPr>
          <w:rFonts w:hint="eastAsia"/>
          <w:b/>
          <w:sz w:val="36"/>
        </w:rPr>
      </w:pPr>
      <w:r>
        <w:rPr>
          <w:b/>
          <w:sz w:val="36"/>
        </w:rPr>
        <w:t>（示范文本</w:t>
      </w:r>
      <w:r>
        <w:rPr>
          <w:b/>
          <w:spacing w:val="-10"/>
          <w:sz w:val="36"/>
        </w:rPr>
        <w:t>）</w:t>
      </w:r>
    </w:p>
    <w:p w14:paraId="3506080D">
      <w:pPr>
        <w:pStyle w:val="11"/>
        <w:rPr>
          <w:rFonts w:hint="eastAsia"/>
        </w:rPr>
      </w:pPr>
    </w:p>
    <w:p w14:paraId="436FAA39">
      <w:pPr>
        <w:pStyle w:val="11"/>
        <w:rPr>
          <w:rFonts w:hint="eastAsia"/>
        </w:rPr>
      </w:pPr>
    </w:p>
    <w:p w14:paraId="2DE21BD5">
      <w:pPr>
        <w:pStyle w:val="11"/>
        <w:rPr>
          <w:rFonts w:hint="eastAsia"/>
        </w:rPr>
      </w:pPr>
    </w:p>
    <w:p w14:paraId="56528D06">
      <w:pPr>
        <w:pStyle w:val="11"/>
        <w:rPr>
          <w:rFonts w:hint="eastAsia"/>
        </w:rPr>
      </w:pPr>
    </w:p>
    <w:p w14:paraId="37F9066F">
      <w:pPr>
        <w:pStyle w:val="11"/>
        <w:rPr>
          <w:rFonts w:hint="eastAsia"/>
        </w:rPr>
      </w:pPr>
    </w:p>
    <w:p w14:paraId="67788F56">
      <w:pPr>
        <w:pStyle w:val="11"/>
        <w:rPr>
          <w:rFonts w:hint="eastAsia"/>
        </w:rPr>
      </w:pPr>
    </w:p>
    <w:p w14:paraId="171FCD3B">
      <w:pPr>
        <w:pStyle w:val="11"/>
        <w:rPr>
          <w:rFonts w:hint="eastAsia"/>
        </w:rPr>
      </w:pPr>
    </w:p>
    <w:p w14:paraId="3A1114FE">
      <w:pPr>
        <w:pStyle w:val="11"/>
        <w:rPr>
          <w:rFonts w:hint="eastAsia"/>
        </w:rPr>
      </w:pPr>
    </w:p>
    <w:p w14:paraId="3C5F35D5">
      <w:pPr>
        <w:pStyle w:val="11"/>
        <w:rPr>
          <w:rFonts w:hint="eastAsia"/>
        </w:rPr>
      </w:pPr>
    </w:p>
    <w:p w14:paraId="2BA0F2E3">
      <w:pPr>
        <w:pStyle w:val="11"/>
        <w:rPr>
          <w:rFonts w:hint="eastAsia"/>
        </w:rPr>
      </w:pPr>
    </w:p>
    <w:p w14:paraId="5892C561">
      <w:pPr>
        <w:pStyle w:val="11"/>
        <w:rPr>
          <w:rFonts w:hint="eastAsia"/>
        </w:rPr>
      </w:pPr>
    </w:p>
    <w:p w14:paraId="11AB0F0E">
      <w:pPr>
        <w:pStyle w:val="11"/>
        <w:rPr>
          <w:rFonts w:hint="eastAsia"/>
        </w:rPr>
      </w:pPr>
    </w:p>
    <w:p w14:paraId="6A6D4661">
      <w:pPr>
        <w:tabs>
          <w:tab w:val="left" w:pos="1084"/>
          <w:tab w:val="left" w:pos="2167"/>
        </w:tabs>
        <w:spacing w:before="1"/>
        <w:ind w:right="359"/>
        <w:jc w:val="center"/>
        <w:rPr>
          <w:rFonts w:hint="eastAsia"/>
          <w:b/>
          <w:sz w:val="36"/>
        </w:rPr>
      </w:pPr>
      <w:r>
        <w:rPr>
          <w:b/>
          <w:spacing w:val="-10"/>
          <w:sz w:val="36"/>
        </w:rPr>
        <w:t>年</w:t>
      </w:r>
      <w:r>
        <w:rPr>
          <w:b/>
          <w:sz w:val="36"/>
        </w:rPr>
        <w:tab/>
      </w:r>
      <w:r>
        <w:rPr>
          <w:b/>
          <w:spacing w:val="-10"/>
          <w:sz w:val="36"/>
        </w:rPr>
        <w:t>月</w:t>
      </w:r>
      <w:r>
        <w:rPr>
          <w:b/>
          <w:sz w:val="36"/>
        </w:rPr>
        <w:tab/>
      </w:r>
      <w:r>
        <w:rPr>
          <w:b/>
          <w:spacing w:val="-10"/>
          <w:sz w:val="36"/>
        </w:rPr>
        <w:t>日</w:t>
      </w:r>
    </w:p>
    <w:p w14:paraId="25455B88">
      <w:pPr>
        <w:jc w:val="center"/>
        <w:rPr>
          <w:rFonts w:hint="eastAsia"/>
          <w:sz w:val="36"/>
        </w:rPr>
      </w:pPr>
    </w:p>
    <w:p w14:paraId="7D31DD36">
      <w:pPr>
        <w:jc w:val="center"/>
        <w:rPr>
          <w:rFonts w:hint="eastAsia"/>
          <w:sz w:val="36"/>
        </w:rPr>
        <w:sectPr>
          <w:pgSz w:w="11910" w:h="16840"/>
          <w:pgMar w:top="1400" w:right="300" w:bottom="1200" w:left="940" w:header="1161" w:footer="1017" w:gutter="0"/>
          <w:cols w:space="720" w:num="1"/>
        </w:sectPr>
      </w:pPr>
    </w:p>
    <w:p w14:paraId="7D0068FC">
      <w:pPr>
        <w:pStyle w:val="11"/>
        <w:rPr>
          <w:rFonts w:hint="eastAsia"/>
        </w:rPr>
      </w:pPr>
    </w:p>
    <w:p w14:paraId="13C87BDE">
      <w:pPr>
        <w:pStyle w:val="3"/>
        <w:ind w:firstLine="482"/>
        <w:rPr>
          <w:rFonts w:hint="eastAsia"/>
        </w:rPr>
      </w:pPr>
      <w:r>
        <w:t>采购人（全称）：陕西省疾病预防控制中心</w:t>
      </w:r>
    </w:p>
    <w:p w14:paraId="0D44B1EB">
      <w:pPr>
        <w:pStyle w:val="3"/>
        <w:ind w:firstLine="482"/>
        <w:rPr>
          <w:rFonts w:hint="eastAsia"/>
          <w:u w:val="single"/>
        </w:rPr>
      </w:pPr>
      <w:r>
        <w:t>供应商（全称）：</w:t>
      </w:r>
      <w:r>
        <w:rPr>
          <w:rFonts w:hint="eastAsia"/>
          <w:u w:val="single"/>
        </w:rPr>
        <w:t xml:space="preserve">                      </w:t>
      </w:r>
    </w:p>
    <w:p w14:paraId="3442C12A">
      <w:pPr>
        <w:pStyle w:val="11"/>
        <w:rPr>
          <w:rFonts w:hint="eastAsia"/>
          <w:b/>
        </w:rPr>
      </w:pPr>
      <w:r>
        <w:rPr>
          <w:rFonts w:hint="eastAsia"/>
          <w:u w:val="single"/>
        </w:rPr>
        <w:t xml:space="preserve">项目名称   </w:t>
      </w:r>
      <w:r>
        <w:rPr>
          <w:rFonts w:hint="eastAsia"/>
        </w:rPr>
        <w:t>项目</w:t>
      </w:r>
      <w:r>
        <w:t>，在财政部监督下，由</w:t>
      </w:r>
      <w:r>
        <w:rPr>
          <w:u w:val="single"/>
        </w:rPr>
        <w:t xml:space="preserve"> </w:t>
      </w:r>
      <w:r>
        <w:rPr>
          <w:rFonts w:hint="eastAsia"/>
          <w:u w:val="single"/>
        </w:rPr>
        <w:t>代理机构名称</w:t>
      </w:r>
      <w:r>
        <w:rPr>
          <w:u w:val="single"/>
        </w:rPr>
        <w:t xml:space="preserve"> </w:t>
      </w:r>
      <w:r>
        <w:t>组织公开招标，选定</w:t>
      </w:r>
      <w:r>
        <w:rPr>
          <w:rFonts w:hint="eastAsia"/>
          <w:u w:val="single"/>
        </w:rPr>
        <w:t xml:space="preserve">供应商全称 </w:t>
      </w:r>
      <w:r>
        <w:t>为中标单位。经甲、乙双方共同协商，达成如下合同条款。</w:t>
      </w:r>
    </w:p>
    <w:p w14:paraId="4899F541">
      <w:pPr>
        <w:pStyle w:val="3"/>
        <w:ind w:firstLine="482"/>
        <w:rPr>
          <w:rFonts w:hint="eastAsia"/>
        </w:rPr>
      </w:pPr>
      <w:r>
        <w:t>第一条 协议内容</w:t>
      </w:r>
    </w:p>
    <w:p w14:paraId="55629C6C">
      <w:pPr>
        <w:pStyle w:val="11"/>
        <w:rPr>
          <w:rFonts w:hint="eastAsia"/>
        </w:rPr>
      </w:pPr>
      <w:r>
        <w:t>（一）乙方负责按协议中确定的货物品牌、规格、型号、数量、原产地及配套内容进行供货；按时运到甲方指定的交货地点，负责货物到货后搬运工作，达到正常使用；负责为甲方培训维护人员，指导操作使用，提供检测服务及售后服务。</w:t>
      </w:r>
    </w:p>
    <w:p w14:paraId="4317C4F5">
      <w:pPr>
        <w:pStyle w:val="11"/>
        <w:rPr>
          <w:rFonts w:hint="eastAsia"/>
        </w:rPr>
      </w:pPr>
      <w:r>
        <w:t>（二）招标文件、乙方的投标文件及招标过程中的澄清、承诺内容均作为协议的组成部分，具有同等法律效力。</w:t>
      </w:r>
    </w:p>
    <w:p w14:paraId="01EBD029">
      <w:pPr>
        <w:pStyle w:val="3"/>
        <w:ind w:firstLine="482"/>
        <w:rPr>
          <w:rFonts w:hint="eastAsia"/>
        </w:rPr>
      </w:pPr>
      <w:r>
        <w:t>第二条 协议价款（币种：人民币 单位：元）</w:t>
      </w:r>
    </w:p>
    <w:p w14:paraId="24BB4D51">
      <w:pPr>
        <w:pStyle w:val="11"/>
        <w:rPr>
          <w:rFonts w:hint="eastAsia"/>
        </w:rPr>
      </w:pPr>
      <w:r>
        <w:rPr>
          <w:rFonts w:hint="eastAsia"/>
        </w:rPr>
        <w:t>（一）</w:t>
      </w:r>
      <w:r>
        <w:t>中标产品品牌、规格、产地、数量、单价及合同总价。</w:t>
      </w:r>
    </w:p>
    <w:tbl>
      <w:tblPr>
        <w:tblStyle w:val="16"/>
        <w:tblpPr w:leftFromText="180" w:rightFromText="180" w:vertAnchor="text" w:horzAnchor="margin" w:tblpY="192"/>
        <w:tblOverlap w:val="never"/>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436"/>
        <w:gridCol w:w="1133"/>
        <w:gridCol w:w="708"/>
        <w:gridCol w:w="1417"/>
        <w:gridCol w:w="1132"/>
        <w:gridCol w:w="707"/>
        <w:gridCol w:w="991"/>
        <w:gridCol w:w="997"/>
        <w:gridCol w:w="775"/>
      </w:tblGrid>
      <w:tr w14:paraId="7147D9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52" w:hRule="atLeast"/>
        </w:trPr>
        <w:tc>
          <w:tcPr>
            <w:tcW w:w="263" w:type="pct"/>
            <w:tcBorders>
              <w:top w:val="single" w:color="auto" w:sz="4" w:space="0"/>
              <w:left w:val="single" w:color="auto" w:sz="4" w:space="0"/>
              <w:bottom w:val="single" w:color="auto" w:sz="4" w:space="0"/>
              <w:right w:val="single" w:color="auto" w:sz="4" w:space="0"/>
            </w:tcBorders>
            <w:vAlign w:val="center"/>
          </w:tcPr>
          <w:p w14:paraId="41BFA81F">
            <w:pPr>
              <w:adjustRightInd w:val="0"/>
              <w:snapToGrid w:val="0"/>
              <w:rPr>
                <w:rFonts w:hint="eastAsia"/>
                <w:lang w:val="zh-CN"/>
              </w:rPr>
            </w:pPr>
            <w:r>
              <w:rPr>
                <w:rFonts w:hint="eastAsia"/>
                <w:lang w:val="zh-CN"/>
              </w:rPr>
              <w:t>序号</w:t>
            </w:r>
          </w:p>
        </w:tc>
        <w:tc>
          <w:tcPr>
            <w:tcW w:w="683" w:type="pct"/>
            <w:tcBorders>
              <w:top w:val="single" w:color="auto" w:sz="4" w:space="0"/>
              <w:left w:val="single" w:color="auto" w:sz="4" w:space="0"/>
              <w:bottom w:val="single" w:color="auto" w:sz="4" w:space="0"/>
              <w:right w:val="single" w:color="auto" w:sz="4" w:space="0"/>
            </w:tcBorders>
            <w:vAlign w:val="center"/>
          </w:tcPr>
          <w:p w14:paraId="70A18992">
            <w:pPr>
              <w:adjustRightInd w:val="0"/>
              <w:snapToGrid w:val="0"/>
              <w:rPr>
                <w:rFonts w:hint="eastAsia"/>
                <w:lang w:val="zh-CN"/>
              </w:rPr>
            </w:pPr>
            <w:r>
              <w:rPr>
                <w:rFonts w:hint="eastAsia"/>
                <w:lang w:val="zh-CN"/>
              </w:rPr>
              <w:t>产品名称</w:t>
            </w:r>
          </w:p>
        </w:tc>
        <w:tc>
          <w:tcPr>
            <w:tcW w:w="427" w:type="pct"/>
            <w:tcBorders>
              <w:top w:val="single" w:color="auto" w:sz="4" w:space="0"/>
              <w:left w:val="single" w:color="auto" w:sz="4" w:space="0"/>
              <w:bottom w:val="single" w:color="auto" w:sz="4" w:space="0"/>
              <w:right w:val="single" w:color="auto" w:sz="4" w:space="0"/>
            </w:tcBorders>
            <w:vAlign w:val="center"/>
          </w:tcPr>
          <w:p w14:paraId="00279DDB">
            <w:pPr>
              <w:adjustRightInd w:val="0"/>
              <w:snapToGrid w:val="0"/>
              <w:jc w:val="center"/>
              <w:rPr>
                <w:rFonts w:hint="eastAsia"/>
                <w:lang w:val="zh-CN"/>
              </w:rPr>
            </w:pPr>
            <w:r>
              <w:rPr>
                <w:rFonts w:hint="eastAsia"/>
                <w:lang w:val="zh-CN"/>
              </w:rPr>
              <w:t>品牌</w:t>
            </w:r>
          </w:p>
        </w:tc>
        <w:tc>
          <w:tcPr>
            <w:tcW w:w="854" w:type="pct"/>
            <w:tcBorders>
              <w:top w:val="single" w:color="auto" w:sz="4" w:space="0"/>
              <w:left w:val="single" w:color="auto" w:sz="4" w:space="0"/>
              <w:bottom w:val="single" w:color="auto" w:sz="4" w:space="0"/>
              <w:right w:val="single" w:color="auto" w:sz="4" w:space="0"/>
            </w:tcBorders>
            <w:vAlign w:val="center"/>
          </w:tcPr>
          <w:p w14:paraId="0ADF78C2">
            <w:pPr>
              <w:adjustRightInd w:val="0"/>
              <w:snapToGrid w:val="0"/>
              <w:jc w:val="center"/>
              <w:rPr>
                <w:rFonts w:hint="eastAsia"/>
                <w:lang w:val="zh-CN"/>
              </w:rPr>
            </w:pPr>
            <w:r>
              <w:rPr>
                <w:rFonts w:hint="eastAsia"/>
                <w:lang w:val="zh-CN"/>
              </w:rPr>
              <w:t>制造商</w:t>
            </w:r>
          </w:p>
        </w:tc>
        <w:tc>
          <w:tcPr>
            <w:tcW w:w="682" w:type="pct"/>
            <w:tcBorders>
              <w:top w:val="single" w:color="auto" w:sz="4" w:space="0"/>
              <w:left w:val="single" w:color="auto" w:sz="4" w:space="0"/>
              <w:bottom w:val="single" w:color="auto" w:sz="4" w:space="0"/>
              <w:right w:val="single" w:color="auto" w:sz="4" w:space="0"/>
            </w:tcBorders>
            <w:vAlign w:val="center"/>
          </w:tcPr>
          <w:p w14:paraId="3A2865AC">
            <w:pPr>
              <w:adjustRightInd w:val="0"/>
              <w:snapToGrid w:val="0"/>
              <w:jc w:val="center"/>
              <w:rPr>
                <w:rFonts w:hint="eastAsia"/>
                <w:lang w:val="zh-CN"/>
              </w:rPr>
            </w:pPr>
            <w:r>
              <w:rPr>
                <w:rFonts w:hint="eastAsia"/>
                <w:lang w:val="zh-CN"/>
              </w:rPr>
              <w:t>型号规格</w:t>
            </w:r>
          </w:p>
        </w:tc>
        <w:tc>
          <w:tcPr>
            <w:tcW w:w="426" w:type="pct"/>
            <w:tcBorders>
              <w:top w:val="single" w:color="auto" w:sz="4" w:space="0"/>
              <w:left w:val="single" w:color="auto" w:sz="4" w:space="0"/>
              <w:bottom w:val="single" w:color="auto" w:sz="4" w:space="0"/>
              <w:right w:val="single" w:color="auto" w:sz="4" w:space="0"/>
            </w:tcBorders>
            <w:vAlign w:val="center"/>
          </w:tcPr>
          <w:p w14:paraId="3AD14C5F">
            <w:pPr>
              <w:adjustRightInd w:val="0"/>
              <w:snapToGrid w:val="0"/>
              <w:rPr>
                <w:rFonts w:hint="eastAsia"/>
                <w:lang w:val="zh-CN"/>
              </w:rPr>
            </w:pPr>
            <w:r>
              <w:rPr>
                <w:rFonts w:hint="eastAsia"/>
                <w:lang w:val="zh-CN"/>
              </w:rPr>
              <w:t>数量</w:t>
            </w:r>
          </w:p>
        </w:tc>
        <w:tc>
          <w:tcPr>
            <w:tcW w:w="597" w:type="pct"/>
            <w:tcBorders>
              <w:top w:val="single" w:color="auto" w:sz="4" w:space="0"/>
              <w:left w:val="single" w:color="auto" w:sz="4" w:space="0"/>
              <w:bottom w:val="single" w:color="auto" w:sz="4" w:space="0"/>
              <w:right w:val="single" w:color="auto" w:sz="4" w:space="0"/>
            </w:tcBorders>
            <w:vAlign w:val="center"/>
          </w:tcPr>
          <w:p w14:paraId="0A6B9B5A">
            <w:pPr>
              <w:adjustRightInd w:val="0"/>
              <w:snapToGrid w:val="0"/>
              <w:rPr>
                <w:rFonts w:hint="eastAsia"/>
                <w:lang w:val="zh-CN"/>
              </w:rPr>
            </w:pPr>
            <w:r>
              <w:rPr>
                <w:rFonts w:hint="eastAsia"/>
                <w:lang w:val="zh-CN"/>
              </w:rPr>
              <w:t>单价（元）</w:t>
            </w:r>
          </w:p>
        </w:tc>
        <w:tc>
          <w:tcPr>
            <w:tcW w:w="601" w:type="pct"/>
            <w:tcBorders>
              <w:top w:val="single" w:color="auto" w:sz="4" w:space="0"/>
              <w:left w:val="single" w:color="auto" w:sz="4" w:space="0"/>
              <w:bottom w:val="single" w:color="auto" w:sz="4" w:space="0"/>
              <w:right w:val="single" w:color="auto" w:sz="4" w:space="0"/>
            </w:tcBorders>
            <w:vAlign w:val="center"/>
          </w:tcPr>
          <w:p w14:paraId="5D338012">
            <w:pPr>
              <w:adjustRightInd w:val="0"/>
              <w:snapToGrid w:val="0"/>
              <w:rPr>
                <w:rFonts w:hint="eastAsia"/>
                <w:lang w:val="zh-CN"/>
              </w:rPr>
            </w:pPr>
            <w:r>
              <w:rPr>
                <w:rFonts w:hint="eastAsia"/>
                <w:lang w:val="zh-CN"/>
              </w:rPr>
              <w:t>金额（元）</w:t>
            </w:r>
          </w:p>
        </w:tc>
        <w:tc>
          <w:tcPr>
            <w:tcW w:w="467" w:type="pct"/>
            <w:tcBorders>
              <w:top w:val="single" w:color="auto" w:sz="4" w:space="0"/>
              <w:left w:val="single" w:color="auto" w:sz="4" w:space="0"/>
              <w:bottom w:val="single" w:color="auto" w:sz="4" w:space="0"/>
              <w:right w:val="single" w:color="auto" w:sz="4" w:space="0"/>
            </w:tcBorders>
            <w:vAlign w:val="center"/>
          </w:tcPr>
          <w:p w14:paraId="1BC50B1B">
            <w:pPr>
              <w:adjustRightInd w:val="0"/>
              <w:snapToGrid w:val="0"/>
              <w:rPr>
                <w:rFonts w:hint="eastAsia"/>
                <w:lang w:val="zh-CN"/>
              </w:rPr>
            </w:pPr>
            <w:r>
              <w:rPr>
                <w:rFonts w:hint="eastAsia"/>
                <w:lang w:val="zh-CN"/>
              </w:rPr>
              <w:t>免费质保期</w:t>
            </w:r>
          </w:p>
        </w:tc>
      </w:tr>
      <w:tr w14:paraId="4B50AC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8" w:hRule="atLeast"/>
        </w:trPr>
        <w:tc>
          <w:tcPr>
            <w:tcW w:w="263" w:type="pct"/>
            <w:tcBorders>
              <w:top w:val="single" w:color="auto" w:sz="4" w:space="0"/>
              <w:left w:val="single" w:color="auto" w:sz="4" w:space="0"/>
              <w:bottom w:val="single" w:color="auto" w:sz="4" w:space="0"/>
              <w:right w:val="single" w:color="auto" w:sz="4" w:space="0"/>
            </w:tcBorders>
            <w:vAlign w:val="center"/>
          </w:tcPr>
          <w:p w14:paraId="6C60D9E4">
            <w:pPr>
              <w:adjustRightInd w:val="0"/>
              <w:snapToGrid w:val="0"/>
              <w:rPr>
                <w:rFonts w:hint="eastAsia"/>
                <w:lang w:val="zh-CN"/>
              </w:rPr>
            </w:pPr>
            <w:bookmarkStart w:id="0" w:name="_Hlk226990328"/>
            <w:r>
              <w:rPr>
                <w:rFonts w:hint="eastAsia"/>
                <w:lang w:val="zh-CN"/>
              </w:rPr>
              <w:t>1</w:t>
            </w:r>
          </w:p>
        </w:tc>
        <w:tc>
          <w:tcPr>
            <w:tcW w:w="683" w:type="pct"/>
            <w:tcBorders>
              <w:top w:val="single" w:color="auto" w:sz="4" w:space="0"/>
              <w:left w:val="single" w:color="auto" w:sz="4" w:space="0"/>
              <w:bottom w:val="single" w:color="auto" w:sz="4" w:space="0"/>
              <w:right w:val="single" w:color="auto" w:sz="4" w:space="0"/>
            </w:tcBorders>
            <w:vAlign w:val="center"/>
          </w:tcPr>
          <w:p w14:paraId="5A93EE0C">
            <w:pPr>
              <w:adjustRightInd w:val="0"/>
              <w:snapToGrid w:val="0"/>
              <w:jc w:val="center"/>
              <w:rPr>
                <w:rFonts w:hint="eastAsia"/>
                <w:lang w:val="zh-CN"/>
              </w:rPr>
            </w:pPr>
          </w:p>
        </w:tc>
        <w:tc>
          <w:tcPr>
            <w:tcW w:w="427" w:type="pct"/>
            <w:tcBorders>
              <w:top w:val="single" w:color="auto" w:sz="4" w:space="0"/>
              <w:left w:val="single" w:color="auto" w:sz="4" w:space="0"/>
              <w:bottom w:val="single" w:color="auto" w:sz="4" w:space="0"/>
              <w:right w:val="single" w:color="auto" w:sz="4" w:space="0"/>
            </w:tcBorders>
            <w:vAlign w:val="center"/>
          </w:tcPr>
          <w:p w14:paraId="782023B0">
            <w:pPr>
              <w:adjustRightInd w:val="0"/>
              <w:snapToGrid w:val="0"/>
              <w:jc w:val="center"/>
              <w:rPr>
                <w:rFonts w:hint="eastAsia"/>
              </w:rPr>
            </w:pPr>
          </w:p>
        </w:tc>
        <w:tc>
          <w:tcPr>
            <w:tcW w:w="854" w:type="pct"/>
            <w:tcBorders>
              <w:top w:val="single" w:color="auto" w:sz="4" w:space="0"/>
              <w:left w:val="single" w:color="auto" w:sz="4" w:space="0"/>
              <w:bottom w:val="single" w:color="auto" w:sz="4" w:space="0"/>
              <w:right w:val="single" w:color="auto" w:sz="4" w:space="0"/>
            </w:tcBorders>
          </w:tcPr>
          <w:p w14:paraId="04061545">
            <w:pPr>
              <w:adjustRightInd w:val="0"/>
              <w:snapToGrid w:val="0"/>
              <w:jc w:val="center"/>
              <w:rPr>
                <w:rFonts w:hint="eastAsia"/>
              </w:rPr>
            </w:pPr>
          </w:p>
        </w:tc>
        <w:tc>
          <w:tcPr>
            <w:tcW w:w="682" w:type="pct"/>
            <w:tcBorders>
              <w:top w:val="single" w:color="auto" w:sz="4" w:space="0"/>
              <w:left w:val="single" w:color="auto" w:sz="4" w:space="0"/>
              <w:bottom w:val="single" w:color="auto" w:sz="4" w:space="0"/>
              <w:right w:val="single" w:color="auto" w:sz="4" w:space="0"/>
            </w:tcBorders>
            <w:vAlign w:val="center"/>
          </w:tcPr>
          <w:p w14:paraId="786AB521">
            <w:pPr>
              <w:adjustRightInd w:val="0"/>
              <w:snapToGrid w:val="0"/>
              <w:jc w:val="center"/>
              <w:rPr>
                <w:rFonts w:hint="eastAsia"/>
              </w:rPr>
            </w:pPr>
          </w:p>
        </w:tc>
        <w:tc>
          <w:tcPr>
            <w:tcW w:w="426" w:type="pct"/>
            <w:tcBorders>
              <w:top w:val="single" w:color="auto" w:sz="4" w:space="0"/>
              <w:left w:val="single" w:color="auto" w:sz="4" w:space="0"/>
              <w:bottom w:val="single" w:color="auto" w:sz="4" w:space="0"/>
              <w:right w:val="single" w:color="auto" w:sz="4" w:space="0"/>
            </w:tcBorders>
            <w:vAlign w:val="center"/>
          </w:tcPr>
          <w:p w14:paraId="30B3B49E">
            <w:pPr>
              <w:adjustRightInd w:val="0"/>
              <w:snapToGrid w:val="0"/>
              <w:jc w:val="center"/>
              <w:rPr>
                <w:rFonts w:hint="eastAsia"/>
              </w:rPr>
            </w:pPr>
          </w:p>
        </w:tc>
        <w:tc>
          <w:tcPr>
            <w:tcW w:w="597" w:type="pct"/>
            <w:tcBorders>
              <w:top w:val="single" w:color="auto" w:sz="4" w:space="0"/>
              <w:left w:val="single" w:color="auto" w:sz="4" w:space="0"/>
              <w:bottom w:val="single" w:color="auto" w:sz="4" w:space="0"/>
              <w:right w:val="single" w:color="auto" w:sz="4" w:space="0"/>
            </w:tcBorders>
            <w:vAlign w:val="center"/>
          </w:tcPr>
          <w:p w14:paraId="7924CE2A">
            <w:pPr>
              <w:adjustRightInd w:val="0"/>
              <w:snapToGrid w:val="0"/>
              <w:jc w:val="center"/>
              <w:rPr>
                <w:rFonts w:hint="eastAsia"/>
              </w:rPr>
            </w:pPr>
          </w:p>
        </w:tc>
        <w:tc>
          <w:tcPr>
            <w:tcW w:w="601" w:type="pct"/>
            <w:tcBorders>
              <w:top w:val="single" w:color="auto" w:sz="4" w:space="0"/>
              <w:left w:val="single" w:color="auto" w:sz="4" w:space="0"/>
              <w:bottom w:val="single" w:color="auto" w:sz="4" w:space="0"/>
              <w:right w:val="single" w:color="auto" w:sz="4" w:space="0"/>
            </w:tcBorders>
            <w:vAlign w:val="center"/>
          </w:tcPr>
          <w:p w14:paraId="14060703">
            <w:pPr>
              <w:adjustRightInd w:val="0"/>
              <w:snapToGrid w:val="0"/>
              <w:jc w:val="center"/>
              <w:rPr>
                <w:rFonts w:hint="eastAsia"/>
                <w:lang w:val="zh-CN"/>
              </w:rPr>
            </w:pPr>
          </w:p>
        </w:tc>
        <w:tc>
          <w:tcPr>
            <w:tcW w:w="467" w:type="pct"/>
            <w:tcBorders>
              <w:top w:val="single" w:color="auto" w:sz="4" w:space="0"/>
              <w:left w:val="single" w:color="auto" w:sz="4" w:space="0"/>
              <w:bottom w:val="single" w:color="auto" w:sz="4" w:space="0"/>
              <w:right w:val="single" w:color="auto" w:sz="4" w:space="0"/>
            </w:tcBorders>
            <w:vAlign w:val="center"/>
          </w:tcPr>
          <w:p w14:paraId="4647CB57">
            <w:pPr>
              <w:adjustRightInd w:val="0"/>
              <w:snapToGrid w:val="0"/>
              <w:jc w:val="center"/>
              <w:rPr>
                <w:rFonts w:hint="eastAsia"/>
              </w:rPr>
            </w:pPr>
          </w:p>
        </w:tc>
      </w:tr>
      <w:tr w14:paraId="057975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8" w:hRule="atLeast"/>
        </w:trPr>
        <w:tc>
          <w:tcPr>
            <w:tcW w:w="263" w:type="pct"/>
            <w:tcBorders>
              <w:top w:val="single" w:color="auto" w:sz="4" w:space="0"/>
              <w:left w:val="single" w:color="auto" w:sz="4" w:space="0"/>
              <w:bottom w:val="single" w:color="auto" w:sz="4" w:space="0"/>
              <w:right w:val="single" w:color="auto" w:sz="4" w:space="0"/>
            </w:tcBorders>
            <w:vAlign w:val="center"/>
          </w:tcPr>
          <w:p w14:paraId="71044F1B">
            <w:pPr>
              <w:adjustRightInd w:val="0"/>
              <w:snapToGrid w:val="0"/>
              <w:rPr>
                <w:rFonts w:hint="eastAsia"/>
              </w:rPr>
            </w:pPr>
            <w:r>
              <w:t>…</w:t>
            </w:r>
          </w:p>
        </w:tc>
        <w:tc>
          <w:tcPr>
            <w:tcW w:w="683" w:type="pct"/>
            <w:tcBorders>
              <w:top w:val="single" w:color="auto" w:sz="4" w:space="0"/>
              <w:left w:val="single" w:color="auto" w:sz="4" w:space="0"/>
              <w:bottom w:val="single" w:color="auto" w:sz="4" w:space="0"/>
              <w:right w:val="single" w:color="auto" w:sz="4" w:space="0"/>
            </w:tcBorders>
            <w:vAlign w:val="center"/>
          </w:tcPr>
          <w:p w14:paraId="4D5BC12F">
            <w:pPr>
              <w:adjustRightInd w:val="0"/>
              <w:snapToGrid w:val="0"/>
              <w:jc w:val="center"/>
              <w:rPr>
                <w:rFonts w:hint="eastAsia"/>
                <w:lang w:val="zh-CN"/>
              </w:rPr>
            </w:pPr>
          </w:p>
        </w:tc>
        <w:tc>
          <w:tcPr>
            <w:tcW w:w="427" w:type="pct"/>
            <w:tcBorders>
              <w:top w:val="single" w:color="auto" w:sz="4" w:space="0"/>
              <w:left w:val="single" w:color="auto" w:sz="4" w:space="0"/>
              <w:bottom w:val="single" w:color="auto" w:sz="4" w:space="0"/>
              <w:right w:val="single" w:color="auto" w:sz="4" w:space="0"/>
            </w:tcBorders>
            <w:vAlign w:val="center"/>
          </w:tcPr>
          <w:p w14:paraId="540F0403">
            <w:pPr>
              <w:adjustRightInd w:val="0"/>
              <w:snapToGrid w:val="0"/>
              <w:jc w:val="center"/>
              <w:rPr>
                <w:rFonts w:hint="eastAsia"/>
              </w:rPr>
            </w:pPr>
          </w:p>
        </w:tc>
        <w:tc>
          <w:tcPr>
            <w:tcW w:w="854" w:type="pct"/>
            <w:tcBorders>
              <w:top w:val="single" w:color="auto" w:sz="4" w:space="0"/>
              <w:left w:val="single" w:color="auto" w:sz="4" w:space="0"/>
              <w:bottom w:val="single" w:color="auto" w:sz="4" w:space="0"/>
              <w:right w:val="single" w:color="auto" w:sz="4" w:space="0"/>
            </w:tcBorders>
          </w:tcPr>
          <w:p w14:paraId="5F19BC0F">
            <w:pPr>
              <w:adjustRightInd w:val="0"/>
              <w:snapToGrid w:val="0"/>
              <w:jc w:val="center"/>
              <w:rPr>
                <w:rFonts w:hint="eastAsia"/>
                <w:lang w:val="zh-CN"/>
              </w:rPr>
            </w:pPr>
          </w:p>
        </w:tc>
        <w:tc>
          <w:tcPr>
            <w:tcW w:w="682" w:type="pct"/>
            <w:tcBorders>
              <w:top w:val="single" w:color="auto" w:sz="4" w:space="0"/>
              <w:left w:val="single" w:color="auto" w:sz="4" w:space="0"/>
              <w:bottom w:val="single" w:color="auto" w:sz="4" w:space="0"/>
              <w:right w:val="single" w:color="auto" w:sz="4" w:space="0"/>
            </w:tcBorders>
            <w:vAlign w:val="center"/>
          </w:tcPr>
          <w:p w14:paraId="79506489">
            <w:pPr>
              <w:adjustRightInd w:val="0"/>
              <w:snapToGrid w:val="0"/>
              <w:jc w:val="center"/>
              <w:rPr>
                <w:rFonts w:hint="eastAsia"/>
                <w:lang w:val="zh-CN"/>
              </w:rPr>
            </w:pPr>
          </w:p>
        </w:tc>
        <w:tc>
          <w:tcPr>
            <w:tcW w:w="426" w:type="pct"/>
            <w:tcBorders>
              <w:top w:val="single" w:color="auto" w:sz="4" w:space="0"/>
              <w:left w:val="single" w:color="auto" w:sz="4" w:space="0"/>
              <w:bottom w:val="single" w:color="auto" w:sz="4" w:space="0"/>
              <w:right w:val="single" w:color="auto" w:sz="4" w:space="0"/>
            </w:tcBorders>
            <w:vAlign w:val="center"/>
          </w:tcPr>
          <w:p w14:paraId="1C2DDADA">
            <w:pPr>
              <w:adjustRightInd w:val="0"/>
              <w:snapToGrid w:val="0"/>
              <w:jc w:val="center"/>
              <w:rPr>
                <w:rFonts w:hint="eastAsia"/>
              </w:rPr>
            </w:pPr>
          </w:p>
        </w:tc>
        <w:tc>
          <w:tcPr>
            <w:tcW w:w="597" w:type="pct"/>
            <w:tcBorders>
              <w:top w:val="single" w:color="auto" w:sz="4" w:space="0"/>
              <w:left w:val="single" w:color="auto" w:sz="4" w:space="0"/>
              <w:bottom w:val="single" w:color="auto" w:sz="4" w:space="0"/>
              <w:right w:val="single" w:color="auto" w:sz="4" w:space="0"/>
            </w:tcBorders>
            <w:vAlign w:val="center"/>
          </w:tcPr>
          <w:p w14:paraId="26319312">
            <w:pPr>
              <w:adjustRightInd w:val="0"/>
              <w:snapToGrid w:val="0"/>
              <w:jc w:val="center"/>
              <w:rPr>
                <w:rFonts w:hint="eastAsia"/>
              </w:rPr>
            </w:pPr>
          </w:p>
        </w:tc>
        <w:tc>
          <w:tcPr>
            <w:tcW w:w="601" w:type="pct"/>
            <w:tcBorders>
              <w:top w:val="single" w:color="auto" w:sz="4" w:space="0"/>
              <w:left w:val="single" w:color="auto" w:sz="4" w:space="0"/>
              <w:bottom w:val="single" w:color="auto" w:sz="4" w:space="0"/>
              <w:right w:val="single" w:color="auto" w:sz="4" w:space="0"/>
            </w:tcBorders>
            <w:vAlign w:val="center"/>
          </w:tcPr>
          <w:p w14:paraId="56E3E404">
            <w:pPr>
              <w:adjustRightInd w:val="0"/>
              <w:snapToGrid w:val="0"/>
              <w:jc w:val="center"/>
              <w:rPr>
                <w:rFonts w:hint="eastAsia"/>
                <w:lang w:val="zh-CN"/>
              </w:rPr>
            </w:pPr>
          </w:p>
        </w:tc>
        <w:tc>
          <w:tcPr>
            <w:tcW w:w="467" w:type="pct"/>
            <w:tcBorders>
              <w:top w:val="single" w:color="auto" w:sz="4" w:space="0"/>
              <w:left w:val="single" w:color="auto" w:sz="4" w:space="0"/>
              <w:bottom w:val="single" w:color="auto" w:sz="4" w:space="0"/>
              <w:right w:val="single" w:color="auto" w:sz="4" w:space="0"/>
            </w:tcBorders>
            <w:vAlign w:val="center"/>
          </w:tcPr>
          <w:p w14:paraId="7FAF5C6B">
            <w:pPr>
              <w:adjustRightInd w:val="0"/>
              <w:snapToGrid w:val="0"/>
              <w:jc w:val="center"/>
              <w:rPr>
                <w:rFonts w:hint="eastAsia"/>
              </w:rPr>
            </w:pPr>
          </w:p>
        </w:tc>
      </w:tr>
      <w:tr w14:paraId="70B09A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8" w:hRule="atLeast"/>
        </w:trPr>
        <w:tc>
          <w:tcPr>
            <w:tcW w:w="1373" w:type="pct"/>
            <w:gridSpan w:val="3"/>
            <w:tcBorders>
              <w:top w:val="single" w:color="auto" w:sz="4" w:space="0"/>
              <w:left w:val="single" w:color="auto" w:sz="4" w:space="0"/>
              <w:bottom w:val="single" w:color="auto" w:sz="4" w:space="0"/>
              <w:right w:val="single" w:color="auto" w:sz="4" w:space="0"/>
            </w:tcBorders>
            <w:vAlign w:val="center"/>
          </w:tcPr>
          <w:p w14:paraId="1F9B8AEE">
            <w:pPr>
              <w:adjustRightInd w:val="0"/>
              <w:snapToGrid w:val="0"/>
              <w:rPr>
                <w:rFonts w:hint="eastAsia"/>
              </w:rPr>
            </w:pPr>
            <w:r>
              <w:rPr>
                <w:rFonts w:hint="eastAsia"/>
              </w:rPr>
              <w:t>总价（人民币）：</w:t>
            </w:r>
          </w:p>
        </w:tc>
        <w:tc>
          <w:tcPr>
            <w:tcW w:w="3160" w:type="pct"/>
            <w:gridSpan w:val="5"/>
            <w:tcBorders>
              <w:top w:val="single" w:color="auto" w:sz="4" w:space="0"/>
              <w:left w:val="single" w:color="auto" w:sz="4" w:space="0"/>
              <w:bottom w:val="single" w:color="auto" w:sz="4" w:space="0"/>
              <w:right w:val="single" w:color="auto" w:sz="4" w:space="0"/>
            </w:tcBorders>
            <w:vAlign w:val="center"/>
          </w:tcPr>
          <w:p w14:paraId="2D2D913F">
            <w:pPr>
              <w:adjustRightInd w:val="0"/>
              <w:snapToGrid w:val="0"/>
              <w:rPr>
                <w:rFonts w:hint="eastAsia"/>
                <w:lang w:val="zh-CN"/>
              </w:rPr>
            </w:pPr>
            <w:r>
              <w:rPr>
                <w:rFonts w:hint="eastAsia"/>
              </w:rPr>
              <w:t>大写：</w:t>
            </w:r>
          </w:p>
          <w:p w14:paraId="4829EDFC">
            <w:pPr>
              <w:adjustRightInd w:val="0"/>
              <w:snapToGrid w:val="0"/>
              <w:rPr>
                <w:rFonts w:hint="eastAsia"/>
                <w:color w:val="000000"/>
              </w:rPr>
            </w:pPr>
            <w:r>
              <w:rPr>
                <w:rFonts w:hint="eastAsia"/>
              </w:rPr>
              <w:t>小写：</w:t>
            </w:r>
          </w:p>
        </w:tc>
        <w:tc>
          <w:tcPr>
            <w:tcW w:w="467" w:type="pct"/>
            <w:tcBorders>
              <w:top w:val="single" w:color="auto" w:sz="4" w:space="0"/>
              <w:left w:val="single" w:color="auto" w:sz="4" w:space="0"/>
              <w:bottom w:val="single" w:color="auto" w:sz="4" w:space="0"/>
              <w:right w:val="single" w:color="auto" w:sz="4" w:space="0"/>
            </w:tcBorders>
            <w:vAlign w:val="center"/>
          </w:tcPr>
          <w:p w14:paraId="0B9BBD0F">
            <w:pPr>
              <w:adjustRightInd w:val="0"/>
              <w:snapToGrid w:val="0"/>
              <w:rPr>
                <w:rFonts w:hint="eastAsia"/>
              </w:rPr>
            </w:pPr>
          </w:p>
        </w:tc>
      </w:tr>
      <w:bookmarkEnd w:id="0"/>
    </w:tbl>
    <w:p w14:paraId="2A6F5EE9">
      <w:pPr>
        <w:pStyle w:val="11"/>
        <w:rPr>
          <w:rFonts w:hint="eastAsia"/>
        </w:rPr>
      </w:pPr>
      <w:r>
        <w:rPr>
          <w:rFonts w:hint="eastAsia"/>
        </w:rPr>
        <w:t>（二）合同总价包括：产品供应费、运输费（含保险费）、检测验收费、培训费、售后服务费、税费及其它全部费用。</w:t>
      </w:r>
    </w:p>
    <w:p w14:paraId="0D98D189">
      <w:pPr>
        <w:pStyle w:val="11"/>
        <w:rPr>
          <w:rFonts w:hint="eastAsia"/>
        </w:rPr>
      </w:pPr>
      <w:r>
        <w:rPr>
          <w:rFonts w:hint="eastAsia"/>
        </w:rPr>
        <w:t>（三）合同总价一次性包死，不受市场价格变化因素的影响。在项目实施中产生的其他费用，均由乙方免费提供，甲方不再支付任何费用。</w:t>
      </w:r>
    </w:p>
    <w:p w14:paraId="3AAB33C9">
      <w:pPr>
        <w:pStyle w:val="11"/>
        <w:rPr>
          <w:rFonts w:hint="eastAsia"/>
        </w:rPr>
      </w:pPr>
      <w:r>
        <w:rPr>
          <w:rFonts w:hint="eastAsia"/>
        </w:rPr>
        <w:t>（四）关于所采购货物本身随同配备的备品备件及器材的价格已包含于合同总价，不再额外收取费用。</w:t>
      </w:r>
    </w:p>
    <w:p w14:paraId="54EE76A4">
      <w:pPr>
        <w:pStyle w:val="11"/>
        <w:rPr>
          <w:rFonts w:hint="eastAsia"/>
        </w:rPr>
      </w:pPr>
      <w:r>
        <w:rPr>
          <w:rFonts w:hint="eastAsia"/>
        </w:rPr>
        <w:t>（五）乙方需保证所能够提供使用的备品备件属于经过合法授权的，确保备品备件产权归乙方所有。</w:t>
      </w:r>
    </w:p>
    <w:p w14:paraId="76C464A6">
      <w:pPr>
        <w:pStyle w:val="11"/>
        <w:rPr>
          <w:rFonts w:hint="eastAsia"/>
        </w:rPr>
      </w:pPr>
      <w:r>
        <w:rPr>
          <w:rFonts w:hint="eastAsia"/>
        </w:rPr>
        <w:t>（六）乙方账户信息;</w:t>
      </w:r>
    </w:p>
    <w:p w14:paraId="4ECB7C0E">
      <w:pPr>
        <w:pStyle w:val="11"/>
        <w:rPr>
          <w:rFonts w:hint="eastAsia"/>
        </w:rPr>
      </w:pPr>
      <w:r>
        <w:rPr>
          <w:rFonts w:hint="eastAsia"/>
        </w:rPr>
        <w:t>乙方公司名称：</w:t>
      </w:r>
      <w:r>
        <w:t xml:space="preserve"> </w:t>
      </w:r>
    </w:p>
    <w:p w14:paraId="476A37A8">
      <w:pPr>
        <w:pStyle w:val="11"/>
        <w:rPr>
          <w:rFonts w:hint="eastAsia"/>
        </w:rPr>
      </w:pPr>
      <w:r>
        <w:rPr>
          <w:rFonts w:hint="eastAsia"/>
        </w:rPr>
        <w:t xml:space="preserve">乙方开户行： </w:t>
      </w:r>
    </w:p>
    <w:p w14:paraId="1925C49E">
      <w:pPr>
        <w:pStyle w:val="11"/>
        <w:rPr>
          <w:rFonts w:hint="eastAsia"/>
        </w:rPr>
      </w:pPr>
      <w:r>
        <w:rPr>
          <w:rFonts w:hint="eastAsia"/>
        </w:rPr>
        <w:t xml:space="preserve">乙方公司账号： </w:t>
      </w:r>
    </w:p>
    <w:p w14:paraId="4E9D709D">
      <w:pPr>
        <w:pStyle w:val="3"/>
        <w:ind w:firstLine="482"/>
        <w:rPr>
          <w:rFonts w:hint="eastAsia"/>
        </w:rPr>
      </w:pPr>
      <w:r>
        <w:t>第三条 款项结算</w:t>
      </w:r>
    </w:p>
    <w:p w14:paraId="03DEA1F3">
      <w:pPr>
        <w:pStyle w:val="11"/>
        <w:rPr>
          <w:rFonts w:hint="eastAsia"/>
        </w:rPr>
      </w:pPr>
      <w:r>
        <w:rPr>
          <w:rFonts w:hint="eastAsia"/>
        </w:rPr>
        <w:t>合同生效后，乙方向甲方按照合同总价款的30%出具发票，甲方收到发票后七个工作日内按合同总价款的30%向乙方支付预付款；</w:t>
      </w:r>
    </w:p>
    <w:p w14:paraId="619C3970">
      <w:pPr>
        <w:pStyle w:val="11"/>
      </w:pPr>
      <w:r>
        <w:rPr>
          <w:rFonts w:hint="eastAsia"/>
        </w:rPr>
        <w:t>设备全部运抵甲方指定地点，</w:t>
      </w:r>
      <w:r>
        <w:t>设备安装调试培训完成，</w:t>
      </w:r>
      <w:r>
        <w:rPr>
          <w:rFonts w:hint="eastAsia"/>
        </w:rPr>
        <w:t>验收合格后，甲方无异议，乙方向甲方按照合同总价款的70%出具发票，甲方收到发票后十五个工作日内向乙方支付合同总价款的70%。</w:t>
      </w:r>
    </w:p>
    <w:p w14:paraId="41546C0F">
      <w:pPr>
        <w:pStyle w:val="3"/>
        <w:ind w:firstLine="482"/>
        <w:rPr>
          <w:rFonts w:hint="eastAsia"/>
        </w:rPr>
      </w:pPr>
      <w:r>
        <w:t>第四条 双方的权利和义务</w:t>
      </w:r>
    </w:p>
    <w:p w14:paraId="5EC24447">
      <w:pPr>
        <w:pStyle w:val="11"/>
        <w:rPr>
          <w:rFonts w:hint="eastAsia"/>
        </w:rPr>
      </w:pPr>
      <w:r>
        <w:t>（一）甲方责任</w:t>
      </w:r>
    </w:p>
    <w:p w14:paraId="5DC246E9">
      <w:pPr>
        <w:pStyle w:val="11"/>
        <w:rPr>
          <w:rFonts w:hint="eastAsia"/>
        </w:rPr>
      </w:pPr>
      <w:r>
        <w:t>负责核准、认定本项目相关技术资料文档，监督、参与项目执行的整个过程，为乙方提供必要的工作条件，按照协议约定支付协议款项。</w:t>
      </w:r>
    </w:p>
    <w:p w14:paraId="012740CD">
      <w:pPr>
        <w:pStyle w:val="11"/>
        <w:rPr>
          <w:rFonts w:hint="eastAsia"/>
        </w:rPr>
      </w:pPr>
      <w:r>
        <w:t>（二）乙方责任</w:t>
      </w:r>
    </w:p>
    <w:p w14:paraId="5CC7FD10">
      <w:pPr>
        <w:pStyle w:val="11"/>
        <w:rPr>
          <w:rFonts w:hint="eastAsia"/>
        </w:rPr>
      </w:pPr>
      <w:r>
        <w:t>为甲方提交货物质检报告；负责包装符合国家相关标准的运输、贮存、保险、安装等。</w:t>
      </w:r>
    </w:p>
    <w:p w14:paraId="59ED9804">
      <w:pPr>
        <w:pStyle w:val="3"/>
        <w:spacing w:after="240"/>
        <w:ind w:firstLine="482"/>
        <w:rPr>
          <w:rFonts w:hint="eastAsia"/>
        </w:rPr>
      </w:pPr>
      <w:r>
        <w:t>第五条 交货条件</w:t>
      </w:r>
    </w:p>
    <w:p w14:paraId="457E6FF8">
      <w:pPr>
        <w:spacing w:line="360" w:lineRule="auto"/>
        <w:ind w:firstLine="480" w:firstLineChars="200"/>
        <w:rPr>
          <w:rFonts w:hint="eastAsia"/>
          <w:color w:val="000000"/>
          <w:sz w:val="24"/>
        </w:rPr>
      </w:pPr>
      <w:r>
        <w:rPr>
          <w:rFonts w:hint="eastAsia"/>
          <w:sz w:val="24"/>
        </w:rPr>
        <w:t>（一）交货地点:</w:t>
      </w:r>
      <w:r>
        <w:rPr>
          <w:rFonts w:hint="eastAsia"/>
          <w:sz w:val="24"/>
          <w:u w:val="single"/>
        </w:rPr>
        <w:t>甲方指定地点</w:t>
      </w:r>
      <w:r>
        <w:rPr>
          <w:rFonts w:hint="eastAsia"/>
          <w:sz w:val="24"/>
        </w:rPr>
        <w:t>。</w:t>
      </w:r>
    </w:p>
    <w:p w14:paraId="1E9A4E9E">
      <w:pPr>
        <w:spacing w:line="360" w:lineRule="auto"/>
        <w:ind w:firstLine="360" w:firstLineChars="150"/>
        <w:rPr>
          <w:rFonts w:hint="eastAsia"/>
          <w:color w:val="000000"/>
          <w:sz w:val="24"/>
        </w:rPr>
      </w:pPr>
      <w:r>
        <w:rPr>
          <w:rFonts w:hint="eastAsia"/>
          <w:color w:val="000000"/>
          <w:sz w:val="24"/>
        </w:rPr>
        <w:t>1.乙方必须派人送货清点、移交。不受理任何物流、邮寄供货业务。</w:t>
      </w:r>
    </w:p>
    <w:p w14:paraId="20C6CEDA">
      <w:pPr>
        <w:spacing w:line="360" w:lineRule="auto"/>
        <w:ind w:firstLine="360" w:firstLineChars="150"/>
        <w:rPr>
          <w:rFonts w:hint="eastAsia"/>
          <w:color w:val="000000"/>
          <w:sz w:val="24"/>
        </w:rPr>
      </w:pPr>
      <w:r>
        <w:rPr>
          <w:rFonts w:hint="eastAsia"/>
          <w:color w:val="000000"/>
          <w:sz w:val="24"/>
        </w:rPr>
        <w:t>2.本合同所有产品单件必须标明厂商、商标、型号、生产时间并附有效期内的检测报告并盖章。</w:t>
      </w:r>
    </w:p>
    <w:p w14:paraId="05FA57AB">
      <w:pPr>
        <w:spacing w:line="360" w:lineRule="auto"/>
        <w:ind w:firstLine="480" w:firstLineChars="200"/>
        <w:rPr>
          <w:rFonts w:hint="eastAsia"/>
          <w:sz w:val="24"/>
        </w:rPr>
      </w:pPr>
      <w:r>
        <w:rPr>
          <w:rFonts w:hint="eastAsia"/>
          <w:sz w:val="24"/>
        </w:rPr>
        <w:t>（二）交货期：合同签订后，30天内完成供货。</w:t>
      </w:r>
    </w:p>
    <w:p w14:paraId="53EB7FB9">
      <w:pPr>
        <w:spacing w:line="360" w:lineRule="auto"/>
        <w:ind w:firstLine="480" w:firstLineChars="200"/>
        <w:rPr>
          <w:rFonts w:hint="default" w:eastAsia="仿宋"/>
          <w:sz w:val="24"/>
          <w:lang w:val="en-US" w:eastAsia="zh-CN"/>
        </w:rPr>
      </w:pPr>
      <w:r>
        <w:rPr>
          <w:rFonts w:hint="eastAsia"/>
          <w:sz w:val="24"/>
          <w:lang w:eastAsia="zh-CN"/>
        </w:rPr>
        <w:t>（</w:t>
      </w:r>
      <w:r>
        <w:rPr>
          <w:rFonts w:hint="eastAsia"/>
          <w:sz w:val="24"/>
          <w:lang w:val="en-US" w:eastAsia="zh-CN"/>
        </w:rPr>
        <w:t>三</w:t>
      </w:r>
      <w:r>
        <w:rPr>
          <w:rFonts w:hint="eastAsia"/>
          <w:sz w:val="24"/>
          <w:lang w:eastAsia="zh-CN"/>
        </w:rPr>
        <w:t>）</w:t>
      </w:r>
      <w:bookmarkStart w:id="2" w:name="_GoBack"/>
      <w:r>
        <w:rPr>
          <w:rFonts w:hint="eastAsia"/>
          <w:sz w:val="24"/>
          <w:lang w:val="en-US" w:eastAsia="zh-CN"/>
        </w:rPr>
        <w:t>质保期：设备验收合格后，免费质保一年（国家相关法律法规对质保期有规定的，还应当满足上述规定，但最低期限不低于本约定的质保期限）。</w:t>
      </w:r>
    </w:p>
    <w:bookmarkEnd w:id="2"/>
    <w:p w14:paraId="792F0307">
      <w:pPr>
        <w:pStyle w:val="3"/>
        <w:ind w:firstLine="482"/>
        <w:rPr>
          <w:rFonts w:hint="eastAsia"/>
        </w:rPr>
      </w:pPr>
      <w:r>
        <w:t>第六条 运输</w:t>
      </w:r>
    </w:p>
    <w:p w14:paraId="1B94112A">
      <w:pPr>
        <w:pStyle w:val="11"/>
        <w:rPr>
          <w:rFonts w:hint="eastAsia"/>
        </w:rPr>
      </w:pPr>
      <w:r>
        <w:t>（一）运输由乙方负责，运杂费包含在货物协议单价内，包括但不限于货物运输所含的运输费、装卸费、仓储费、保险费等。</w:t>
      </w:r>
    </w:p>
    <w:p w14:paraId="1A634835">
      <w:pPr>
        <w:pStyle w:val="11"/>
        <w:rPr>
          <w:rFonts w:hint="eastAsia"/>
        </w:rPr>
      </w:pPr>
      <w:r>
        <w:t>（二）乙方保证货物安全、按期运送到达甲方指定交货地点，在交付甲方前发生的不可预见的风险均由乙方承担。</w:t>
      </w:r>
    </w:p>
    <w:p w14:paraId="59A74033">
      <w:pPr>
        <w:pStyle w:val="3"/>
        <w:ind w:firstLine="482"/>
        <w:rPr>
          <w:rFonts w:hint="eastAsia"/>
        </w:rPr>
      </w:pPr>
      <w:r>
        <w:t>第七条</w:t>
      </w:r>
      <w:r>
        <w:rPr>
          <w:rFonts w:hint="eastAsia"/>
        </w:rPr>
        <w:t xml:space="preserve"> </w:t>
      </w:r>
      <w:r>
        <w:t>乙方质量保证</w:t>
      </w:r>
    </w:p>
    <w:p w14:paraId="5ECA1813">
      <w:pPr>
        <w:pStyle w:val="3"/>
        <w:numPr>
          <w:ilvl w:val="0"/>
          <w:numId w:val="1"/>
        </w:numPr>
        <w:ind w:firstLine="482"/>
        <w:rPr>
          <w:rFonts w:hint="eastAsia"/>
        </w:rPr>
      </w:pPr>
      <w:r>
        <w:t>乙方售后服务</w:t>
      </w:r>
    </w:p>
    <w:p w14:paraId="12845850">
      <w:pPr>
        <w:pStyle w:val="3"/>
        <w:ind w:firstLine="482"/>
        <w:rPr>
          <w:rFonts w:hint="eastAsia"/>
        </w:rPr>
      </w:pPr>
      <w:r>
        <w:t>第九条</w:t>
      </w:r>
      <w:r>
        <w:rPr>
          <w:rFonts w:hint="eastAsia"/>
        </w:rPr>
        <w:t xml:space="preserve"> </w:t>
      </w:r>
      <w:r>
        <w:t>乙方提供技术与服务</w:t>
      </w:r>
    </w:p>
    <w:p w14:paraId="54BE2609">
      <w:pPr>
        <w:pStyle w:val="11"/>
        <w:rPr>
          <w:rFonts w:hint="eastAsia"/>
        </w:rPr>
      </w:pPr>
      <w:r>
        <w:rPr>
          <w:rFonts w:hint="eastAsia"/>
        </w:rPr>
        <w:t>随同货物提供相应的中文技术文件（包括产品合格证、装箱清单、使用说明、检测报告、服务指南等资料）。</w:t>
      </w:r>
    </w:p>
    <w:p w14:paraId="0B5AADD0">
      <w:pPr>
        <w:pStyle w:val="3"/>
        <w:ind w:firstLine="482"/>
        <w:rPr>
          <w:rFonts w:hint="eastAsia"/>
        </w:rPr>
      </w:pPr>
      <w:r>
        <w:t>第</w:t>
      </w:r>
      <w:r>
        <w:rPr>
          <w:rFonts w:hint="eastAsia"/>
        </w:rPr>
        <w:t>十</w:t>
      </w:r>
      <w:r>
        <w:t>条 违约责任</w:t>
      </w:r>
    </w:p>
    <w:p w14:paraId="51B3ED1C">
      <w:pPr>
        <w:pStyle w:val="11"/>
        <w:rPr>
          <w:rFonts w:hint="eastAsia"/>
        </w:rPr>
      </w:pPr>
      <w:r>
        <w:rPr>
          <w:rFonts w:hint="eastAsia"/>
        </w:rPr>
        <w:t>（一）按《中华人民共和国民法典》中的相关条款执行。</w:t>
      </w:r>
    </w:p>
    <w:p w14:paraId="7E9C2ED3">
      <w:pPr>
        <w:pStyle w:val="11"/>
        <w:rPr>
          <w:rFonts w:hint="eastAsia"/>
        </w:rPr>
      </w:pPr>
      <w:r>
        <w:rPr>
          <w:rFonts w:hint="eastAsia"/>
        </w:rPr>
        <w:t>（二）乙方未能按期履行合同或乙方未按合同要求提供设备或设备质量不能满足甲方要求，甲方有权单方面解除合同，乙方除应返还甲方已支付的款项外，还应承担本合同总金额10%的违约金，违约金不足以弥补损失的，乙方应予补足；</w:t>
      </w:r>
    </w:p>
    <w:p w14:paraId="21AD3718">
      <w:pPr>
        <w:pStyle w:val="11"/>
        <w:rPr>
          <w:rFonts w:hint="eastAsia"/>
        </w:rPr>
      </w:pPr>
      <w:r>
        <w:rPr>
          <w:rFonts w:hint="eastAsia"/>
        </w:rPr>
        <w:t>（三）交货期每逾期一天，乙方应向甲方支付合同总价款的5‰违约金。逾期超过15日的，甲方有权单方面解除本合同，乙方除退还甲方已支付全部费用外还应按照合同总价的10%向甲方支付违约金。违约金不足以弥补损失的，乙方应予以补足。</w:t>
      </w:r>
    </w:p>
    <w:p w14:paraId="5B706046">
      <w:pPr>
        <w:pStyle w:val="3"/>
        <w:ind w:firstLine="482"/>
        <w:rPr>
          <w:rFonts w:hint="eastAsia"/>
        </w:rPr>
      </w:pPr>
      <w:r>
        <w:t>第十</w:t>
      </w:r>
      <w:r>
        <w:rPr>
          <w:rFonts w:hint="eastAsia"/>
        </w:rPr>
        <w:t>一</w:t>
      </w:r>
      <w:r>
        <w:t>条 验收</w:t>
      </w:r>
    </w:p>
    <w:p w14:paraId="47B8598E">
      <w:pPr>
        <w:pStyle w:val="11"/>
        <w:rPr>
          <w:rFonts w:hint="eastAsia"/>
        </w:rPr>
      </w:pPr>
      <w:r>
        <w:rPr>
          <w:rFonts w:hint="eastAsia"/>
        </w:rPr>
        <w:t>（一）产品到达甲方指定地点后，甲方根据合同约定，对产品进行外观验收、确认产品的产地、规格、型号和数量。器材所有产品外包装箱、单个产品包装盒上必须印制或粘贴下列基本信息：产品生产厂家、生产日期、有效期、生产厂家联系人、联系电话；代理厂商联系人、联系电话、售后联系人、联系方式。</w:t>
      </w:r>
    </w:p>
    <w:p w14:paraId="065085B7">
      <w:pPr>
        <w:pStyle w:val="11"/>
        <w:rPr>
          <w:rFonts w:hint="eastAsia"/>
        </w:rPr>
      </w:pPr>
      <w:r>
        <w:rPr>
          <w:rFonts w:hint="eastAsia"/>
        </w:rPr>
        <w:t>（二）甲方确认乙方的自检内容后（必要时请有关专家）进行系统验收，填写项目验收单，作为对设备的最终认可。</w:t>
      </w:r>
    </w:p>
    <w:p w14:paraId="5A266AE3">
      <w:pPr>
        <w:pStyle w:val="11"/>
        <w:rPr>
          <w:rFonts w:hint="eastAsia"/>
        </w:rPr>
      </w:pPr>
      <w:r>
        <w:rPr>
          <w:rFonts w:hint="eastAsia"/>
        </w:rPr>
        <w:t>（三）验收依据：</w:t>
      </w:r>
    </w:p>
    <w:p w14:paraId="0EDF6328">
      <w:pPr>
        <w:pStyle w:val="11"/>
        <w:rPr>
          <w:rFonts w:hint="eastAsia"/>
        </w:rPr>
      </w:pPr>
      <w:r>
        <w:rPr>
          <w:rFonts w:hint="eastAsia"/>
        </w:rPr>
        <w:t>1.招标文件、投标文件、澄清表（函）；</w:t>
      </w:r>
    </w:p>
    <w:p w14:paraId="2AEB9D18">
      <w:pPr>
        <w:pStyle w:val="11"/>
        <w:rPr>
          <w:rFonts w:hint="eastAsia"/>
        </w:rPr>
      </w:pPr>
      <w:r>
        <w:rPr>
          <w:rFonts w:hint="eastAsia"/>
        </w:rPr>
        <w:t>2.本合同及附件文本；</w:t>
      </w:r>
    </w:p>
    <w:p w14:paraId="2BF677F6">
      <w:pPr>
        <w:pStyle w:val="11"/>
        <w:rPr>
          <w:rFonts w:hint="eastAsia"/>
        </w:rPr>
      </w:pPr>
      <w:r>
        <w:rPr>
          <w:rFonts w:hint="eastAsia"/>
        </w:rPr>
        <w:t>3.技术参数中要求的有效证书；</w:t>
      </w:r>
    </w:p>
    <w:p w14:paraId="4E829EF0">
      <w:pPr>
        <w:pStyle w:val="11"/>
        <w:rPr>
          <w:rFonts w:hint="eastAsia"/>
        </w:rPr>
      </w:pPr>
      <w:r>
        <w:rPr>
          <w:rFonts w:hint="eastAsia"/>
        </w:rPr>
        <w:t>4.相应的国家标准、规范等。</w:t>
      </w:r>
    </w:p>
    <w:p w14:paraId="66AF2B94">
      <w:pPr>
        <w:pStyle w:val="3"/>
        <w:ind w:firstLine="482"/>
        <w:rPr>
          <w:rFonts w:hint="eastAsia"/>
        </w:rPr>
      </w:pPr>
      <w:r>
        <w:t>第十</w:t>
      </w:r>
      <w:r>
        <w:rPr>
          <w:rFonts w:hint="eastAsia"/>
        </w:rPr>
        <w:t>二</w:t>
      </w:r>
      <w:r>
        <w:t>条 不可抗力</w:t>
      </w:r>
    </w:p>
    <w:p w14:paraId="6927C3E6">
      <w:pPr>
        <w:pStyle w:val="11"/>
        <w:rPr>
          <w:rFonts w:hint="eastAsia"/>
        </w:rPr>
      </w:pPr>
      <w:r>
        <w:t>（一）本协议不可抗力指地震、台风、火灾、战争、罢工以及其他双方不能预见、不能避免并不能克服的客观情况。</w:t>
      </w:r>
    </w:p>
    <w:p w14:paraId="3593476A">
      <w:pPr>
        <w:pStyle w:val="11"/>
        <w:rPr>
          <w:rFonts w:hint="eastAsia"/>
        </w:rPr>
      </w:pPr>
      <w:r>
        <w:t>（二）由于不可抗力致使协议无法正常履行的，受不可抗力影响一方应立即将不能履行本协议的事实书面通知对方，乙方负责按照甲方要求应急解决。</w:t>
      </w:r>
    </w:p>
    <w:p w14:paraId="6E2786D2">
      <w:pPr>
        <w:pStyle w:val="11"/>
        <w:rPr>
          <w:rFonts w:hint="eastAsia"/>
        </w:rPr>
      </w:pPr>
      <w:r>
        <w:t>（三）本协议在不可抗力影响范围及其持续期间内将中止履行，双方无需承担违约责任。</w:t>
      </w:r>
    </w:p>
    <w:p w14:paraId="4EEFF5A2">
      <w:pPr>
        <w:pStyle w:val="11"/>
        <w:rPr>
          <w:rFonts w:hint="eastAsia"/>
        </w:rPr>
      </w:pPr>
      <w:r>
        <w:t>（四）一方迟延履行后发生不可抗力的，不能免除责任。</w:t>
      </w:r>
    </w:p>
    <w:p w14:paraId="30C661F9">
      <w:pPr>
        <w:pStyle w:val="3"/>
        <w:ind w:firstLine="482"/>
        <w:rPr>
          <w:rFonts w:hint="eastAsia"/>
        </w:rPr>
      </w:pPr>
      <w:r>
        <w:t>第十</w:t>
      </w:r>
      <w:r>
        <w:rPr>
          <w:rFonts w:hint="eastAsia"/>
        </w:rPr>
        <w:t>三</w:t>
      </w:r>
      <w:r>
        <w:t>条 协议争议解决的方式</w:t>
      </w:r>
    </w:p>
    <w:p w14:paraId="7303E336">
      <w:pPr>
        <w:pStyle w:val="11"/>
        <w:rPr>
          <w:rFonts w:hint="eastAsia"/>
        </w:rPr>
      </w:pPr>
      <w:r>
        <w:t>本协议在履行过程中发生的争议，由甲、乙双方当事人协商解决；协商不成的，任意</w:t>
      </w:r>
      <w:bookmarkStart w:id="1" w:name="第四章采购内容及技术要求"/>
      <w:bookmarkEnd w:id="1"/>
      <w:r>
        <w:t>一方应向甲方所在地人民法院起诉。</w:t>
      </w:r>
    </w:p>
    <w:p w14:paraId="7D0C6116">
      <w:pPr>
        <w:pStyle w:val="3"/>
        <w:ind w:firstLine="482"/>
        <w:rPr>
          <w:rFonts w:hint="eastAsia"/>
        </w:rPr>
      </w:pPr>
      <w:r>
        <w:t>第十</w:t>
      </w:r>
      <w:r>
        <w:rPr>
          <w:rFonts w:hint="eastAsia"/>
        </w:rPr>
        <w:t>四</w:t>
      </w:r>
      <w:r>
        <w:t>条 其他事项</w:t>
      </w:r>
    </w:p>
    <w:p w14:paraId="2AD8B633">
      <w:pPr>
        <w:pStyle w:val="11"/>
        <w:rPr>
          <w:rFonts w:hint="eastAsia"/>
        </w:rPr>
      </w:pPr>
      <w:r>
        <w:rPr>
          <w:rFonts w:hint="eastAsia"/>
        </w:rPr>
        <w:t>1、招标文件、投标文件、澄清表（函）、合同附件均成为合同不可分割的部分。</w:t>
      </w:r>
    </w:p>
    <w:p w14:paraId="56D28D74">
      <w:pPr>
        <w:pStyle w:val="11"/>
        <w:rPr>
          <w:rFonts w:hint="eastAsia"/>
        </w:rPr>
      </w:pPr>
      <w:r>
        <w:rPr>
          <w:rFonts w:hint="eastAsia"/>
        </w:rPr>
        <w:t>2、合同未尽事宜，由甲、乙双方协商，另行签订补充合同，为本合同有效组成部分。</w:t>
      </w:r>
    </w:p>
    <w:p w14:paraId="5DFE4EC2">
      <w:pPr>
        <w:pStyle w:val="11"/>
        <w:ind w:firstLine="420" w:firstLineChars="0"/>
        <w:rPr>
          <w:rFonts w:hint="eastAsia"/>
        </w:rPr>
      </w:pPr>
      <w:r>
        <w:rPr>
          <w:rFonts w:hint="eastAsia"/>
        </w:rPr>
        <w:t>本合同一式伍份，甲方执叁份，乙方执贰份。各方签字盖章后生效，合同执行完毕自动终止。（合同的服务承诺则长期有效）。</w:t>
      </w:r>
    </w:p>
    <w:p w14:paraId="1EF8143F">
      <w:pPr>
        <w:pStyle w:val="11"/>
        <w:rPr>
          <w:rFonts w:hint="eastAsia"/>
        </w:rPr>
      </w:pPr>
    </w:p>
    <w:tbl>
      <w:tblPr>
        <w:tblStyle w:val="38"/>
        <w:tblW w:w="5520" w:type="pct"/>
        <w:tblInd w:w="-271" w:type="dxa"/>
        <w:tblLayout w:type="autofit"/>
        <w:tblCellMar>
          <w:top w:w="0" w:type="dxa"/>
          <w:left w:w="0" w:type="dxa"/>
          <w:bottom w:w="0" w:type="dxa"/>
          <w:right w:w="0" w:type="dxa"/>
        </w:tblCellMar>
      </w:tblPr>
      <w:tblGrid>
        <w:gridCol w:w="2701"/>
        <w:gridCol w:w="1730"/>
        <w:gridCol w:w="2974"/>
        <w:gridCol w:w="1765"/>
      </w:tblGrid>
      <w:tr w14:paraId="00533F33">
        <w:tblPrEx>
          <w:tblCellMar>
            <w:top w:w="0" w:type="dxa"/>
            <w:left w:w="0" w:type="dxa"/>
            <w:bottom w:w="0" w:type="dxa"/>
            <w:right w:w="0" w:type="dxa"/>
          </w:tblCellMar>
        </w:tblPrEx>
        <w:trPr>
          <w:trHeight w:val="369" w:hRule="atLeast"/>
        </w:trPr>
        <w:tc>
          <w:tcPr>
            <w:tcW w:w="1473" w:type="pct"/>
          </w:tcPr>
          <w:p w14:paraId="075612D3">
            <w:pPr>
              <w:pStyle w:val="11"/>
              <w:ind w:firstLine="0" w:firstLineChars="0"/>
              <w:rPr>
                <w:rFonts w:hint="eastAsia"/>
                <w:lang w:eastAsia="en-US"/>
              </w:rPr>
            </w:pPr>
            <w:r>
              <w:rPr>
                <w:spacing w:val="-10"/>
                <w:lang w:eastAsia="en-US"/>
              </w:rPr>
              <w:t>甲</w:t>
            </w:r>
            <w:r>
              <w:rPr>
                <w:lang w:eastAsia="en-US"/>
              </w:rPr>
              <w:t>方：</w:t>
            </w:r>
          </w:p>
        </w:tc>
        <w:tc>
          <w:tcPr>
            <w:tcW w:w="943" w:type="pct"/>
          </w:tcPr>
          <w:p w14:paraId="0C1CCFEB">
            <w:pPr>
              <w:pStyle w:val="11"/>
              <w:ind w:firstLine="0" w:firstLineChars="0"/>
              <w:rPr>
                <w:rFonts w:hint="eastAsia"/>
                <w:lang w:eastAsia="en-US"/>
              </w:rPr>
            </w:pPr>
          </w:p>
        </w:tc>
        <w:tc>
          <w:tcPr>
            <w:tcW w:w="1621" w:type="pct"/>
            <w:vAlign w:val="center"/>
          </w:tcPr>
          <w:p w14:paraId="486124BD">
            <w:pPr>
              <w:pStyle w:val="11"/>
              <w:ind w:firstLine="0" w:firstLineChars="0"/>
              <w:rPr>
                <w:rFonts w:hint="eastAsia"/>
                <w:lang w:eastAsia="en-US"/>
              </w:rPr>
            </w:pPr>
            <w:r>
              <w:rPr>
                <w:spacing w:val="-10"/>
                <w:lang w:eastAsia="en-US"/>
              </w:rPr>
              <w:t>乙</w:t>
            </w:r>
            <w:r>
              <w:rPr>
                <w:lang w:eastAsia="en-US"/>
              </w:rPr>
              <w:t>方：</w:t>
            </w:r>
          </w:p>
        </w:tc>
        <w:tc>
          <w:tcPr>
            <w:tcW w:w="962" w:type="pct"/>
          </w:tcPr>
          <w:p w14:paraId="51CB539B">
            <w:pPr>
              <w:pStyle w:val="11"/>
              <w:ind w:firstLine="0" w:firstLineChars="0"/>
              <w:rPr>
                <w:rFonts w:hint="eastAsia"/>
                <w:lang w:eastAsia="en-US"/>
              </w:rPr>
            </w:pPr>
          </w:p>
        </w:tc>
      </w:tr>
      <w:tr w14:paraId="027E44A3">
        <w:tblPrEx>
          <w:tblCellMar>
            <w:top w:w="0" w:type="dxa"/>
            <w:left w:w="0" w:type="dxa"/>
            <w:bottom w:w="0" w:type="dxa"/>
            <w:right w:w="0" w:type="dxa"/>
          </w:tblCellMar>
        </w:tblPrEx>
        <w:trPr>
          <w:trHeight w:val="369" w:hRule="atLeast"/>
        </w:trPr>
        <w:tc>
          <w:tcPr>
            <w:tcW w:w="1473" w:type="pct"/>
          </w:tcPr>
          <w:p w14:paraId="14AC2B7F">
            <w:pPr>
              <w:pStyle w:val="11"/>
              <w:ind w:firstLine="0" w:firstLineChars="0"/>
              <w:rPr>
                <w:rFonts w:hint="eastAsia"/>
                <w:lang w:eastAsia="en-US"/>
              </w:rPr>
            </w:pPr>
            <w:r>
              <w:rPr>
                <w:spacing w:val="-10"/>
                <w:lang w:eastAsia="en-US"/>
              </w:rPr>
              <w:t>地</w:t>
            </w:r>
            <w:r>
              <w:rPr>
                <w:lang w:eastAsia="en-US"/>
              </w:rPr>
              <w:t>址</w:t>
            </w:r>
          </w:p>
        </w:tc>
        <w:tc>
          <w:tcPr>
            <w:tcW w:w="943" w:type="pct"/>
          </w:tcPr>
          <w:p w14:paraId="2C0D61CF">
            <w:pPr>
              <w:pStyle w:val="11"/>
              <w:ind w:firstLine="0" w:firstLineChars="0"/>
              <w:rPr>
                <w:rFonts w:hint="eastAsia"/>
                <w:lang w:eastAsia="en-US"/>
              </w:rPr>
            </w:pPr>
            <w:r>
              <w:rPr>
                <w:lang w:eastAsia="en-US"/>
              </w:rPr>
              <w:t>：</w:t>
            </w:r>
          </w:p>
        </w:tc>
        <w:tc>
          <w:tcPr>
            <w:tcW w:w="1621" w:type="pct"/>
            <w:vAlign w:val="center"/>
          </w:tcPr>
          <w:p w14:paraId="186E0CA9">
            <w:pPr>
              <w:pStyle w:val="11"/>
              <w:ind w:firstLine="0" w:firstLineChars="0"/>
              <w:rPr>
                <w:rFonts w:hint="eastAsia"/>
                <w:lang w:eastAsia="en-US"/>
              </w:rPr>
            </w:pPr>
            <w:r>
              <w:rPr>
                <w:spacing w:val="-10"/>
                <w:lang w:eastAsia="en-US"/>
              </w:rPr>
              <w:t>地</w:t>
            </w:r>
            <w:r>
              <w:rPr>
                <w:lang w:eastAsia="en-US"/>
              </w:rPr>
              <w:t>址：</w:t>
            </w:r>
          </w:p>
        </w:tc>
        <w:tc>
          <w:tcPr>
            <w:tcW w:w="962" w:type="pct"/>
          </w:tcPr>
          <w:p w14:paraId="50E87FDE">
            <w:pPr>
              <w:pStyle w:val="11"/>
              <w:ind w:firstLine="0" w:firstLineChars="0"/>
              <w:rPr>
                <w:rFonts w:hint="eastAsia"/>
                <w:lang w:eastAsia="en-US"/>
              </w:rPr>
            </w:pPr>
          </w:p>
        </w:tc>
      </w:tr>
      <w:tr w14:paraId="13DAD78D">
        <w:tblPrEx>
          <w:tblCellMar>
            <w:top w:w="0" w:type="dxa"/>
            <w:left w:w="0" w:type="dxa"/>
            <w:bottom w:w="0" w:type="dxa"/>
            <w:right w:w="0" w:type="dxa"/>
          </w:tblCellMar>
        </w:tblPrEx>
        <w:trPr>
          <w:trHeight w:val="369" w:hRule="atLeast"/>
        </w:trPr>
        <w:tc>
          <w:tcPr>
            <w:tcW w:w="1473" w:type="pct"/>
          </w:tcPr>
          <w:p w14:paraId="34243B9E">
            <w:pPr>
              <w:pStyle w:val="11"/>
              <w:ind w:firstLine="0" w:firstLineChars="0"/>
              <w:rPr>
                <w:rFonts w:hint="eastAsia"/>
                <w:spacing w:val="-10"/>
                <w:lang w:eastAsia="en-US"/>
              </w:rPr>
            </w:pPr>
            <w:r>
              <w:rPr>
                <w:rFonts w:hint="eastAsia"/>
                <w:lang w:eastAsia="en-US"/>
              </w:rPr>
              <w:t>法定代表人/委托代理人：</w:t>
            </w:r>
          </w:p>
        </w:tc>
        <w:tc>
          <w:tcPr>
            <w:tcW w:w="943" w:type="pct"/>
          </w:tcPr>
          <w:p w14:paraId="6D0FFDF4">
            <w:pPr>
              <w:pStyle w:val="11"/>
              <w:ind w:firstLine="0" w:firstLineChars="0"/>
              <w:rPr>
                <w:rFonts w:hint="eastAsia"/>
                <w:lang w:eastAsia="en-US"/>
              </w:rPr>
            </w:pPr>
          </w:p>
        </w:tc>
        <w:tc>
          <w:tcPr>
            <w:tcW w:w="1621" w:type="pct"/>
            <w:vAlign w:val="center"/>
          </w:tcPr>
          <w:p w14:paraId="198E6684">
            <w:pPr>
              <w:pStyle w:val="11"/>
              <w:ind w:firstLine="0" w:firstLineChars="0"/>
              <w:rPr>
                <w:rFonts w:hint="eastAsia"/>
                <w:spacing w:val="-10"/>
                <w:lang w:eastAsia="en-US"/>
              </w:rPr>
            </w:pPr>
            <w:r>
              <w:rPr>
                <w:rFonts w:hint="eastAsia"/>
                <w:lang w:eastAsia="en-US"/>
              </w:rPr>
              <w:t>法定代表人/委托代理人：</w:t>
            </w:r>
          </w:p>
        </w:tc>
        <w:tc>
          <w:tcPr>
            <w:tcW w:w="962" w:type="pct"/>
          </w:tcPr>
          <w:p w14:paraId="06FF8696">
            <w:pPr>
              <w:pStyle w:val="11"/>
              <w:ind w:firstLine="0" w:firstLineChars="0"/>
              <w:rPr>
                <w:rFonts w:hint="eastAsia"/>
                <w:lang w:eastAsia="en-US"/>
              </w:rPr>
            </w:pPr>
          </w:p>
        </w:tc>
      </w:tr>
      <w:tr w14:paraId="07D225D4">
        <w:tblPrEx>
          <w:tblCellMar>
            <w:top w:w="0" w:type="dxa"/>
            <w:left w:w="0" w:type="dxa"/>
            <w:bottom w:w="0" w:type="dxa"/>
            <w:right w:w="0" w:type="dxa"/>
          </w:tblCellMar>
        </w:tblPrEx>
        <w:trPr>
          <w:trHeight w:val="369" w:hRule="atLeast"/>
        </w:trPr>
        <w:tc>
          <w:tcPr>
            <w:tcW w:w="1473" w:type="pct"/>
          </w:tcPr>
          <w:p w14:paraId="0DB883AB">
            <w:pPr>
              <w:pStyle w:val="11"/>
              <w:ind w:firstLine="0" w:firstLineChars="0"/>
              <w:rPr>
                <w:rFonts w:hint="eastAsia"/>
                <w:lang w:eastAsia="zh-CN"/>
              </w:rPr>
            </w:pPr>
            <w:r>
              <w:rPr>
                <w:rFonts w:hint="eastAsia"/>
                <w:lang w:eastAsia="zh-CN"/>
              </w:rPr>
              <w:t>经办人：</w:t>
            </w:r>
          </w:p>
        </w:tc>
        <w:tc>
          <w:tcPr>
            <w:tcW w:w="943" w:type="pct"/>
          </w:tcPr>
          <w:p w14:paraId="7A9FE99F">
            <w:pPr>
              <w:pStyle w:val="11"/>
              <w:ind w:firstLine="0" w:firstLineChars="0"/>
              <w:rPr>
                <w:rFonts w:hint="eastAsia"/>
                <w:lang w:eastAsia="en-US"/>
              </w:rPr>
            </w:pPr>
          </w:p>
        </w:tc>
        <w:tc>
          <w:tcPr>
            <w:tcW w:w="1621" w:type="pct"/>
            <w:vAlign w:val="center"/>
          </w:tcPr>
          <w:p w14:paraId="63D262EF">
            <w:pPr>
              <w:pStyle w:val="11"/>
              <w:ind w:firstLine="0" w:firstLineChars="0"/>
              <w:rPr>
                <w:rFonts w:hint="eastAsia"/>
                <w:lang w:eastAsia="en-US"/>
              </w:rPr>
            </w:pPr>
          </w:p>
        </w:tc>
        <w:tc>
          <w:tcPr>
            <w:tcW w:w="962" w:type="pct"/>
          </w:tcPr>
          <w:p w14:paraId="192A5380">
            <w:pPr>
              <w:pStyle w:val="11"/>
              <w:ind w:firstLine="0" w:firstLineChars="0"/>
              <w:rPr>
                <w:rFonts w:hint="eastAsia"/>
                <w:lang w:eastAsia="en-US"/>
              </w:rPr>
            </w:pPr>
          </w:p>
        </w:tc>
      </w:tr>
      <w:tr w14:paraId="3537EDA6">
        <w:tblPrEx>
          <w:tblCellMar>
            <w:top w:w="0" w:type="dxa"/>
            <w:left w:w="0" w:type="dxa"/>
            <w:bottom w:w="0" w:type="dxa"/>
            <w:right w:w="0" w:type="dxa"/>
          </w:tblCellMar>
        </w:tblPrEx>
        <w:trPr>
          <w:trHeight w:val="369" w:hRule="atLeast"/>
        </w:trPr>
        <w:tc>
          <w:tcPr>
            <w:tcW w:w="1473" w:type="pct"/>
          </w:tcPr>
          <w:p w14:paraId="4D218ED3">
            <w:pPr>
              <w:pStyle w:val="11"/>
              <w:ind w:firstLine="0" w:firstLineChars="0"/>
              <w:rPr>
                <w:rFonts w:hint="eastAsia"/>
                <w:lang w:eastAsia="en-US"/>
              </w:rPr>
            </w:pPr>
            <w:r>
              <w:rPr>
                <w:rFonts w:hint="eastAsia"/>
                <w:spacing w:val="-10"/>
                <w:lang w:eastAsia="en-US"/>
              </w:rPr>
              <w:t>联 系 电 话</w:t>
            </w:r>
          </w:p>
        </w:tc>
        <w:tc>
          <w:tcPr>
            <w:tcW w:w="943" w:type="pct"/>
          </w:tcPr>
          <w:p w14:paraId="1B7123C6">
            <w:pPr>
              <w:pStyle w:val="11"/>
              <w:ind w:firstLine="0" w:firstLineChars="0"/>
              <w:rPr>
                <w:rFonts w:hint="eastAsia"/>
                <w:lang w:eastAsia="en-US"/>
              </w:rPr>
            </w:pPr>
          </w:p>
        </w:tc>
        <w:tc>
          <w:tcPr>
            <w:tcW w:w="1621" w:type="pct"/>
          </w:tcPr>
          <w:p w14:paraId="5E7624B7">
            <w:pPr>
              <w:pStyle w:val="11"/>
              <w:ind w:firstLine="0" w:firstLineChars="0"/>
              <w:rPr>
                <w:rFonts w:hint="eastAsia"/>
                <w:lang w:eastAsia="en-US"/>
              </w:rPr>
            </w:pPr>
            <w:r>
              <w:rPr>
                <w:rFonts w:hint="eastAsia"/>
                <w:spacing w:val="-10"/>
                <w:lang w:eastAsia="en-US"/>
              </w:rPr>
              <w:t>联 系 电 话</w:t>
            </w:r>
          </w:p>
        </w:tc>
        <w:tc>
          <w:tcPr>
            <w:tcW w:w="962" w:type="pct"/>
          </w:tcPr>
          <w:p w14:paraId="756B6CC0">
            <w:pPr>
              <w:pStyle w:val="11"/>
              <w:ind w:firstLine="0" w:firstLineChars="0"/>
              <w:rPr>
                <w:rFonts w:hint="eastAsia"/>
                <w:lang w:eastAsia="en-US"/>
              </w:rPr>
            </w:pPr>
          </w:p>
        </w:tc>
      </w:tr>
      <w:tr w14:paraId="3CFB65CF">
        <w:tblPrEx>
          <w:tblCellMar>
            <w:top w:w="0" w:type="dxa"/>
            <w:left w:w="0" w:type="dxa"/>
            <w:bottom w:w="0" w:type="dxa"/>
            <w:right w:w="0" w:type="dxa"/>
          </w:tblCellMar>
        </w:tblPrEx>
        <w:trPr>
          <w:trHeight w:val="369" w:hRule="atLeast"/>
        </w:trPr>
        <w:tc>
          <w:tcPr>
            <w:tcW w:w="1473" w:type="pct"/>
          </w:tcPr>
          <w:p w14:paraId="4840342A">
            <w:pPr>
              <w:pStyle w:val="11"/>
              <w:ind w:firstLine="0" w:firstLineChars="0"/>
              <w:rPr>
                <w:rFonts w:hint="eastAsia"/>
                <w:spacing w:val="-10"/>
                <w:lang w:eastAsia="en-US"/>
              </w:rPr>
            </w:pPr>
            <w:r>
              <w:rPr>
                <w:rFonts w:hint="eastAsia"/>
                <w:spacing w:val="-10"/>
                <w:lang w:eastAsia="en-US"/>
              </w:rPr>
              <w:t>签 订 日 期：</w:t>
            </w:r>
          </w:p>
        </w:tc>
        <w:tc>
          <w:tcPr>
            <w:tcW w:w="943" w:type="pct"/>
          </w:tcPr>
          <w:p w14:paraId="621E1C94">
            <w:pPr>
              <w:pStyle w:val="11"/>
              <w:ind w:firstLine="0" w:firstLineChars="0"/>
              <w:rPr>
                <w:rFonts w:hint="eastAsia"/>
                <w:lang w:eastAsia="en-US"/>
              </w:rPr>
            </w:pPr>
          </w:p>
        </w:tc>
        <w:tc>
          <w:tcPr>
            <w:tcW w:w="1621" w:type="pct"/>
          </w:tcPr>
          <w:p w14:paraId="383B3421">
            <w:pPr>
              <w:pStyle w:val="11"/>
              <w:ind w:firstLine="0" w:firstLineChars="0"/>
              <w:rPr>
                <w:rFonts w:hint="eastAsia"/>
                <w:lang w:eastAsia="en-US"/>
              </w:rPr>
            </w:pPr>
            <w:r>
              <w:rPr>
                <w:rFonts w:hint="eastAsia"/>
                <w:spacing w:val="-10"/>
                <w:lang w:eastAsia="en-US"/>
              </w:rPr>
              <w:t>签 订 日 期：</w:t>
            </w:r>
          </w:p>
        </w:tc>
        <w:tc>
          <w:tcPr>
            <w:tcW w:w="962" w:type="pct"/>
          </w:tcPr>
          <w:p w14:paraId="524BB213">
            <w:pPr>
              <w:pStyle w:val="11"/>
              <w:ind w:firstLine="0" w:firstLineChars="0"/>
              <w:rPr>
                <w:rFonts w:hint="eastAsia"/>
                <w:lang w:eastAsia="en-US"/>
              </w:rPr>
            </w:pPr>
          </w:p>
        </w:tc>
      </w:tr>
    </w:tbl>
    <w:p w14:paraId="61B813F2">
      <w:pPr>
        <w:rPr>
          <w:rFonts w:hint="eastAsia"/>
        </w:rPr>
      </w:pPr>
    </w:p>
    <w:p w14:paraId="1BD18454">
      <w:pPr>
        <w:rPr>
          <w:rFonts w:hint="eastAsia"/>
        </w:rPr>
      </w:pPr>
    </w:p>
    <w:p w14:paraId="3466DB30">
      <w:pPr>
        <w:rPr>
          <w:rFonts w:hint="eastAsia"/>
        </w:rPr>
      </w:pPr>
    </w:p>
    <w:p w14:paraId="62058366">
      <w:pPr>
        <w:rPr>
          <w:rFonts w:hint="eastAsia"/>
        </w:rPr>
      </w:pPr>
    </w:p>
    <w:p w14:paraId="361EAB98">
      <w:pPr>
        <w:pStyle w:val="11"/>
        <w:ind w:firstLine="0" w:firstLineChars="0"/>
        <w:rPr>
          <w:rFonts w:hint="eastAsia"/>
        </w:rPr>
      </w:pPr>
      <w:r>
        <w:rPr>
          <w:rFonts w:hint="eastAsia"/>
        </w:rPr>
        <w:t>附 配置清单</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42510"/>
    <w:multiLevelType w:val="singleLevel"/>
    <w:tmpl w:val="92842510"/>
    <w:lvl w:ilvl="0" w:tentative="0">
      <w:start w:val="8"/>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644"/>
    <w:rsid w:val="00004B04"/>
    <w:rsid w:val="00086BFA"/>
    <w:rsid w:val="000A37A3"/>
    <w:rsid w:val="001862FA"/>
    <w:rsid w:val="00343476"/>
    <w:rsid w:val="003E2881"/>
    <w:rsid w:val="005255F3"/>
    <w:rsid w:val="00574058"/>
    <w:rsid w:val="005B6729"/>
    <w:rsid w:val="006221DF"/>
    <w:rsid w:val="00677742"/>
    <w:rsid w:val="006F609F"/>
    <w:rsid w:val="00753B71"/>
    <w:rsid w:val="009366CA"/>
    <w:rsid w:val="009F2D57"/>
    <w:rsid w:val="00C10344"/>
    <w:rsid w:val="00C45ACD"/>
    <w:rsid w:val="00D65644"/>
    <w:rsid w:val="00DD110D"/>
    <w:rsid w:val="00DD3B94"/>
    <w:rsid w:val="27DE3786"/>
    <w:rsid w:val="47F74A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spacing w:after="0" w:line="240" w:lineRule="auto"/>
    </w:pPr>
    <w:rPr>
      <w:rFonts w:ascii="仿宋" w:hAnsi="仿宋" w:eastAsia="仿宋" w:cs="仿宋"/>
      <w:kern w:val="0"/>
      <w:sz w:val="22"/>
      <w:szCs w:val="22"/>
      <w:lang w:val="en-US" w:eastAsia="zh-CN" w:bidi="ar-SA"/>
      <w14:ligatures w14:val="none"/>
    </w:rPr>
  </w:style>
  <w:style w:type="paragraph" w:styleId="2">
    <w:name w:val="heading 1"/>
    <w:basedOn w:val="1"/>
    <w:next w:val="1"/>
    <w:link w:val="18"/>
    <w:qFormat/>
    <w:uiPriority w:val="9"/>
    <w:pPr>
      <w:keepNext/>
      <w:keepLines/>
      <w:autoSpaceDE/>
      <w:autoSpaceDN/>
      <w:spacing w:before="480" w:after="80" w:line="278" w:lineRule="auto"/>
      <w:outlineLvl w:val="0"/>
    </w:pPr>
    <w:rPr>
      <w:rFonts w:asciiTheme="majorHAnsi" w:hAnsiTheme="majorHAnsi" w:eastAsiaTheme="majorEastAsia" w:cstheme="majorBidi"/>
      <w:color w:val="104862" w:themeColor="accent1" w:themeShade="BF"/>
      <w:kern w:val="2"/>
      <w:sz w:val="48"/>
      <w:szCs w:val="48"/>
      <w14:ligatures w14:val="standardContextual"/>
    </w:rPr>
  </w:style>
  <w:style w:type="paragraph" w:styleId="3">
    <w:name w:val="heading 2"/>
    <w:basedOn w:val="1"/>
    <w:next w:val="1"/>
    <w:link w:val="19"/>
    <w:unhideWhenUsed/>
    <w:qFormat/>
    <w:uiPriority w:val="9"/>
    <w:pPr>
      <w:spacing w:before="132"/>
      <w:ind w:firstLine="200" w:firstLineChars="200"/>
      <w:jc w:val="both"/>
      <w:outlineLvl w:val="1"/>
    </w:pPr>
    <w:rPr>
      <w:b/>
      <w:sz w:val="24"/>
    </w:rPr>
  </w:style>
  <w:style w:type="paragraph" w:styleId="4">
    <w:name w:val="heading 3"/>
    <w:basedOn w:val="1"/>
    <w:next w:val="1"/>
    <w:link w:val="20"/>
    <w:semiHidden/>
    <w:unhideWhenUsed/>
    <w:qFormat/>
    <w:uiPriority w:val="9"/>
    <w:pPr>
      <w:keepNext/>
      <w:keepLines/>
      <w:autoSpaceDE/>
      <w:autoSpaceDN/>
      <w:spacing w:before="160" w:after="80" w:line="278" w:lineRule="auto"/>
      <w:outlineLvl w:val="2"/>
    </w:pPr>
    <w:rPr>
      <w:rFonts w:asciiTheme="majorHAnsi" w:hAnsiTheme="majorHAnsi" w:eastAsiaTheme="majorEastAsia" w:cstheme="majorBidi"/>
      <w:color w:val="104862" w:themeColor="accent1" w:themeShade="BF"/>
      <w:kern w:val="2"/>
      <w:sz w:val="32"/>
      <w:szCs w:val="32"/>
      <w14:ligatures w14:val="standardContextual"/>
    </w:rPr>
  </w:style>
  <w:style w:type="paragraph" w:styleId="5">
    <w:name w:val="heading 4"/>
    <w:basedOn w:val="1"/>
    <w:next w:val="1"/>
    <w:link w:val="21"/>
    <w:semiHidden/>
    <w:unhideWhenUsed/>
    <w:qFormat/>
    <w:uiPriority w:val="9"/>
    <w:pPr>
      <w:keepNext/>
      <w:keepLines/>
      <w:autoSpaceDE/>
      <w:autoSpaceDN/>
      <w:spacing w:before="80" w:after="40" w:line="278" w:lineRule="auto"/>
      <w:outlineLvl w:val="3"/>
    </w:pPr>
    <w:rPr>
      <w:rFonts w:asciiTheme="minorHAnsi" w:hAnsiTheme="minorHAnsi" w:eastAsiaTheme="minorEastAsia" w:cstheme="majorBidi"/>
      <w:color w:val="104862" w:themeColor="accent1" w:themeShade="BF"/>
      <w:kern w:val="2"/>
      <w:sz w:val="28"/>
      <w:szCs w:val="28"/>
      <w14:ligatures w14:val="standardContextual"/>
    </w:rPr>
  </w:style>
  <w:style w:type="paragraph" w:styleId="6">
    <w:name w:val="heading 5"/>
    <w:basedOn w:val="1"/>
    <w:next w:val="1"/>
    <w:link w:val="22"/>
    <w:unhideWhenUsed/>
    <w:qFormat/>
    <w:uiPriority w:val="9"/>
    <w:pPr>
      <w:keepNext/>
      <w:keepLines/>
      <w:autoSpaceDE/>
      <w:autoSpaceDN/>
      <w:spacing w:before="80" w:after="40" w:line="278" w:lineRule="auto"/>
      <w:ind w:firstLine="480" w:firstLineChars="200"/>
      <w:outlineLvl w:val="4"/>
    </w:pPr>
    <w:rPr>
      <w:rFonts w:asciiTheme="minorHAnsi" w:hAnsiTheme="minorHAnsi" w:eastAsiaTheme="minorEastAsia" w:cstheme="majorBidi"/>
      <w:color w:val="000000" w:themeColor="text1"/>
      <w:kern w:val="2"/>
      <w:sz w:val="24"/>
      <w:szCs w:val="24"/>
      <w14:textFill>
        <w14:solidFill>
          <w14:schemeClr w14:val="tx1"/>
        </w14:solidFill>
      </w14:textFill>
      <w14:ligatures w14:val="standardContextual"/>
    </w:rPr>
  </w:style>
  <w:style w:type="paragraph" w:styleId="7">
    <w:name w:val="heading 6"/>
    <w:basedOn w:val="1"/>
    <w:next w:val="1"/>
    <w:link w:val="23"/>
    <w:semiHidden/>
    <w:unhideWhenUsed/>
    <w:qFormat/>
    <w:uiPriority w:val="9"/>
    <w:pPr>
      <w:keepNext/>
      <w:keepLines/>
      <w:autoSpaceDE/>
      <w:autoSpaceDN/>
      <w:spacing w:before="40" w:line="278" w:lineRule="auto"/>
      <w:outlineLvl w:val="5"/>
    </w:pPr>
    <w:rPr>
      <w:rFonts w:asciiTheme="minorHAnsi" w:hAnsiTheme="minorHAnsi" w:eastAsiaTheme="minorEastAsia" w:cstheme="majorBidi"/>
      <w:b/>
      <w:bCs/>
      <w:color w:val="104862" w:themeColor="accent1" w:themeShade="BF"/>
      <w:kern w:val="2"/>
      <w:szCs w:val="24"/>
      <w14:ligatures w14:val="standardContextual"/>
    </w:rPr>
  </w:style>
  <w:style w:type="paragraph" w:styleId="8">
    <w:name w:val="heading 7"/>
    <w:basedOn w:val="1"/>
    <w:next w:val="1"/>
    <w:link w:val="24"/>
    <w:semiHidden/>
    <w:unhideWhenUsed/>
    <w:qFormat/>
    <w:uiPriority w:val="9"/>
    <w:pPr>
      <w:keepNext/>
      <w:keepLines/>
      <w:autoSpaceDE/>
      <w:autoSpaceDN/>
      <w:spacing w:before="40" w:line="278" w:lineRule="auto"/>
      <w:outlineLvl w:val="6"/>
    </w:pPr>
    <w:rPr>
      <w:rFonts w:asciiTheme="minorHAnsi" w:hAnsiTheme="minorHAnsi" w:eastAsiaTheme="minorEastAsia" w:cstheme="majorBidi"/>
      <w:b/>
      <w:bCs/>
      <w:color w:val="595959" w:themeColor="text1" w:themeTint="A6"/>
      <w:kern w:val="2"/>
      <w:szCs w:val="24"/>
      <w14:textFill>
        <w14:solidFill>
          <w14:schemeClr w14:val="tx1">
            <w14:lumMod w14:val="65000"/>
            <w14:lumOff w14:val="35000"/>
          </w14:schemeClr>
        </w14:solidFill>
      </w14:textFill>
      <w14:ligatures w14:val="standardContextual"/>
    </w:rPr>
  </w:style>
  <w:style w:type="paragraph" w:styleId="9">
    <w:name w:val="heading 8"/>
    <w:basedOn w:val="1"/>
    <w:next w:val="1"/>
    <w:link w:val="25"/>
    <w:semiHidden/>
    <w:unhideWhenUsed/>
    <w:qFormat/>
    <w:uiPriority w:val="9"/>
    <w:pPr>
      <w:keepNext/>
      <w:keepLines/>
      <w:autoSpaceDE/>
      <w:autoSpaceDN/>
      <w:spacing w:line="278" w:lineRule="auto"/>
      <w:outlineLvl w:val="7"/>
    </w:pPr>
    <w:rPr>
      <w:rFonts w:asciiTheme="minorHAnsi" w:hAnsiTheme="minorHAnsi" w:eastAsiaTheme="minorEastAsia" w:cstheme="majorBidi"/>
      <w:color w:val="595959" w:themeColor="text1" w:themeTint="A6"/>
      <w:kern w:val="2"/>
      <w:szCs w:val="24"/>
      <w14:textFill>
        <w14:solidFill>
          <w14:schemeClr w14:val="tx1">
            <w14:lumMod w14:val="65000"/>
            <w14:lumOff w14:val="35000"/>
          </w14:schemeClr>
        </w14:solidFill>
      </w14:textFill>
      <w14:ligatures w14:val="standardContextual"/>
    </w:rPr>
  </w:style>
  <w:style w:type="paragraph" w:styleId="10">
    <w:name w:val="heading 9"/>
    <w:basedOn w:val="1"/>
    <w:next w:val="1"/>
    <w:link w:val="26"/>
    <w:semiHidden/>
    <w:unhideWhenUsed/>
    <w:qFormat/>
    <w:uiPriority w:val="9"/>
    <w:pPr>
      <w:keepNext/>
      <w:keepLines/>
      <w:autoSpaceDE/>
      <w:autoSpaceDN/>
      <w:spacing w:line="278" w:lineRule="auto"/>
      <w:outlineLvl w:val="8"/>
    </w:pPr>
    <w:rPr>
      <w:rFonts w:asciiTheme="minorHAnsi" w:hAnsiTheme="minorHAnsi" w:eastAsiaTheme="majorEastAsia" w:cstheme="majorBidi"/>
      <w:color w:val="595959" w:themeColor="text1" w:themeTint="A6"/>
      <w:kern w:val="2"/>
      <w:szCs w:val="24"/>
      <w14:textFill>
        <w14:solidFill>
          <w14:schemeClr w14:val="tx1">
            <w14:lumMod w14:val="65000"/>
            <w14:lumOff w14:val="35000"/>
          </w14:schemeClr>
        </w14:solidFill>
      </w14:textFill>
      <w14:ligatures w14:val="standardContextual"/>
    </w:rPr>
  </w:style>
  <w:style w:type="character" w:default="1" w:styleId="17">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39"/>
    <w:qFormat/>
    <w:uiPriority w:val="1"/>
    <w:pPr>
      <w:spacing w:line="540" w:lineRule="atLeast"/>
      <w:ind w:firstLine="472" w:firstLineChars="200"/>
    </w:pPr>
    <w:rPr>
      <w:spacing w:val="-2"/>
      <w:sz w:val="24"/>
      <w:szCs w:val="24"/>
    </w:rPr>
  </w:style>
  <w:style w:type="paragraph" w:styleId="12">
    <w:name w:val="footer"/>
    <w:basedOn w:val="1"/>
    <w:link w:val="37"/>
    <w:unhideWhenUsed/>
    <w:qFormat/>
    <w:uiPriority w:val="99"/>
    <w:pPr>
      <w:tabs>
        <w:tab w:val="center" w:pos="4153"/>
        <w:tab w:val="right" w:pos="8306"/>
      </w:tabs>
      <w:autoSpaceDE/>
      <w:autoSpaceDN/>
      <w:snapToGrid w:val="0"/>
      <w:spacing w:after="160"/>
    </w:pPr>
    <w:rPr>
      <w:rFonts w:asciiTheme="minorHAnsi" w:hAnsiTheme="minorHAnsi" w:eastAsiaTheme="minorEastAsia" w:cstheme="minorBidi"/>
      <w:kern w:val="2"/>
      <w:sz w:val="18"/>
      <w:szCs w:val="18"/>
      <w14:ligatures w14:val="standardContextual"/>
    </w:rPr>
  </w:style>
  <w:style w:type="paragraph" w:styleId="13">
    <w:name w:val="header"/>
    <w:basedOn w:val="1"/>
    <w:link w:val="36"/>
    <w:unhideWhenUsed/>
    <w:qFormat/>
    <w:uiPriority w:val="99"/>
    <w:pPr>
      <w:tabs>
        <w:tab w:val="center" w:pos="4153"/>
        <w:tab w:val="right" w:pos="8306"/>
      </w:tabs>
      <w:autoSpaceDE/>
      <w:autoSpaceDN/>
      <w:snapToGrid w:val="0"/>
      <w:spacing w:after="160"/>
      <w:jc w:val="center"/>
    </w:pPr>
    <w:rPr>
      <w:rFonts w:asciiTheme="minorHAnsi" w:hAnsiTheme="minorHAnsi" w:eastAsiaTheme="minorEastAsia" w:cstheme="minorBidi"/>
      <w:kern w:val="2"/>
      <w:sz w:val="18"/>
      <w:szCs w:val="18"/>
      <w14:ligatures w14:val="standardContextual"/>
    </w:rPr>
  </w:style>
  <w:style w:type="paragraph" w:styleId="14">
    <w:name w:val="Subtitle"/>
    <w:basedOn w:val="1"/>
    <w:next w:val="1"/>
    <w:link w:val="28"/>
    <w:qFormat/>
    <w:uiPriority w:val="11"/>
    <w:pPr>
      <w:autoSpaceDE/>
      <w:autoSpaceDN/>
      <w:spacing w:after="160" w:line="278" w:lineRule="auto"/>
      <w:jc w:val="center"/>
    </w:pPr>
    <w:rPr>
      <w:rFonts w:asciiTheme="majorHAnsi" w:hAnsiTheme="majorHAnsi" w:eastAsiaTheme="majorEastAsia" w:cstheme="majorBidi"/>
      <w:color w:val="595959" w:themeColor="text1" w:themeTint="A6"/>
      <w:spacing w:val="15"/>
      <w:kern w:val="2"/>
      <w:sz w:val="28"/>
      <w:szCs w:val="28"/>
      <w14:textFill>
        <w14:solidFill>
          <w14:schemeClr w14:val="tx1">
            <w14:lumMod w14:val="65000"/>
            <w14:lumOff w14:val="35000"/>
          </w14:schemeClr>
        </w14:solidFill>
      </w14:textFill>
      <w14:ligatures w14:val="standardContextual"/>
    </w:rPr>
  </w:style>
  <w:style w:type="paragraph" w:styleId="15">
    <w:name w:val="Title"/>
    <w:basedOn w:val="1"/>
    <w:next w:val="1"/>
    <w:link w:val="27"/>
    <w:qFormat/>
    <w:uiPriority w:val="10"/>
    <w:pPr>
      <w:autoSpaceDE/>
      <w:autoSpaceDN/>
      <w:spacing w:after="80"/>
      <w:contextualSpacing/>
      <w:jc w:val="center"/>
    </w:pPr>
    <w:rPr>
      <w:rFonts w:asciiTheme="majorHAnsi" w:hAnsiTheme="majorHAnsi" w:eastAsiaTheme="majorEastAsia" w:cstheme="majorBidi"/>
      <w:spacing w:val="-10"/>
      <w:kern w:val="28"/>
      <w:sz w:val="56"/>
      <w:szCs w:val="56"/>
      <w14:ligatures w14:val="standardContextual"/>
    </w:rPr>
  </w:style>
  <w:style w:type="character" w:customStyle="1" w:styleId="18">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7"/>
    <w:link w:val="3"/>
    <w:qFormat/>
    <w:uiPriority w:val="9"/>
    <w:rPr>
      <w:rFonts w:ascii="仿宋" w:hAnsi="仿宋" w:eastAsia="仿宋" w:cs="仿宋"/>
      <w:b/>
      <w:kern w:val="0"/>
      <w:sz w:val="24"/>
      <w:szCs w:val="22"/>
      <w14:ligatures w14:val="none"/>
    </w:rPr>
  </w:style>
  <w:style w:type="character" w:customStyle="1" w:styleId="20">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7"/>
    <w:link w:val="5"/>
    <w:semiHidden/>
    <w:qFormat/>
    <w:uiPriority w:val="9"/>
    <w:rPr>
      <w:rFonts w:cstheme="majorBidi"/>
      <w:color w:val="104862" w:themeColor="accent1" w:themeShade="BF"/>
      <w:sz w:val="28"/>
      <w:szCs w:val="28"/>
    </w:rPr>
  </w:style>
  <w:style w:type="character" w:customStyle="1" w:styleId="22">
    <w:name w:val="标题 5 字符"/>
    <w:basedOn w:val="17"/>
    <w:link w:val="6"/>
    <w:qFormat/>
    <w:uiPriority w:val="9"/>
    <w:rPr>
      <w:rFonts w:cstheme="majorBidi"/>
      <w:color w:val="000000" w:themeColor="text1"/>
      <w:sz w:val="24"/>
      <w14:textFill>
        <w14:solidFill>
          <w14:schemeClr w14:val="tx1"/>
        </w14:solidFill>
      </w14:textFill>
    </w:rPr>
  </w:style>
  <w:style w:type="character" w:customStyle="1" w:styleId="23">
    <w:name w:val="标题 6 字符"/>
    <w:basedOn w:val="17"/>
    <w:link w:val="7"/>
    <w:semiHidden/>
    <w:qFormat/>
    <w:uiPriority w:val="9"/>
    <w:rPr>
      <w:rFonts w:cstheme="majorBidi"/>
      <w:b/>
      <w:bCs/>
      <w:color w:val="104862" w:themeColor="accent1" w:themeShade="BF"/>
    </w:rPr>
  </w:style>
  <w:style w:type="character" w:customStyle="1" w:styleId="24">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autoSpaceDE/>
      <w:autoSpaceDN/>
      <w:spacing w:before="160" w:after="160" w:line="278" w:lineRule="auto"/>
      <w:jc w:val="center"/>
    </w:pPr>
    <w:rPr>
      <w:rFonts w:asciiTheme="minorHAnsi" w:hAnsiTheme="minorHAnsi" w:eastAsiaTheme="minorEastAsia" w:cstheme="minorBidi"/>
      <w:i/>
      <w:iCs/>
      <w:color w:val="404040" w:themeColor="text1" w:themeTint="BF"/>
      <w:kern w:val="2"/>
      <w:szCs w:val="24"/>
      <w14:textFill>
        <w14:solidFill>
          <w14:schemeClr w14:val="tx1">
            <w14:lumMod w14:val="75000"/>
            <w14:lumOff w14:val="25000"/>
          </w14:schemeClr>
        </w14:solidFill>
      </w14:textFill>
      <w14:ligatures w14:val="standardContextual"/>
    </w:rPr>
  </w:style>
  <w:style w:type="character" w:customStyle="1" w:styleId="30">
    <w:name w:val="引用 字符"/>
    <w:basedOn w:val="17"/>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autoSpaceDE/>
      <w:autoSpaceDN/>
      <w:spacing w:after="160" w:line="278" w:lineRule="auto"/>
      <w:ind w:left="720"/>
      <w:contextualSpacing/>
    </w:pPr>
    <w:rPr>
      <w:rFonts w:asciiTheme="minorHAnsi" w:hAnsiTheme="minorHAnsi" w:eastAsiaTheme="minorEastAsia" w:cstheme="minorBidi"/>
      <w:kern w:val="2"/>
      <w:szCs w:val="24"/>
      <w14:ligatures w14:val="standardContextual"/>
    </w:rPr>
  </w:style>
  <w:style w:type="character" w:customStyle="1" w:styleId="32">
    <w:name w:val="Intense Emphasis"/>
    <w:basedOn w:val="17"/>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autoSpaceDE/>
      <w:autoSpaceDN/>
      <w:spacing w:before="360" w:after="360" w:line="278" w:lineRule="auto"/>
      <w:ind w:left="864" w:right="864"/>
      <w:jc w:val="center"/>
    </w:pPr>
    <w:rPr>
      <w:rFonts w:asciiTheme="minorHAnsi" w:hAnsiTheme="minorHAnsi" w:eastAsiaTheme="minorEastAsia" w:cstheme="minorBidi"/>
      <w:i/>
      <w:iCs/>
      <w:color w:val="104862" w:themeColor="accent1" w:themeShade="BF"/>
      <w:kern w:val="2"/>
      <w:szCs w:val="24"/>
      <w14:ligatures w14:val="standardContextual"/>
    </w:rPr>
  </w:style>
  <w:style w:type="character" w:customStyle="1" w:styleId="34">
    <w:name w:val="明显引用 字符"/>
    <w:basedOn w:val="17"/>
    <w:link w:val="33"/>
    <w:qFormat/>
    <w:uiPriority w:val="30"/>
    <w:rPr>
      <w:i/>
      <w:iCs/>
      <w:color w:val="104862" w:themeColor="accent1" w:themeShade="BF"/>
    </w:rPr>
  </w:style>
  <w:style w:type="character" w:customStyle="1" w:styleId="35">
    <w:name w:val="Intense Reference"/>
    <w:basedOn w:val="17"/>
    <w:qFormat/>
    <w:uiPriority w:val="32"/>
    <w:rPr>
      <w:b/>
      <w:bCs/>
      <w:smallCaps/>
      <w:color w:val="104862" w:themeColor="accent1" w:themeShade="BF"/>
      <w:spacing w:val="5"/>
    </w:rPr>
  </w:style>
  <w:style w:type="character" w:customStyle="1" w:styleId="36">
    <w:name w:val="页眉 字符"/>
    <w:basedOn w:val="17"/>
    <w:link w:val="13"/>
    <w:qFormat/>
    <w:uiPriority w:val="99"/>
    <w:rPr>
      <w:sz w:val="18"/>
      <w:szCs w:val="18"/>
    </w:rPr>
  </w:style>
  <w:style w:type="character" w:customStyle="1" w:styleId="37">
    <w:name w:val="页脚 字符"/>
    <w:basedOn w:val="17"/>
    <w:link w:val="12"/>
    <w:qFormat/>
    <w:uiPriority w:val="99"/>
    <w:rPr>
      <w:sz w:val="18"/>
      <w:szCs w:val="18"/>
    </w:rPr>
  </w:style>
  <w:style w:type="table" w:customStyle="1" w:styleId="38">
    <w:name w:val="Table Normal"/>
    <w:semiHidden/>
    <w:unhideWhenUsed/>
    <w:qFormat/>
    <w:uiPriority w:val="2"/>
    <w:pPr>
      <w:widowControl w:val="0"/>
      <w:autoSpaceDE w:val="0"/>
      <w:autoSpaceDN w:val="0"/>
      <w:spacing w:after="0" w:line="240" w:lineRule="auto"/>
    </w:pPr>
    <w:rPr>
      <w:kern w:val="0"/>
      <w:szCs w:val="22"/>
      <w:lang w:eastAsia="en-US"/>
      <w14:ligatures w14:val="none"/>
    </w:rPr>
    <w:tblPr>
      <w:tblCellMar>
        <w:top w:w="0" w:type="dxa"/>
        <w:left w:w="0" w:type="dxa"/>
        <w:bottom w:w="0" w:type="dxa"/>
        <w:right w:w="0" w:type="dxa"/>
      </w:tblCellMar>
    </w:tblPr>
  </w:style>
  <w:style w:type="character" w:customStyle="1" w:styleId="39">
    <w:name w:val="正文文本 字符"/>
    <w:basedOn w:val="17"/>
    <w:link w:val="11"/>
    <w:qFormat/>
    <w:uiPriority w:val="1"/>
    <w:rPr>
      <w:rFonts w:ascii="仿宋" w:hAnsi="仿宋" w:eastAsia="仿宋" w:cs="仿宋"/>
      <w:spacing w:val="-2"/>
      <w:kern w:val="0"/>
      <w:sz w:val="24"/>
      <w14:ligatures w14:val="none"/>
    </w:rPr>
  </w:style>
  <w:style w:type="paragraph" w:customStyle="1" w:styleId="40">
    <w:name w:val="Table Paragraph"/>
    <w:basedOn w:val="1"/>
    <w:qFormat/>
    <w:uiPriority w:val="1"/>
  </w:style>
  <w:style w:type="paragraph" w:styleId="41">
    <w:name w:val="No Spacing"/>
    <w:qFormat/>
    <w:uiPriority w:val="1"/>
    <w:pPr>
      <w:widowControl w:val="0"/>
      <w:autoSpaceDE w:val="0"/>
      <w:autoSpaceDN w:val="0"/>
      <w:spacing w:after="0" w:line="240" w:lineRule="auto"/>
    </w:pPr>
    <w:rPr>
      <w:rFonts w:ascii="仿宋" w:hAnsi="仿宋" w:eastAsia="仿宋" w:cs="仿宋"/>
      <w:kern w:val="0"/>
      <w:sz w:val="22"/>
      <w:szCs w:val="22"/>
      <w:lang w:val="en-US" w:eastAsia="zh-CN" w:bidi="ar-SA"/>
      <w14:ligatures w14: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6</Pages>
  <Words>2130</Words>
  <Characters>2151</Characters>
  <Lines>16</Lines>
  <Paragraphs>4</Paragraphs>
  <TotalTime>1</TotalTime>
  <ScaleCrop>false</ScaleCrop>
  <LinksUpToDate>false</LinksUpToDate>
  <CharactersWithSpaces>2212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2026-07-30T14:11:00Z</dcterms:created>
  <dc:creator>J T</dc:creator>
  <cp:lastModifiedBy>张重虎</cp:lastModifiedBy>
  <dcterms:modified xsi:type="dcterms:W3CDTF">2026-08-05T03:23:17Z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eyJoZGlkIjoiMWVlZjgzYThhZDFlODJmOGRkYjA3NjA0ZWNjNDBkNGYiLCJ1c2VySWQiOiIyNzU1NDQzNzYifQ==</vt:lpwstr>
  </property>
  <property fmtid="{D5CDD505-2E9C-101B-9397-08002B2CF9AE}" pid="3" name="KSOProductBuildVer">
    <vt:lpwstr>2052-12.1.0.28043</vt:lpwstr>
  </property>
  <property fmtid="{D5CDD505-2E9C-101B-9397-08002B2CF9AE}" pid="4" name="ICV">
    <vt:lpwstr>5323752D9A8A44E6996851B485B33E2B_13</vt:lpwstr>
  </property>
</Properties>
</file>