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版本号：SXLX26-01-082Z(F)20260813001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草滩四路城市断头路打通工程(涉铁段)施工图设计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SXLX26-01-082Z(F)</w:t>
      </w:r>
      <w:r>
        <w:br/>
      </w:r>
      <w:r>
        <w:br/>
      </w:r>
      <w:r>
        <w:br/>
      </w:r>
    </w:p>
    <w:p>
      <w:pPr>
        <w:pStyle w:val="null3"/>
        <w:jc w:val="center"/>
        <w:outlineLvl w:val="2"/>
      </w:pPr>
      <w:r>
        <w:rPr>
          <w:rFonts w:ascii="仿宋_GB2312" w:hAnsi="仿宋_GB2312" w:cs="仿宋_GB2312" w:eastAsia="仿宋_GB2312"/>
          <w:sz w:val="28"/>
          <w:b/>
        </w:rPr>
        <w:t>西安市未央区住房和城市建设局</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西安市未央区住房和城市建设局</w:t>
      </w:r>
      <w:r>
        <w:rPr>
          <w:rFonts w:ascii="仿宋_GB2312" w:hAnsi="仿宋_GB2312" w:cs="仿宋_GB2312" w:eastAsia="仿宋_GB2312"/>
        </w:rPr>
        <w:t>委托，拟对</w:t>
      </w:r>
      <w:r>
        <w:rPr>
          <w:rFonts w:ascii="仿宋_GB2312" w:hAnsi="仿宋_GB2312" w:cs="仿宋_GB2312" w:eastAsia="仿宋_GB2312"/>
        </w:rPr>
        <w:t>草滩四路城市断头路打通工程(涉铁段)施工图设计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SXLX26-01-082Z(F)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草滩四路城市断头路打通工程(涉铁段)施工图设计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涉铁项目，建设内容主要包括道路工程、雨水工程、桥梁工程、交通工程、铁路电力工程、铁路通信工程、铁路电气化工程等，本次采购为草滩四路城市断头路打通工程高铁节点段提供施工图设计，配合并促进采购人完成道路建设目标；各项服务符合国家、省、市（行业）强制性标准及采购人要求的合格标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1、供应商特殊资格(行政许可)要求 ：供应商具备工程设计综合资质甲级或工程设计铁道行业甲(I)级及以上资质。 (根据“资格证明文件”中提供的要求和说明，提供符合条件的证明材料)</w:t>
      </w:r>
    </w:p>
    <w:p>
      <w:pPr>
        <w:pStyle w:val="null3"/>
      </w:pPr>
      <w:r>
        <w:rPr>
          <w:rFonts w:ascii="仿宋_GB2312" w:hAnsi="仿宋_GB2312" w:cs="仿宋_GB2312" w:eastAsia="仿宋_GB2312"/>
        </w:rPr>
        <w:t>2、供应商拟派项目负责人特殊资格(行政许可)要求 ：供应商拟派项目负责人须具备注册土木工程师(道路工程)执业资格(在本单位注册)或道路、桥梁相关专业高级工程师。 (根据“资格证明文件”中提供的要求和说明，提供符合条件的证明材料)</w:t>
      </w:r>
    </w:p>
    <w:p>
      <w:pPr>
        <w:pStyle w:val="null3"/>
      </w:pPr>
      <w:r>
        <w:rPr>
          <w:rFonts w:ascii="仿宋_GB2312" w:hAnsi="仿宋_GB2312" w:cs="仿宋_GB2312" w:eastAsia="仿宋_GB2312"/>
        </w:rPr>
        <w:t>3、其他特殊资格(行政许可)要求 ：供应商的基本信息及拟派项目负责人的基本信息在“陕西省住房和城乡建设厅”（http://js.shaanxi.gov.cn/）或“陕西政务服务网”(https://zwfw.shaanxi.gov.cn/sx/public/index)官网可查询且无不良行为记录，并在各级建设诚信信息平台未被列为投标受限制的行为人或被列为严重违法失信企业名单(提供承诺)。 (根据“资格证明文件”中提供的要求和说明，提供符合条件的证明材料)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西安市未央区住房和城市建设局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西安市未央区永祥路9号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吴晓娜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029-86249090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任甜、郑婧婧、杜航、李亚男、袁歆雨、刘晶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029-88489979-8106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采购包1：419,600.00元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经与采购人协商(已签署委托代理协议)，本项目采购代理服务费依据《关于进一步放开建设项目专项业务服务价格的通知》（发改价格〔2015〕299号）文件规定按壹万元收取，由中标(成交)供应商向采购代理机构支付采购代理服务费。采购代理服务费应计入供应商的响应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西安市未央区住房和城市建设局</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西安市未央区住房和城市建设局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西安市未央区住房和城市建设局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（一）供应商保证对其出售的货物享有合法的权利且不会侵犯任何第三方的专利权、版权、商标权或其他权利。 （二）供应商保证对其出售的货物上不存在任何未曾向甲方透露的担保物权，如抵押权、质押权、留置权。 （三）如采购人在使用该货物构成上述侵权的，如出现侵犯第三方专利权、版权、商标权或其他权利，由供应商承担全部责任和由此造成的一切损失，包括但不限于第三方权益补偿、采购人经济利益的减损、采购人为证实供应商之违约行为所支出的各项调查取证、公证费用，采购人为寻求救济而支付的诉讼费用、律师费用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按采购文件规定的方法和标准进行验收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w:t>
      </w:r>
    </w:p>
    <w:p>
      <w:pPr>
        <w:pStyle w:val="null3"/>
      </w:pPr>
      <w:r>
        <w:rPr>
          <w:rFonts w:ascii="仿宋_GB2312" w:hAnsi="仿宋_GB2312" w:cs="仿宋_GB2312" w:eastAsia="仿宋_GB2312"/>
        </w:rPr>
        <w:t>联系电话：029-88489979-8106</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涉铁项目，建设内容主要包括道路工程、雨水工程、桥梁工程、交通工程、铁路电力工程、铁路通信工程、铁路电气化工程等，本次采购为草滩四路城市断头路打通工程高铁节点段提供施工图设计，配合并促进采购人完成道路建设目标；各项服务符合国家、省、市（行业）强制性标准及采购人要求的合格标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419,600.00</w:t>
      </w:r>
    </w:p>
    <w:p>
      <w:pPr>
        <w:pStyle w:val="null3"/>
      </w:pPr>
      <w:r>
        <w:rPr>
          <w:rFonts w:ascii="仿宋_GB2312" w:hAnsi="仿宋_GB2312" w:cs="仿宋_GB2312" w:eastAsia="仿宋_GB2312"/>
        </w:rPr>
        <w:t>采购包最高限价（元）: 419,600.00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草滩四路城市断头路打通工程（涉铁段）施工图设计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419,600.00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标的名称：草滩四路城市断头路打通工程（涉铁段）施工图设计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40"/>
              <w:jc w:val="both"/>
            </w:pPr>
            <w:r>
              <w:rPr>
                <w:rFonts w:ascii="仿宋_GB2312" w:hAnsi="仿宋_GB2312" w:cs="仿宋_GB2312" w:eastAsia="仿宋_GB2312"/>
                <w:sz w:val="24"/>
                <w:color w:val="000000"/>
              </w:rPr>
              <w:t>1.工程主要概况：（1）道路工程：新建机动车道面积约2049平方米，新建人行道面积394平方米；挖方4456立方米、地基注浆加固593立方米、新建箱涵南北侧顺接挡墙160米。</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2）雨水工程：D1000既有雨水管道迁改，新建工作井和接收井各1座。</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3）桥梁工程：桥梁排水、栏杆改造163米；新建电力防护涵81.5 平方米。</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4）交通工程：限高架2套。</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5）铁路电力工程：箱式变电站拆除还建1座，其他配套电缆迁移防护。</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6）铁路通信工程：通信光缆迁移防护15000米。</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7）铁路信号工程：既有4根信号道岔融雪电缆防护。</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8）铁路电气化工程：西宝高铁【211#、212#、213#、214#】中间地段采用电缆改架空线迁改8874米；两端进牵引变电所和上桥在路基地段采用高压电缆钢筋混凝土电缆管涵内敷设2880米。</w:t>
            </w:r>
          </w:p>
          <w:p>
            <w:pPr>
              <w:pStyle w:val="null3"/>
              <w:jc w:val="both"/>
            </w:pPr>
            <w:r>
              <w:rPr>
                <w:rFonts w:ascii="仿宋_GB2312" w:hAnsi="仿宋_GB2312" w:cs="仿宋_GB2312" w:eastAsia="仿宋_GB2312"/>
                <w:sz w:val="24"/>
                <w:color w:val="000000"/>
              </w:rPr>
              <w:t>2.服务内容(包含但不限于)：（1）编制施工图设计方案及文本说明。</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2）编制施工图设计图纸。</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3）审查项目过程资料(说明、图纸、材料表、数据等)及成果资料的汇编整理。</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4）根据项目实际情况提出合理化建议。</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项目实施期间</w:t>
            </w:r>
            <w:r>
              <w:rPr>
                <w:rFonts w:ascii="仿宋_GB2312" w:hAnsi="仿宋_GB2312" w:cs="仿宋_GB2312" w:eastAsia="仿宋_GB2312"/>
                <w:sz w:val="24"/>
                <w:color w:val="000000"/>
              </w:rPr>
              <w:t>有关其他配合的服务。</w:t>
            </w:r>
          </w:p>
          <w:p>
            <w:pPr>
              <w:pStyle w:val="null3"/>
              <w:jc w:val="both"/>
            </w:pPr>
            <w:r>
              <w:rPr>
                <w:rFonts w:ascii="仿宋_GB2312" w:hAnsi="仿宋_GB2312" w:cs="仿宋_GB2312" w:eastAsia="仿宋_GB2312"/>
                <w:sz w:val="24"/>
                <w:color w:val="000000"/>
              </w:rPr>
              <w:t>3.技术规范包括但不限于</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《公路与市政工程下穿高速铁路技术规程》</w:t>
            </w:r>
            <w:r>
              <w:rPr>
                <w:rFonts w:ascii="仿宋_GB2312" w:hAnsi="仿宋_GB2312" w:cs="仿宋_GB2312" w:eastAsia="仿宋_GB2312"/>
                <w:sz w:val="24"/>
                <w:color w:val="000000"/>
              </w:rPr>
              <w:t>TB10182-2017</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《公路铁路交叉路段技术要求》</w:t>
            </w:r>
            <w:r>
              <w:rPr>
                <w:rFonts w:ascii="仿宋_GB2312" w:hAnsi="仿宋_GB2312" w:cs="仿宋_GB2312" w:eastAsia="仿宋_GB2312"/>
                <w:sz w:val="24"/>
                <w:color w:val="000000"/>
              </w:rPr>
              <w:t>JT/T1311-2020</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《中华人民共和国铁路法》</w:t>
            </w:r>
            <w:r>
              <w:rPr>
                <w:rFonts w:ascii="仿宋_GB2312" w:hAnsi="仿宋_GB2312" w:cs="仿宋_GB2312" w:eastAsia="仿宋_GB2312"/>
                <w:sz w:val="24"/>
                <w:color w:val="000000"/>
              </w:rPr>
              <w:t>2015年修正</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《铁路安全管理条例》中华人民共和国国务院</w:t>
            </w:r>
            <w:r>
              <w:rPr>
                <w:rFonts w:ascii="仿宋_GB2312" w:hAnsi="仿宋_GB2312" w:cs="仿宋_GB2312" w:eastAsia="仿宋_GB2312"/>
                <w:sz w:val="24"/>
                <w:color w:val="000000"/>
              </w:rPr>
              <w:t>639号令</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《铁路技术管理规程》</w:t>
            </w:r>
            <w:r>
              <w:rPr>
                <w:rFonts w:ascii="仿宋_GB2312" w:hAnsi="仿宋_GB2312" w:cs="仿宋_GB2312" w:eastAsia="仿宋_GB2312"/>
                <w:sz w:val="24"/>
                <w:color w:val="000000"/>
              </w:rPr>
              <w:t>TG/01-2014</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《铁路工程建设标准局部修订条文汇编》（第二版）</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《工程建设强制性条文》（铁路工程部分）</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《铁路建设工程风险管理技术规范》</w:t>
            </w:r>
            <w:r>
              <w:rPr>
                <w:rFonts w:ascii="仿宋_GB2312" w:hAnsi="仿宋_GB2312" w:cs="仿宋_GB2312" w:eastAsia="仿宋_GB2312"/>
                <w:sz w:val="24"/>
                <w:color w:val="000000"/>
              </w:rPr>
              <w:t>Q/CR9006-2014</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《标准轨距铁路建筑限界》</w:t>
            </w:r>
            <w:r>
              <w:rPr>
                <w:rFonts w:ascii="仿宋_GB2312" w:hAnsi="仿宋_GB2312" w:cs="仿宋_GB2312" w:eastAsia="仿宋_GB2312"/>
                <w:sz w:val="24"/>
                <w:color w:val="000000"/>
              </w:rPr>
              <w:t>GB146.2-2020</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《铁路工程环境保护设计规范》</w:t>
            </w:r>
            <w:r>
              <w:rPr>
                <w:rFonts w:ascii="仿宋_GB2312" w:hAnsi="仿宋_GB2312" w:cs="仿宋_GB2312" w:eastAsia="仿宋_GB2312"/>
                <w:sz w:val="24"/>
                <w:color w:val="000000"/>
              </w:rPr>
              <w:t>TB10501-2016</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11）</w:t>
            </w:r>
            <w:r>
              <w:rPr>
                <w:rFonts w:ascii="仿宋_GB2312" w:hAnsi="仿宋_GB2312" w:cs="仿宋_GB2312" w:eastAsia="仿宋_GB2312"/>
                <w:sz w:val="24"/>
                <w:color w:val="000000"/>
              </w:rPr>
              <w:t>《铁路桥涵工程施工安全技术规程》</w:t>
            </w:r>
            <w:r>
              <w:rPr>
                <w:rFonts w:ascii="仿宋_GB2312" w:hAnsi="仿宋_GB2312" w:cs="仿宋_GB2312" w:eastAsia="仿宋_GB2312"/>
                <w:sz w:val="24"/>
                <w:color w:val="000000"/>
              </w:rPr>
              <w:t>TB10303-2020</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12）</w:t>
            </w:r>
            <w:r>
              <w:rPr>
                <w:rFonts w:ascii="仿宋_GB2312" w:hAnsi="仿宋_GB2312" w:cs="仿宋_GB2312" w:eastAsia="仿宋_GB2312"/>
                <w:sz w:val="24"/>
                <w:color w:val="000000"/>
              </w:rPr>
              <w:t>《铁路桥涵地基和基础设计规范》</w:t>
            </w:r>
            <w:r>
              <w:rPr>
                <w:rFonts w:ascii="仿宋_GB2312" w:hAnsi="仿宋_GB2312" w:cs="仿宋_GB2312" w:eastAsia="仿宋_GB2312"/>
                <w:sz w:val="24"/>
                <w:color w:val="000000"/>
              </w:rPr>
              <w:t>TB10093-2017</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13）</w:t>
            </w:r>
            <w:r>
              <w:rPr>
                <w:rFonts w:ascii="仿宋_GB2312" w:hAnsi="仿宋_GB2312" w:cs="仿宋_GB2312" w:eastAsia="仿宋_GB2312"/>
                <w:sz w:val="24"/>
                <w:color w:val="000000"/>
              </w:rPr>
              <w:t>《铁路桥涵设计规范》</w:t>
            </w:r>
            <w:r>
              <w:rPr>
                <w:rFonts w:ascii="仿宋_GB2312" w:hAnsi="仿宋_GB2312" w:cs="仿宋_GB2312" w:eastAsia="仿宋_GB2312"/>
                <w:sz w:val="24"/>
                <w:color w:val="000000"/>
              </w:rPr>
              <w:t>TB10002-2017</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14）</w:t>
            </w:r>
            <w:r>
              <w:rPr>
                <w:rFonts w:ascii="仿宋_GB2312" w:hAnsi="仿宋_GB2312" w:cs="仿宋_GB2312" w:eastAsia="仿宋_GB2312"/>
                <w:sz w:val="24"/>
                <w:color w:val="000000"/>
              </w:rPr>
              <w:t>《铁路桥涵混凝土结构设计规范》</w:t>
            </w:r>
            <w:r>
              <w:rPr>
                <w:rFonts w:ascii="仿宋_GB2312" w:hAnsi="仿宋_GB2312" w:cs="仿宋_GB2312" w:eastAsia="仿宋_GB2312"/>
                <w:sz w:val="24"/>
                <w:color w:val="000000"/>
              </w:rPr>
              <w:t>TB10092-2017</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15）</w:t>
            </w:r>
            <w:r>
              <w:rPr>
                <w:rFonts w:ascii="仿宋_GB2312" w:hAnsi="仿宋_GB2312" w:cs="仿宋_GB2312" w:eastAsia="仿宋_GB2312"/>
                <w:sz w:val="24"/>
                <w:color w:val="000000"/>
              </w:rPr>
              <w:t>《铁路混凝土结构耐久性设计规范》（</w:t>
            </w:r>
            <w:r>
              <w:rPr>
                <w:rFonts w:ascii="仿宋_GB2312" w:hAnsi="仿宋_GB2312" w:cs="仿宋_GB2312" w:eastAsia="仿宋_GB2312"/>
                <w:sz w:val="24"/>
                <w:color w:val="000000"/>
              </w:rPr>
              <w:t>TB10005-2010）</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16）</w:t>
            </w:r>
            <w:r>
              <w:rPr>
                <w:rFonts w:ascii="仿宋_GB2312" w:hAnsi="仿宋_GB2312" w:cs="仿宋_GB2312" w:eastAsia="仿宋_GB2312"/>
                <w:sz w:val="24"/>
                <w:color w:val="000000"/>
              </w:rPr>
              <w:t>《铁路工程设计防火规范》（</w:t>
            </w:r>
            <w:r>
              <w:rPr>
                <w:rFonts w:ascii="仿宋_GB2312" w:hAnsi="仿宋_GB2312" w:cs="仿宋_GB2312" w:eastAsia="仿宋_GB2312"/>
                <w:sz w:val="24"/>
                <w:color w:val="000000"/>
              </w:rPr>
              <w:t>TB10063-2016)（2026年局部修订）</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17）</w:t>
            </w:r>
            <w:r>
              <w:rPr>
                <w:rFonts w:ascii="仿宋_GB2312" w:hAnsi="仿宋_GB2312" w:cs="仿宋_GB2312" w:eastAsia="仿宋_GB2312"/>
                <w:sz w:val="24"/>
                <w:color w:val="000000"/>
              </w:rPr>
              <w:t>《高速铁路设计规范》（</w:t>
            </w:r>
            <w:r>
              <w:rPr>
                <w:rFonts w:ascii="仿宋_GB2312" w:hAnsi="仿宋_GB2312" w:cs="仿宋_GB2312" w:eastAsia="仿宋_GB2312"/>
                <w:sz w:val="24"/>
                <w:color w:val="000000"/>
              </w:rPr>
              <w:t>TB10621-2014）</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18）</w:t>
            </w:r>
            <w:r>
              <w:rPr>
                <w:rFonts w:ascii="仿宋_GB2312" w:hAnsi="仿宋_GB2312" w:cs="仿宋_GB2312" w:eastAsia="仿宋_GB2312"/>
                <w:sz w:val="24"/>
                <w:color w:val="000000"/>
              </w:rPr>
              <w:t>《国铁集团工电部关于加强穿（跨）越铁路营业线和邻近营业线工程</w:t>
            </w:r>
          </w:p>
          <w:p>
            <w:pPr>
              <w:pStyle w:val="null3"/>
              <w:ind w:firstLine="240"/>
              <w:jc w:val="both"/>
            </w:pPr>
            <w:r>
              <w:rPr>
                <w:rFonts w:ascii="仿宋_GB2312" w:hAnsi="仿宋_GB2312" w:cs="仿宋_GB2312" w:eastAsia="仿宋_GB2312"/>
                <w:sz w:val="24"/>
                <w:color w:val="000000"/>
              </w:rPr>
              <w:t>方案等审查和施工安全管理的通知》（工电桥房函</w:t>
            </w:r>
            <w:r>
              <w:rPr>
                <w:rFonts w:ascii="仿宋_GB2312" w:hAnsi="仿宋_GB2312" w:cs="仿宋_GB2312" w:eastAsia="仿宋_GB2312"/>
                <w:sz w:val="24"/>
                <w:color w:val="000000"/>
              </w:rPr>
              <w:t>〔</w:t>
            </w:r>
            <w:r>
              <w:rPr>
                <w:rFonts w:ascii="仿宋_GB2312" w:hAnsi="仿宋_GB2312" w:cs="仿宋_GB2312" w:eastAsia="仿宋_GB2312"/>
                <w:sz w:val="24"/>
                <w:color w:val="000000"/>
              </w:rPr>
              <w:t>2020〕48号</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19）</w:t>
            </w:r>
            <w:r>
              <w:rPr>
                <w:rFonts w:ascii="仿宋_GB2312" w:hAnsi="仿宋_GB2312" w:cs="仿宋_GB2312" w:eastAsia="仿宋_GB2312"/>
                <w:sz w:val="24"/>
                <w:color w:val="000000"/>
              </w:rPr>
              <w:t>《关于公铁立交和公铁并行路段护栏建设与维护管理相关问题的通</w:t>
            </w:r>
          </w:p>
          <w:p>
            <w:pPr>
              <w:pStyle w:val="null3"/>
              <w:ind w:firstLine="240"/>
              <w:jc w:val="both"/>
            </w:pPr>
            <w:r>
              <w:rPr>
                <w:rFonts w:ascii="仿宋_GB2312" w:hAnsi="仿宋_GB2312" w:cs="仿宋_GB2312" w:eastAsia="仿宋_GB2312"/>
                <w:sz w:val="24"/>
                <w:color w:val="000000"/>
              </w:rPr>
              <w:t>知》铁运</w:t>
            </w:r>
            <w:r>
              <w:rPr>
                <w:rFonts w:ascii="仿宋_GB2312" w:hAnsi="仿宋_GB2312" w:cs="仿宋_GB2312" w:eastAsia="仿宋_GB2312"/>
                <w:sz w:val="24"/>
                <w:color w:val="000000"/>
              </w:rPr>
              <w:t>〔</w:t>
            </w:r>
            <w:r>
              <w:rPr>
                <w:rFonts w:ascii="仿宋_GB2312" w:hAnsi="仿宋_GB2312" w:cs="仿宋_GB2312" w:eastAsia="仿宋_GB2312"/>
                <w:sz w:val="24"/>
                <w:color w:val="000000"/>
              </w:rPr>
              <w:t>2012〕</w:t>
            </w:r>
            <w:r>
              <w:rPr>
                <w:rFonts w:ascii="仿宋_GB2312" w:hAnsi="仿宋_GB2312" w:cs="仿宋_GB2312" w:eastAsia="仿宋_GB2312"/>
                <w:sz w:val="24"/>
                <w:color w:val="000000"/>
              </w:rPr>
              <w:t>139号</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《西安局集团公司涉铁工程建设管理办法》（西铁科信</w:t>
            </w:r>
            <w:r>
              <w:rPr>
                <w:rFonts w:ascii="仿宋_GB2312" w:hAnsi="仿宋_GB2312" w:cs="仿宋_GB2312" w:eastAsia="仿宋_GB2312"/>
                <w:sz w:val="24"/>
                <w:color w:val="000000"/>
              </w:rPr>
              <w:t>〔</w:t>
            </w:r>
            <w:r>
              <w:rPr>
                <w:rFonts w:ascii="仿宋_GB2312" w:hAnsi="仿宋_GB2312" w:cs="仿宋_GB2312" w:eastAsia="仿宋_GB2312"/>
                <w:sz w:val="24"/>
                <w:color w:val="000000"/>
              </w:rPr>
              <w:t>2024〕178号</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《陕西省铁路安全管理办法》</w:t>
            </w:r>
            <w:r>
              <w:rPr>
                <w:rFonts w:ascii="仿宋_GB2312" w:hAnsi="仿宋_GB2312" w:cs="仿宋_GB2312" w:eastAsia="仿宋_GB2312"/>
                <w:sz w:val="24"/>
                <w:color w:val="000000"/>
              </w:rPr>
              <w:t>（</w:t>
            </w:r>
            <w:r>
              <w:rPr>
                <w:rFonts w:ascii="仿宋_GB2312" w:hAnsi="仿宋_GB2312" w:cs="仿宋_GB2312" w:eastAsia="仿宋_GB2312"/>
                <w:sz w:val="24"/>
                <w:color w:val="000000"/>
              </w:rPr>
              <w:t>陕西省人民政府令第</w:t>
            </w:r>
            <w:r>
              <w:rPr>
                <w:rFonts w:ascii="仿宋_GB2312" w:hAnsi="仿宋_GB2312" w:cs="仿宋_GB2312" w:eastAsia="仿宋_GB2312"/>
                <w:sz w:val="24"/>
                <w:color w:val="000000"/>
              </w:rPr>
              <w:t>227号）</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21）</w:t>
            </w:r>
            <w:r>
              <w:rPr>
                <w:rFonts w:ascii="仿宋_GB2312" w:hAnsi="仿宋_GB2312" w:cs="仿宋_GB2312" w:eastAsia="仿宋_GB2312"/>
                <w:sz w:val="24"/>
                <w:color w:val="000000"/>
              </w:rPr>
              <w:t>《国铁集团工电部关于开展跨越铁路的道路立交桥设置路灯杆等情况</w:t>
            </w:r>
          </w:p>
          <w:p>
            <w:pPr>
              <w:pStyle w:val="null3"/>
              <w:ind w:firstLine="240"/>
              <w:jc w:val="both"/>
            </w:pPr>
            <w:r>
              <w:rPr>
                <w:rFonts w:ascii="仿宋_GB2312" w:hAnsi="仿宋_GB2312" w:cs="仿宋_GB2312" w:eastAsia="仿宋_GB2312"/>
                <w:sz w:val="24"/>
                <w:color w:val="000000"/>
              </w:rPr>
              <w:t>排查及加快道路立交桥移交工作的通知》（工电桥房电</w:t>
            </w:r>
            <w:r>
              <w:rPr>
                <w:rFonts w:ascii="仿宋_GB2312" w:hAnsi="仿宋_GB2312" w:cs="仿宋_GB2312" w:eastAsia="仿宋_GB2312"/>
                <w:sz w:val="24"/>
                <w:color w:val="000000"/>
              </w:rPr>
              <w:t>〔</w:t>
            </w:r>
            <w:r>
              <w:rPr>
                <w:rFonts w:ascii="仿宋_GB2312" w:hAnsi="仿宋_GB2312" w:cs="仿宋_GB2312" w:eastAsia="仿宋_GB2312"/>
                <w:sz w:val="24"/>
                <w:color w:val="000000"/>
              </w:rPr>
              <w:t>2020〕</w:t>
            </w:r>
            <w:r>
              <w:rPr>
                <w:rFonts w:ascii="仿宋_GB2312" w:hAnsi="仿宋_GB2312" w:cs="仿宋_GB2312" w:eastAsia="仿宋_GB2312"/>
                <w:sz w:val="24"/>
                <w:color w:val="000000"/>
              </w:rPr>
              <w:t>12号）</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22）《城市道路交通工程项目规范》（GB55011-2021）；</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23）《城市道路工程设计规范》（CJJ37-2012）（2016年版）；</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24）《城镇道路路面设计规范》（CJJ169-2012）；</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25）《城市道路交叉口设计规程》（CJJ152-2010）</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26）《城乡排水工程项目规范》（GB55027-2022）；</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27</w:t>
            </w:r>
            <w:r>
              <w:rPr>
                <w:rFonts w:ascii="仿宋_GB2312" w:hAnsi="仿宋_GB2312" w:cs="仿宋_GB2312" w:eastAsia="仿宋_GB2312"/>
                <w:sz w:val="24"/>
                <w:color w:val="000000"/>
              </w:rPr>
              <w:t>）其他相关规标准。</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设计原则：采取技术合理、经济合算、实施可靠、针对性强的方案措施，科学严谨</w:t>
            </w:r>
            <w:r>
              <w:rPr>
                <w:rFonts w:ascii="仿宋_GB2312" w:hAnsi="仿宋_GB2312" w:cs="仿宋_GB2312" w:eastAsia="仿宋_GB2312"/>
                <w:sz w:val="24"/>
                <w:color w:val="000000"/>
              </w:rPr>
              <w:t>地</w:t>
            </w:r>
            <w:r>
              <w:rPr>
                <w:rFonts w:ascii="仿宋_GB2312" w:hAnsi="仿宋_GB2312" w:cs="仿宋_GB2312" w:eastAsia="仿宋_GB2312"/>
                <w:sz w:val="24"/>
                <w:color w:val="000000"/>
              </w:rPr>
              <w:t>设计出不低于我市基础设施平均水平的施工图设计方案</w:t>
            </w:r>
            <w:r>
              <w:rPr>
                <w:rFonts w:ascii="仿宋_GB2312" w:hAnsi="仿宋_GB2312" w:cs="仿宋_GB2312" w:eastAsia="仿宋_GB2312"/>
                <w:sz w:val="24"/>
                <w:color w:val="000000"/>
              </w:rPr>
              <w:t>(文本说明、图纸、材料、数据等)，保证道路建设流程和步骤符合标准、正常实施。</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进度要求：采取科学有效的针对措施将项目实施进度控制在采购人所要求的合理时间节点内。</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6.成果要求：</w:t>
            </w:r>
            <w:r>
              <w:rPr>
                <w:rFonts w:ascii="仿宋_GB2312" w:hAnsi="仿宋_GB2312" w:cs="仿宋_GB2312" w:eastAsia="仿宋_GB2312"/>
                <w:sz w:val="24"/>
                <w:color w:val="000000"/>
              </w:rPr>
              <w:t>（</w:t>
            </w:r>
            <w:r>
              <w:rPr>
                <w:rFonts w:ascii="仿宋_GB2312" w:hAnsi="仿宋_GB2312" w:cs="仿宋_GB2312" w:eastAsia="仿宋_GB2312"/>
                <w:sz w:val="24"/>
                <w:color w:val="000000"/>
              </w:rPr>
              <w:t>1）成果内容应完整真实、科学严谨、思路清晰、具有代表性，综合考虑道路建设的功能和潜力，提出建设实施详细规划和可行性优化方案，符合新形势、新变化、新发展下道路建设。</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2）成果文件包括：图纸和</w:t>
            </w:r>
            <w:r>
              <w:rPr>
                <w:rFonts w:ascii="仿宋_GB2312" w:hAnsi="仿宋_GB2312" w:cs="仿宋_GB2312" w:eastAsia="仿宋_GB2312"/>
                <w:sz w:val="24"/>
                <w:color w:val="000000"/>
              </w:rPr>
              <w:t>其他</w:t>
            </w:r>
            <w:r>
              <w:rPr>
                <w:rFonts w:ascii="仿宋_GB2312" w:hAnsi="仿宋_GB2312" w:cs="仿宋_GB2312" w:eastAsia="仿宋_GB2312"/>
                <w:sz w:val="24"/>
                <w:color w:val="000000"/>
              </w:rPr>
              <w:t>技术资料，并提供装有全部设计资料等，所有成果初稿完成后应按采购人提出的审查意见和修改意见进行修改，直至获得有关主管部门审批通过，本项目所完成的编制成果的所有权、知识产权归采购人。</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3）所有提供资料包括：①纸质成果印刷一份；②电子成果为与纸质成果相对应的电子文档（pdf格式）。</w:t>
            </w:r>
          </w:p>
          <w:p>
            <w:pPr>
              <w:pStyle w:val="null3"/>
              <w:ind w:firstLine="240"/>
              <w:jc w:val="left"/>
            </w:pPr>
            <w:r>
              <w:rPr>
                <w:rFonts w:ascii="仿宋_GB2312" w:hAnsi="仿宋_GB2312" w:cs="仿宋_GB2312" w:eastAsia="仿宋_GB2312"/>
                <w:sz w:val="24"/>
                <w:color w:val="000000"/>
              </w:rPr>
              <w:t>7.服务要求：（1）供应商须指派专属人员与采购人联系服务事宜，服务响应时间应根据采购人实际安排随时调整。</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供应商需根据项目要求及特性自行编制服务思路(不限于对服务范围、依据、技术规范、重点难点等的理解与分析)、管理方案(不限于制度、职责及分工、规范等方案的制定与安排)、实施方案(不限于思路、方法、节点控制、目标等的执行与实施)、质量控制（不限于检查、修改、审核、验收等标准和方法制定和实施）、造价控制、后续服务(考核或检查)及有利于采购人的合理化建议等全面立体化的方案措施。</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3）服务过程中，严格遵守各种管理规定及规章制度，做到奉公守法、诚实守信、廉洁自律、安全文明；服务过程中如发生工伤及意外事故由服务单位负责。</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4）供应商拟投入的服务人员对于在工作中获悉的一切政府工作的信息应严格保守秘密，不得泄露；对于违反者，给采购人单位造成不良社会影响的，或给采购人单位造成损失的，由供应商承担赔偿责任。</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5）严格按照国家、陕西省、西安市有关规定及采购人要求进行服务，不得随意更改或者变换服务内容，每项服务内容实施前应事先取得采购人的落实后方可实施。</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6）配合促进采购人安排的其他相关工作。</w:t>
            </w:r>
          </w:p>
          <w:p>
            <w:pPr>
              <w:pStyle w:val="null3"/>
              <w:jc w:val="left"/>
            </w:pPr>
            <w:r>
              <w:rPr>
                <w:rFonts w:ascii="仿宋_GB2312" w:hAnsi="仿宋_GB2312" w:cs="仿宋_GB2312" w:eastAsia="仿宋_GB2312"/>
                <w:sz w:val="24"/>
                <w:color w:val="000000"/>
              </w:rPr>
              <w:t>8.服务标准：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1）各项服务符合国家、省、市（行业）强制性标准及采购人要求的合格标准。</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服务、产品（如有）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r>
              <w:rPr>
                <w:rFonts w:ascii="仿宋_GB2312" w:hAnsi="仿宋_GB2312" w:cs="仿宋_GB2312" w:eastAsia="仿宋_GB2312"/>
                <w:sz w:val="24"/>
                <w:color w:val="00000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及特性，自行配置履行合同所必需的专业服务团队(不限于项目负责人、管理人员、技术人员、设计人员、编制人员、辅助人员等)，自行组织实施与管理，相关人员经过严格培训，具有相关工作经验，技术水平高、能够胜任项目工作。服务队伍稳定，保证整个项目顺利完成，中标(成交)供应商未经采购人同意，不得擅自更换本项目在响应文件中指定的服务队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供应商根据项目特性及要求，自行配置投入履行合同所必需的各类设施设备(不限于专业设备、辅助设备、工具、软件等)，保证项目顺利实施。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按总价进行报价。供应商的响应报价是供应商响应磋商项目要求的全部工作内容的价格体现，包括供应商完成本项目所需的直接费用、间接费、利润、税金及其它相关的一切费用，包括但不限于：设计费、人工费、设备使用费、资料费、管理费、评审费、利润、税金及不可预见费等全部费用；在提供服务的过程中的任何遗漏，均由中标(成交)供应商免费提供，采购人将不再支付任何费用。 （二）本项目标的所属行业为： 其他未列明行业 （从业人员300人以下的为中小微型企业。其中，从业人员100人及以上的为中型企业；从业人员10人及以上的为小型企业；从业人员10人以下的为微型企业）。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西安市未央区住房和城市建设局(具体按采购人指定地点)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采购人根据磋商文件、响应文件、合同等相关文件，进行验收，确认服务内容、服务标准和服务方式等是否达到采购要求。中标(成交)供应商须接受采购人对相关服务的各类考核或检查；若服务结果验收不通过或质量不符合采购要求，中标(成交)供应商应在一定期限内以采购人要求的标准进行整改或完善，并再次进行考核或检查，若中标(成交)供应商在接受检查整改后最终仍未按要求提供符合要求的服务，采购人有权按违约予以撤项，由此产生的一切责任和费用均由中标(成交)供应商承担，具体按拟签订采购合同相关条款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中标(成交)供应商提供经图审合格后的施工图设计成果(付款前中标(成交)供应商应出具等值发票交至采购人，采购人以银行转账方式支付)后，达到付款条件起10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其他，工程竣工验收完成(付款前中标(成交)供应商应出具等值发票交至采购人，采购人以银行转账方式支付，其他具体按拟定合同相关条款执行)后，达到付款条件起10个工作日内，支付合同总金额的20.0%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具体按拟签订采购合同相关条款执行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(一)磋商有效期： 1.出现特殊情况需要延长磋商有效期的，采购代理机构或采购人可于磋商有效期满之前，以书面形式通知所有供应商延长磋商有效期。 2.在磋商有效期内，供应商撤销响应文件的，应承担磋商文件和法律规定的责任。 3.成交供应商的磋商有效期自动延长至合同终止为止。 (二)合格供应商少于3家的处理：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2.评审过程中，除符合第1条条款规定情形外，若出现合格供应商少于3家时，采购人应依法重新组织采购活动。 (三)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(四)供应商的电子响应文件中的所有文字资料、图纸、数据、方案、证书、检测报告等响应内容应清晰可辨，表达意思统一，便于查找，供应商自行承担资料模糊不清、无法辨认的不利后果。 (五)文件中签名是指：手写签名或加盖签名章（含电子章、印章、签名章），盖章是指加盖单位公章（含电子章）。 (六)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到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 (七)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应提供纸质响应文件两套(自定单双面、黑白/彩色、并胶装)用于备案，纸质响应文件须与项目电子化交易系统中的最终版电子响应文件内容保持一致，不允许修改和补充。中标(成交)通知书领取地址：西安市雁塔区雁翔路111号赛格·中京坊公寓A1(6幢1)单元2层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供应商需在项目电子化交易系统中按要求填写《响应函》完成承诺并进行电子签章，并按响应文件格式中的“资格证明文件”中的相关要求提供一套完整的资格证明材料。②信用查询、控股管理关系及关联关系将结合响应截止日资格审查小组现场查询的结果进行综合判定。</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需同时提供法定代表人在响应文件提交截止时间前6个月内任意时段在本单位注册的已缴纳的社会保障资金缴存单据或社保机构开具的社会保险参保缴费情况证明)/法定代表人委托授权书(需同时提供被授权人在响应文件提交截止时间前6个月内任意时段在本单位注册的已缴纳的社会保障资金缴存单据或社保机构开具的社会保险参保缴费情况证明)。说明：按照电子化全流程要求，响应(投标)文件递交时，响应(投标)文件的递交(签到)人应为法定代表人或授权委托代理人，否则，按无效响应(投标)文件处理。</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供应商具有依法缴纳税收和社会保障资金的良好记录。</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供应商参加本次采购活动3年内，在经营活动中没有重大违法记录的书面声明。</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供应商特殊资格(行政许可)要求</w:t>
            </w:r>
          </w:p>
        </w:tc>
        <w:tc>
          <w:tcPr>
            <w:tcW w:type="dxa" w:w="3322"/>
          </w:tcPr>
          <w:p>
            <w:pPr>
              <w:pStyle w:val="null3"/>
            </w:pPr>
            <w:r>
              <w:rPr>
                <w:rFonts w:ascii="仿宋_GB2312" w:hAnsi="仿宋_GB2312" w:cs="仿宋_GB2312" w:eastAsia="仿宋_GB2312"/>
              </w:rPr>
              <w:t>供应商具备工程设计综合资质甲级或工程设计铁道行业甲(I)级及以上资质。 (根据“资格证明文件”中提供的要求和说明，提供符合条件的证明材料)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供应商拟派项目负责人特殊资格(行政许可)要求</w:t>
            </w:r>
          </w:p>
        </w:tc>
        <w:tc>
          <w:tcPr>
            <w:tcW w:type="dxa" w:w="3322"/>
          </w:tcPr>
          <w:p>
            <w:pPr>
              <w:pStyle w:val="null3"/>
            </w:pPr>
            <w:r>
              <w:rPr>
                <w:rFonts w:ascii="仿宋_GB2312" w:hAnsi="仿宋_GB2312" w:cs="仿宋_GB2312" w:eastAsia="仿宋_GB2312"/>
              </w:rPr>
              <w:t>供应商拟派项目负责人须具备注册土木工程师(道路工程)执业资格(在本单位注册)或道路、桥梁相关专业高级工程师。 (根据“资格证明文件”中提供的要求和说明，提供符合条件的证明材料)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其他特殊资格(行政许可)要求</w:t>
            </w:r>
          </w:p>
        </w:tc>
        <w:tc>
          <w:tcPr>
            <w:tcW w:type="dxa" w:w="3322"/>
          </w:tcPr>
          <w:p>
            <w:pPr>
              <w:pStyle w:val="null3"/>
            </w:pPr>
            <w:r>
              <w:rPr>
                <w:rFonts w:ascii="仿宋_GB2312" w:hAnsi="仿宋_GB2312" w:cs="仿宋_GB2312" w:eastAsia="仿宋_GB2312"/>
              </w:rPr>
              <w:t>供应商的基本信息及拟派项目负责人的基本信息在“陕西省住房和城乡建设厅”（http://js.shaanxi.gov.cn/）或“陕西政务服务网”(https://zwfw.shaanxi.gov.cn/sx/public/index)官网可查询且无不良行为记录，并在各级建设诚信信息平台未被列为投标受限制的行为人或被列为严重违法失信企业名单(提供承诺)。 (根据“资格证明文件”中提供的要求和说明，提供符合条件的证明材料)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响应函符合采购文件中签名盖章要求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服务期限、服务地点、服务标准</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商务、技术文件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响应文件内容齐全、无遗漏，符合采购文件中的实质性条款要求，且未含有采购人不能接受的附加条件。</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符合采购文件中规定的有效期限</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根据项目理解中的①设计要求；②设计依据；③设计目标；④服务质量等方案措施的响应程度。 说明：评分标准中每一单项方案措施计3分，单项方案措施中每存在1处缺陷的扣0.5分，扣完单项分值为止。出现下列任一情形的，单项得0分，不再执行按处扣0.5分规则：①评审标准要求的核心评审子项缺项；②方案仅罗列标题、框架，无具体落地实施措施；③全部或主要内容直接复制其他项目方案，无针对本项目的针对性内容。备注：A.缺陷包括但不限于：项目名称错误、建设地点错误、方案内容与本项目需求无关、方案内容矛盾或前后表述不一致、引用适用标准/规范错误、局部摘抄复制其他项目内容等情形。B.评判计量规则：一处独立问题计1处缺陷；同一自然段内多处同类瑕疵，合并计为1处缺陷；仅文字笔误不涉及方案实质的，按缺陷计处，不直接判定单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根据实施方案中的①设计思路；②设计方法；③进度保障；④成果审核等方案措施的响应程度。 说明：评分标准中每一单项方案措施计3分，单项方案措施中每存在1处缺陷的扣0.5分，扣完单项分值为止。出现下列任一情形的，单项得0分，不再执行按处扣0.5分规则：①评审标准要求的核心评审子项缺项；②方案仅罗列标题、框架，无具体落地实施措施；③全部或主要内容直接复制其他项目方案，无针对本项目的针对性内容。备注：A.缺陷包括但不限于：项目名称错误、建设地点错误、方案内容与本项目需求无关、方案内容矛盾或前后表述不一致、引用适用标准/规范错误、局部摘抄复制其他项目内容等情形。B.评判计量规则：一处独立问题计1处缺陷；同一自然段内多处同类瑕疵，合并计为1处缺陷；仅文字笔误不涉及方案实质的，按缺陷计处，不直接判定单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管理方案及其他</w:t>
            </w:r>
          </w:p>
        </w:tc>
        <w:tc>
          <w:tcPr>
            <w:tcW w:type="dxa" w:w="2492"/>
          </w:tcPr>
          <w:p>
            <w:pPr>
              <w:pStyle w:val="null3"/>
            </w:pPr>
            <w:r>
              <w:rPr>
                <w:rFonts w:ascii="仿宋_GB2312" w:hAnsi="仿宋_GB2312" w:cs="仿宋_GB2312" w:eastAsia="仿宋_GB2312"/>
              </w:rPr>
              <w:t>根据管理方案及其他中的①管理制度；②职责及分工；③工作规范；④造价控制；⑤有利于采购人的合理化建议等方案措施的响应程度。 说明：评分标准中每一单项方案措施计3分，单项方案措施中每存在1处缺陷的扣0.5分，扣完单项分值为止。出现下列任一情形的，单项得0分，不再执行按处扣0.5分规则：①评审标准要求的核心评审子项缺项；②方案仅罗列标题、框架，无具体落地实施措施；③全部或主要内容直接复制其他项目方案，无针对本项目的针对性内容。备注：A.缺陷包括但不限于：项目名称错误、建设地点错误、方案内容与本项目需求无关、方案内容矛盾或前后表述不一致、引用适用标准/规范错误、局部摘抄复制其他项目内容等情形。B.评判计量规则：一处独立问题计1处缺陷；同一自然段内多处同类瑕疵，合并计为1处缺陷；仅文字笔误不涉及方案实质的，按缺陷计处，不直接判定单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拟派项目服务团队</w:t>
            </w:r>
          </w:p>
        </w:tc>
        <w:tc>
          <w:tcPr>
            <w:tcW w:type="dxa" w:w="2492"/>
          </w:tcPr>
          <w:p>
            <w:pPr>
              <w:pStyle w:val="null3"/>
            </w:pPr>
            <w:r>
              <w:rPr>
                <w:rFonts w:ascii="仿宋_GB2312" w:hAnsi="仿宋_GB2312" w:cs="仿宋_GB2312" w:eastAsia="仿宋_GB2312"/>
              </w:rPr>
              <w:t>①拟派项目组成员中具有本项目相关(道路、给水排水、建筑、电气、造价)专业的注册工程师，每提供一个专业的得2分，最高得10分。说明：项目组成人员不含项目负责人，此项每人只计一次分，需提供相关人员注册证书的描件(复印)件。 ②拟派项目组成员中具有本项目相关(桥梁、路基、铁路通信、铁路信号、电气化)专业高级工程师，每提供一个专业的得1分，最高得5分。说明：项目组成人员不含项目负责人，此项每人只计一次分，需提供相关人员职称证书的描件(复印)件。</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拟派项目负责人业绩</w:t>
            </w:r>
          </w:p>
        </w:tc>
        <w:tc>
          <w:tcPr>
            <w:tcW w:type="dxa" w:w="2492"/>
          </w:tcPr>
          <w:p>
            <w:pPr>
              <w:pStyle w:val="null3"/>
            </w:pPr>
            <w:r>
              <w:rPr>
                <w:rFonts w:ascii="仿宋_GB2312" w:hAnsi="仿宋_GB2312" w:cs="仿宋_GB2312" w:eastAsia="仿宋_GB2312"/>
              </w:rPr>
              <w:t>拟派项目负责人具有2023年1月1日起(以合同签订日期为准)至今类似(涉铁工程相关设计)项目业绩，每提供1个业绩得2分，最多得6分。 说明：需提供拟派项目负责人的业绩合同扫描件(复印)件,“合同主要内容”“签字盖章”“签订日期”等相关信息应在合同中有体现，无法直接体现的可进行佐证材料补充。拟派项目负责人业绩与企业业绩可重复计算。</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供应商具有2023年1月1日起(以合同签订日期为准)至今类似(涉铁工程相关设计)项目业绩，每提供1个业绩得2分，最多得10分。 说明：业绩以合同扫描件(复印)件为依据,“合同主要内容”“签字盖章”“签订日期”等相关信息应在合同中有体现，无法直接体现的可进行佐证材料补充。企业业绩与拟派项目负责人业绩可重复计算。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磋商文件要求的最低最后评审报价为磋商基准价，其磋商报价为满分。供应商的磋商报价得分，统一按照下列公式计算：磋商评审价=磋商最后报价×（1-磋商报价扣除幅度 ）， 磋商报价得分=(磋商基准价／磋商评审价)×30 ； （最低报价不是中标(成交)的唯一依据。因落实政府采购政策进行价格调整的，以调整后的价格计算评标基准价和响应报价。）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 (1)承接本项目的供应商为符合政策要求的小微企业时，给予10%的价格扣除，即：评审价=最后报价×（1-10%）;监狱企业与残疾人福利性单位视同小型、微型企业，享受同等价格扣除，当企业属性重复时，不重复价格扣除。 （2）供应商提供的《中小企业声明函》或者《残疾人福利性单位声明函》或者监狱企业证明中存在明显错误的，磋商小组可以按照采购文件中相关条款的规定，要求供应商作出澄清；经澄清后，仍不符合小微企业条件的，则视为不符合小微企业情形。</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