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4A6AB">
      <w:pPr>
        <w:pStyle w:val="3"/>
        <w:jc w:val="center"/>
        <w:rPr>
          <w:rFonts w:hint="eastAsia" w:ascii="仿宋" w:hAnsi="仿宋" w:eastAsia="仿宋" w:cs="仿宋"/>
          <w:b/>
          <w:color w:val="000000" w:themeColor="text1"/>
          <w:spacing w:val="34"/>
          <w:sz w:val="44"/>
          <w:szCs w:val="44"/>
          <w:lang w:eastAsia="zh-CN"/>
          <w14:textFill>
            <w14:solidFill>
              <w14:schemeClr w14:val="tx1"/>
            </w14:solidFill>
          </w14:textFill>
        </w:rPr>
      </w:pPr>
    </w:p>
    <w:p w14:paraId="5CB7D51C">
      <w:pPr>
        <w:pStyle w:val="3"/>
        <w:jc w:val="center"/>
        <w:rPr>
          <w:rFonts w:hint="eastAsia" w:ascii="仿宋" w:hAnsi="仿宋" w:eastAsia="仿宋" w:cs="仿宋"/>
          <w:b/>
          <w:color w:val="000000" w:themeColor="text1"/>
          <w:spacing w:val="34"/>
          <w:sz w:val="44"/>
          <w:szCs w:val="44"/>
          <w:lang w:eastAsia="zh-CN"/>
          <w14:textFill>
            <w14:solidFill>
              <w14:schemeClr w14:val="tx1"/>
            </w14:solidFill>
          </w14:textFill>
        </w:rPr>
      </w:pPr>
    </w:p>
    <w:p w14:paraId="50DFCBAA">
      <w:pPr>
        <w:pStyle w:val="3"/>
        <w:jc w:val="center"/>
        <w:rPr>
          <w:rFonts w:hint="eastAsia" w:ascii="仿宋" w:hAnsi="仿宋" w:eastAsia="仿宋" w:cs="仿宋"/>
          <w:b/>
          <w:color w:val="000000" w:themeColor="text1"/>
          <w:spacing w:val="34"/>
          <w:sz w:val="44"/>
          <w:szCs w:val="44"/>
          <w:lang w:eastAsia="zh-CN"/>
          <w14:textFill>
            <w14:solidFill>
              <w14:schemeClr w14:val="tx1"/>
            </w14:solidFill>
          </w14:textFill>
        </w:rPr>
      </w:pPr>
    </w:p>
    <w:p w14:paraId="227E7EB6">
      <w:pPr>
        <w:pStyle w:val="3"/>
        <w:jc w:val="center"/>
        <w:rPr>
          <w:rFonts w:hint="eastAsia" w:ascii="仿宋" w:hAnsi="仿宋" w:eastAsia="仿宋" w:cs="仿宋"/>
          <w:b/>
          <w:color w:val="000000" w:themeColor="text1"/>
          <w:spacing w:val="34"/>
          <w:sz w:val="44"/>
          <w:szCs w:val="44"/>
          <w:lang w:eastAsia="zh-CN"/>
          <w14:textFill>
            <w14:solidFill>
              <w14:schemeClr w14:val="tx1"/>
            </w14:solidFill>
          </w14:textFill>
        </w:rPr>
      </w:pPr>
    </w:p>
    <w:p w14:paraId="5FD4B64A">
      <w:pPr>
        <w:pStyle w:val="3"/>
        <w:jc w:val="center"/>
        <w:rPr>
          <w:rFonts w:hint="eastAsia" w:ascii="仿宋" w:hAnsi="仿宋" w:eastAsia="仿宋" w:cs="仿宋"/>
          <w:b/>
          <w:color w:val="000000" w:themeColor="text1"/>
          <w:sz w:val="44"/>
          <w:szCs w:val="44"/>
          <w14:textFill>
            <w14:solidFill>
              <w14:schemeClr w14:val="tx1"/>
            </w14:solidFill>
          </w14:textFill>
        </w:rPr>
      </w:pPr>
      <w:r>
        <w:rPr>
          <w:rFonts w:hint="eastAsia" w:ascii="仿宋" w:hAnsi="仿宋" w:eastAsia="仿宋" w:cs="仿宋"/>
          <w:b/>
          <w:color w:val="000000" w:themeColor="text1"/>
          <w:spacing w:val="34"/>
          <w:sz w:val="44"/>
          <w:szCs w:val="44"/>
          <w:lang w:eastAsia="zh-CN"/>
          <w14:textFill>
            <w14:solidFill>
              <w14:schemeClr w14:val="tx1"/>
            </w14:solidFill>
          </w14:textFill>
        </w:rPr>
        <w:t>2026年度食品检验检测</w:t>
      </w:r>
      <w:r>
        <w:rPr>
          <w:rFonts w:hint="eastAsia" w:ascii="仿宋" w:hAnsi="仿宋" w:eastAsia="仿宋" w:cs="仿宋"/>
          <w:b/>
          <w:color w:val="000000" w:themeColor="text1"/>
          <w:spacing w:val="34"/>
          <w:sz w:val="44"/>
          <w:szCs w:val="44"/>
          <w14:textFill>
            <w14:solidFill>
              <w14:schemeClr w14:val="tx1"/>
            </w14:solidFill>
          </w14:textFill>
        </w:rPr>
        <w:t>第三方服务采购项目</w:t>
      </w:r>
    </w:p>
    <w:p w14:paraId="51068515">
      <w:pPr>
        <w:pStyle w:val="3"/>
        <w:ind w:firstLine="3092" w:firstLineChars="700"/>
        <w:rPr>
          <w:rFonts w:hint="eastAsia" w:ascii="仿宋" w:hAnsi="仿宋" w:eastAsia="仿宋" w:cs="仿宋"/>
          <w:b/>
          <w:color w:val="000000" w:themeColor="text1"/>
          <w:sz w:val="44"/>
          <w:szCs w:val="44"/>
          <w:lang w:val="en-US" w:eastAsia="zh-CN"/>
          <w14:textFill>
            <w14:solidFill>
              <w14:schemeClr w14:val="tx1"/>
            </w14:solidFill>
          </w14:textFill>
        </w:rPr>
      </w:pPr>
    </w:p>
    <w:p w14:paraId="74F8AED3">
      <w:pPr>
        <w:pStyle w:val="3"/>
        <w:ind w:firstLine="3092" w:firstLineChars="700"/>
        <w:rPr>
          <w:rFonts w:hint="default" w:ascii="仿宋" w:hAnsi="仿宋" w:eastAsia="仿宋" w:cs="仿宋"/>
          <w:b/>
          <w:color w:val="000000" w:themeColor="text1"/>
          <w:sz w:val="44"/>
          <w:szCs w:val="44"/>
          <w:lang w:val="en-US"/>
          <w14:textFill>
            <w14:solidFill>
              <w14:schemeClr w14:val="tx1"/>
            </w14:solidFill>
          </w14:textFill>
        </w:rPr>
      </w:pPr>
      <w:r>
        <w:rPr>
          <w:rFonts w:hint="eastAsia" w:ascii="仿宋" w:hAnsi="仿宋" w:eastAsia="仿宋" w:cs="仿宋"/>
          <w:b/>
          <w:color w:val="000000" w:themeColor="text1"/>
          <w:sz w:val="44"/>
          <w:szCs w:val="44"/>
          <w:lang w:val="en-US" w:eastAsia="zh-CN"/>
          <w14:textFill>
            <w14:solidFill>
              <w14:schemeClr w14:val="tx1"/>
            </w14:solidFill>
          </w14:textFill>
        </w:rPr>
        <w:t>合同包</w:t>
      </w:r>
      <w:r>
        <w:rPr>
          <w:rFonts w:hint="eastAsia" w:ascii="仿宋" w:hAnsi="仿宋" w:eastAsia="仿宋" w:cs="仿宋"/>
          <w:b/>
          <w:color w:val="000000" w:themeColor="text1"/>
          <w:sz w:val="44"/>
          <w:szCs w:val="44"/>
          <w:u w:val="single"/>
          <w:lang w:val="en-US" w:eastAsia="zh-CN"/>
          <w14:textFill>
            <w14:solidFill>
              <w14:schemeClr w14:val="tx1"/>
            </w14:solidFill>
          </w14:textFill>
        </w:rPr>
        <w:t xml:space="preserve">    </w:t>
      </w:r>
    </w:p>
    <w:p w14:paraId="485E4C80">
      <w:pPr>
        <w:pStyle w:val="3"/>
        <w:rPr>
          <w:rFonts w:hint="eastAsia" w:ascii="仿宋" w:hAnsi="仿宋" w:eastAsia="仿宋" w:cs="仿宋"/>
          <w:b/>
          <w:color w:val="000000" w:themeColor="text1"/>
          <w:sz w:val="72"/>
          <w14:textFill>
            <w14:solidFill>
              <w14:schemeClr w14:val="tx1"/>
            </w14:solidFill>
          </w14:textFill>
        </w:rPr>
      </w:pPr>
    </w:p>
    <w:p w14:paraId="33025C6C">
      <w:pPr>
        <w:pStyle w:val="3"/>
        <w:spacing w:before="393"/>
        <w:rPr>
          <w:rFonts w:hint="eastAsia" w:ascii="仿宋" w:hAnsi="仿宋" w:eastAsia="仿宋" w:cs="仿宋"/>
          <w:b/>
          <w:color w:val="000000" w:themeColor="text1"/>
          <w:sz w:val="72"/>
          <w14:textFill>
            <w14:solidFill>
              <w14:schemeClr w14:val="tx1"/>
            </w14:solidFill>
          </w14:textFill>
        </w:rPr>
      </w:pPr>
    </w:p>
    <w:p w14:paraId="448657B4">
      <w:pPr>
        <w:pStyle w:val="3"/>
        <w:spacing w:before="393"/>
        <w:rPr>
          <w:rFonts w:hint="eastAsia" w:ascii="仿宋" w:hAnsi="仿宋" w:eastAsia="仿宋" w:cs="仿宋"/>
          <w:b/>
          <w:color w:val="000000" w:themeColor="text1"/>
          <w:sz w:val="72"/>
          <w14:textFill>
            <w14:solidFill>
              <w14:schemeClr w14:val="tx1"/>
            </w14:solidFill>
          </w14:textFill>
        </w:rPr>
      </w:pPr>
    </w:p>
    <w:p w14:paraId="5C468D3C">
      <w:pPr>
        <w:pStyle w:val="3"/>
        <w:spacing w:before="393"/>
        <w:rPr>
          <w:rFonts w:hint="eastAsia" w:ascii="仿宋" w:hAnsi="仿宋" w:eastAsia="仿宋" w:cs="仿宋"/>
          <w:b/>
          <w:color w:val="000000" w:themeColor="text1"/>
          <w:sz w:val="72"/>
          <w14:textFill>
            <w14:solidFill>
              <w14:schemeClr w14:val="tx1"/>
            </w14:solidFill>
          </w14:textFill>
        </w:rPr>
      </w:pPr>
    </w:p>
    <w:p w14:paraId="5269618A">
      <w:pPr>
        <w:spacing w:after="0" w:line="319" w:lineRule="auto"/>
        <w:ind w:firstLine="1606" w:firstLineChars="500"/>
        <w:jc w:val="both"/>
        <w:rPr>
          <w:rFonts w:hint="eastAsia" w:ascii="仿宋" w:hAnsi="仿宋" w:eastAsia="仿宋" w:cs="仿宋"/>
          <w:b/>
          <w:color w:val="000000" w:themeColor="text1"/>
          <w:spacing w:val="-2"/>
          <w:sz w:val="32"/>
          <w:szCs w:val="32"/>
          <w:u w:val="single"/>
          <w14:textFill>
            <w14:solidFill>
              <w14:schemeClr w14:val="tx1"/>
            </w14:solidFill>
          </w14:textFill>
        </w:rPr>
      </w:pPr>
      <w:r>
        <w:rPr>
          <w:rFonts w:hint="eastAsia" w:ascii="仿宋" w:hAnsi="仿宋" w:eastAsia="仿宋" w:cs="仿宋"/>
          <w:b/>
          <w:color w:val="000000" w:themeColor="text1"/>
          <w:sz w:val="32"/>
          <w:szCs w:val="32"/>
          <w:lang w:val="en-US" w:eastAsia="zh-CN"/>
          <w14:textFill>
            <w14:solidFill>
              <w14:schemeClr w14:val="tx1"/>
            </w14:solidFill>
          </w14:textFill>
        </w:rPr>
        <w:t>甲方：</w:t>
      </w:r>
      <w:r>
        <w:rPr>
          <w:rFonts w:hint="eastAsia" w:ascii="仿宋" w:hAnsi="仿宋" w:eastAsia="仿宋" w:cs="仿宋"/>
          <w:b/>
          <w:color w:val="000000" w:themeColor="text1"/>
          <w:spacing w:val="-2"/>
          <w:sz w:val="32"/>
          <w:szCs w:val="32"/>
          <w:u w:val="single"/>
          <w14:textFill>
            <w14:solidFill>
              <w14:schemeClr w14:val="tx1"/>
            </w14:solidFill>
          </w14:textFill>
        </w:rPr>
        <w:t>富平县市场监督管理局</w:t>
      </w:r>
    </w:p>
    <w:p w14:paraId="4A9822AC">
      <w:pPr>
        <w:spacing w:after="0" w:line="319" w:lineRule="auto"/>
        <w:ind w:firstLine="1586" w:firstLineChars="500"/>
        <w:jc w:val="both"/>
        <w:rPr>
          <w:rFonts w:hint="eastAsia" w:ascii="仿宋" w:hAnsi="仿宋" w:eastAsia="仿宋" w:cs="仿宋"/>
          <w:b/>
          <w:color w:val="000000" w:themeColor="text1"/>
          <w:spacing w:val="-2"/>
          <w:sz w:val="32"/>
          <w:szCs w:val="32"/>
          <w:u w:val="single"/>
          <w:lang w:val="en-US" w:eastAsia="zh-CN"/>
          <w14:textFill>
            <w14:solidFill>
              <w14:schemeClr w14:val="tx1"/>
            </w14:solidFill>
          </w14:textFill>
        </w:rPr>
      </w:pPr>
    </w:p>
    <w:p w14:paraId="4D08C662">
      <w:pPr>
        <w:spacing w:after="0" w:line="319" w:lineRule="auto"/>
        <w:ind w:firstLine="1606" w:firstLineChars="500"/>
        <w:jc w:val="both"/>
        <w:rPr>
          <w:rFonts w:hint="eastAsia" w:ascii="仿宋" w:hAnsi="仿宋" w:eastAsia="仿宋" w:cs="仿宋"/>
          <w:b/>
          <w:color w:val="000000" w:themeColor="text1"/>
          <w:sz w:val="32"/>
          <w:szCs w:val="32"/>
          <w:u w:val="single"/>
          <w:lang w:val="en-US" w:eastAsia="zh-CN"/>
          <w14:textFill>
            <w14:solidFill>
              <w14:schemeClr w14:val="tx1"/>
            </w14:solidFill>
          </w14:textFill>
        </w:rPr>
      </w:pPr>
      <w:r>
        <w:rPr>
          <w:rFonts w:hint="eastAsia" w:ascii="仿宋" w:hAnsi="仿宋" w:eastAsia="仿宋" w:cs="仿宋"/>
          <w:b/>
          <w:color w:val="000000" w:themeColor="text1"/>
          <w:sz w:val="32"/>
          <w:szCs w:val="32"/>
          <w:lang w:val="en-US" w:eastAsia="zh-CN"/>
          <w14:textFill>
            <w14:solidFill>
              <w14:schemeClr w14:val="tx1"/>
            </w14:solidFill>
          </w14:textFill>
        </w:rPr>
        <w:t>乙方：</w:t>
      </w:r>
      <w:r>
        <w:rPr>
          <w:rFonts w:hint="eastAsia" w:ascii="仿宋" w:hAnsi="仿宋" w:eastAsia="仿宋" w:cs="仿宋"/>
          <w:b/>
          <w:color w:val="000000" w:themeColor="text1"/>
          <w:sz w:val="32"/>
          <w:szCs w:val="32"/>
          <w:u w:val="single"/>
          <w:lang w:val="en-US" w:eastAsia="zh-CN"/>
          <w14:textFill>
            <w14:solidFill>
              <w14:schemeClr w14:val="tx1"/>
            </w14:solidFill>
          </w14:textFill>
        </w:rPr>
        <w:t xml:space="preserve">                    </w:t>
      </w:r>
    </w:p>
    <w:p w14:paraId="173D3094">
      <w:pPr>
        <w:pStyle w:val="2"/>
        <w:keepNext w:val="0"/>
        <w:keepLines w:val="0"/>
        <w:pageBreakBefore w:val="0"/>
        <w:widowControl w:val="0"/>
        <w:tabs>
          <w:tab w:val="left" w:pos="8236"/>
        </w:tabs>
        <w:kinsoku/>
        <w:wordWrap/>
        <w:overflowPunct/>
        <w:topLinePunct w:val="0"/>
        <w:autoSpaceDE w:val="0"/>
        <w:autoSpaceDN w:val="0"/>
        <w:bidi w:val="0"/>
        <w:adjustRightInd/>
        <w:snapToGrid/>
        <w:spacing w:before="0" w:after="0" w:line="240" w:lineRule="auto"/>
        <w:ind w:left="0" w:right="0" w:firstLine="0"/>
        <w:jc w:val="both"/>
        <w:textAlignment w:val="auto"/>
        <w:rPr>
          <w:rFonts w:hint="eastAsia" w:ascii="仿宋" w:hAnsi="仿宋" w:eastAsia="仿宋" w:cs="仿宋"/>
          <w:color w:val="000000" w:themeColor="text1"/>
          <w:spacing w:val="-2"/>
          <w:sz w:val="24"/>
          <w:szCs w:val="24"/>
          <w:u w:val="single"/>
          <w14:textFill>
            <w14:solidFill>
              <w14:schemeClr w14:val="tx1"/>
            </w14:solidFill>
          </w14:textFill>
        </w:rPr>
      </w:pPr>
    </w:p>
    <w:p w14:paraId="6DCCA989">
      <w:pPr>
        <w:rPr>
          <w:rFonts w:hint="eastAsia" w:ascii="仿宋" w:hAnsi="仿宋" w:eastAsia="仿宋" w:cs="仿宋"/>
          <w:color w:val="000000" w:themeColor="text1"/>
          <w:spacing w:val="-2"/>
          <w:sz w:val="24"/>
          <w:szCs w:val="24"/>
          <w:u w:val="single"/>
          <w14:textFill>
            <w14:solidFill>
              <w14:schemeClr w14:val="tx1"/>
            </w14:solidFill>
          </w14:textFill>
        </w:rPr>
      </w:pPr>
      <w:r>
        <w:rPr>
          <w:rFonts w:hint="eastAsia" w:ascii="仿宋" w:hAnsi="仿宋" w:eastAsia="仿宋" w:cs="仿宋"/>
          <w:color w:val="000000" w:themeColor="text1"/>
          <w:spacing w:val="-2"/>
          <w:sz w:val="24"/>
          <w:szCs w:val="24"/>
          <w:u w:val="single"/>
          <w14:textFill>
            <w14:solidFill>
              <w14:schemeClr w14:val="tx1"/>
            </w14:solidFill>
          </w14:textFill>
        </w:rPr>
        <w:br w:type="page"/>
      </w:r>
    </w:p>
    <w:p w14:paraId="5D5164FD">
      <w:pPr>
        <w:pStyle w:val="2"/>
        <w:keepNext w:val="0"/>
        <w:keepLines w:val="0"/>
        <w:pageBreakBefore w:val="0"/>
        <w:widowControl w:val="0"/>
        <w:tabs>
          <w:tab w:val="left" w:pos="8236"/>
        </w:tabs>
        <w:kinsoku/>
        <w:wordWrap/>
        <w:overflowPunct/>
        <w:topLinePunct w:val="0"/>
        <w:autoSpaceDE w:val="0"/>
        <w:autoSpaceDN w:val="0"/>
        <w:bidi w:val="0"/>
        <w:adjustRightInd/>
        <w:snapToGrid/>
        <w:spacing w:before="0" w:after="0" w:line="360" w:lineRule="auto"/>
        <w:ind w:right="0"/>
        <w:jc w:val="center"/>
        <w:textAlignment w:val="auto"/>
        <w:rPr>
          <w:rFonts w:hint="eastAsia" w:ascii="仿宋" w:hAnsi="仿宋" w:eastAsia="仿宋" w:cs="仿宋"/>
          <w:b/>
          <w:bCs/>
          <w:color w:val="000000" w:themeColor="text1"/>
          <w:spacing w:val="-2"/>
          <w:sz w:val="32"/>
          <w:szCs w:val="32"/>
          <w:u w:val="none"/>
          <w:lang w:val="en-US" w:eastAsia="zh-CN"/>
          <w14:textFill>
            <w14:solidFill>
              <w14:schemeClr w14:val="tx1"/>
            </w14:solidFill>
          </w14:textFill>
        </w:rPr>
      </w:pPr>
      <w:r>
        <w:rPr>
          <w:rFonts w:hint="eastAsia" w:ascii="仿宋" w:hAnsi="仿宋" w:eastAsia="仿宋" w:cs="仿宋"/>
          <w:b/>
          <w:bCs/>
          <w:color w:val="000000" w:themeColor="text1"/>
          <w:spacing w:val="-2"/>
          <w:sz w:val="32"/>
          <w:szCs w:val="32"/>
          <w:u w:val="none"/>
          <w:lang w:val="en-US" w:eastAsia="zh-CN"/>
          <w14:textFill>
            <w14:solidFill>
              <w14:schemeClr w14:val="tx1"/>
            </w14:solidFill>
          </w14:textFill>
        </w:rPr>
        <w:t>合   同</w:t>
      </w:r>
    </w:p>
    <w:p w14:paraId="7B20C49F">
      <w:pPr>
        <w:pStyle w:val="2"/>
        <w:keepNext w:val="0"/>
        <w:keepLines w:val="0"/>
        <w:pageBreakBefore w:val="0"/>
        <w:widowControl w:val="0"/>
        <w:tabs>
          <w:tab w:val="left" w:pos="8236"/>
        </w:tabs>
        <w:kinsoku/>
        <w:wordWrap/>
        <w:overflowPunct/>
        <w:topLinePunct w:val="0"/>
        <w:autoSpaceDE w:val="0"/>
        <w:autoSpaceDN w:val="0"/>
        <w:bidi w:val="0"/>
        <w:adjustRightInd/>
        <w:snapToGrid/>
        <w:spacing w:before="0" w:after="0" w:line="360" w:lineRule="auto"/>
        <w:ind w:left="0" w:right="0" w:firstLine="472" w:firstLineChars="200"/>
        <w:jc w:val="both"/>
        <w:textAlignment w:val="auto"/>
        <w:rPr>
          <w:rFonts w:hint="eastAsia" w:ascii="仿宋" w:hAnsi="仿宋" w:eastAsia="仿宋" w:cs="仿宋"/>
          <w:color w:val="000000" w:themeColor="text1"/>
          <w:spacing w:val="-2"/>
          <w:sz w:val="24"/>
          <w:szCs w:val="24"/>
          <w:u w:val="none"/>
          <w14:textFill>
            <w14:solidFill>
              <w14:schemeClr w14:val="tx1"/>
            </w14:solidFill>
          </w14:textFill>
        </w:rPr>
      </w:pPr>
      <w:r>
        <w:rPr>
          <w:rFonts w:hint="eastAsia" w:ascii="仿宋" w:hAnsi="仿宋" w:eastAsia="仿宋" w:cs="仿宋"/>
          <w:color w:val="000000" w:themeColor="text1"/>
          <w:spacing w:val="-2"/>
          <w:sz w:val="24"/>
          <w:szCs w:val="24"/>
          <w:u w:val="none"/>
          <w14:textFill>
            <w14:solidFill>
              <w14:schemeClr w14:val="tx1"/>
            </w14:solidFill>
          </w14:textFill>
        </w:rPr>
        <w:t>根据《中华人民共和国政府采购法》及实施条例、《中华人民共和国民法典》和甲方</w:t>
      </w:r>
      <w:r>
        <w:rPr>
          <w:rFonts w:hint="eastAsia" w:ascii="仿宋" w:hAnsi="仿宋" w:eastAsia="仿宋" w:cs="仿宋"/>
          <w:color w:val="000000" w:themeColor="text1"/>
          <w:spacing w:val="-2"/>
          <w:sz w:val="24"/>
          <w:szCs w:val="24"/>
          <w:u w:val="single"/>
          <w14:textFill>
            <w14:solidFill>
              <w14:schemeClr w14:val="tx1"/>
            </w14:solidFill>
          </w14:textFill>
        </w:rPr>
        <w:t>富平县市场监督管理局202</w:t>
      </w:r>
      <w:r>
        <w:rPr>
          <w:rFonts w:hint="eastAsia" w:ascii="仿宋" w:hAnsi="仿宋" w:eastAsia="仿宋" w:cs="仿宋"/>
          <w:color w:val="000000" w:themeColor="text1"/>
          <w:spacing w:val="-2"/>
          <w:sz w:val="24"/>
          <w:szCs w:val="24"/>
          <w:u w:val="single"/>
          <w:lang w:val="en-US" w:eastAsia="zh-CN"/>
          <w14:textFill>
            <w14:solidFill>
              <w14:schemeClr w14:val="tx1"/>
            </w14:solidFill>
          </w14:textFill>
        </w:rPr>
        <w:t>6</w:t>
      </w:r>
      <w:r>
        <w:rPr>
          <w:rFonts w:hint="eastAsia" w:ascii="仿宋" w:hAnsi="仿宋" w:eastAsia="仿宋" w:cs="仿宋"/>
          <w:color w:val="000000" w:themeColor="text1"/>
          <w:spacing w:val="-2"/>
          <w:sz w:val="24"/>
          <w:szCs w:val="24"/>
          <w:u w:val="single"/>
          <w14:textFill>
            <w14:solidFill>
              <w14:schemeClr w14:val="tx1"/>
            </w14:solidFill>
          </w14:textFill>
        </w:rPr>
        <w:t>年度食品检验检测第三方服务采购项目(</w:t>
      </w:r>
      <w:bookmarkStart w:id="7" w:name="_GoBack"/>
      <w:bookmarkEnd w:id="7"/>
      <w:r>
        <w:rPr>
          <w:rFonts w:hint="eastAsia" w:ascii="仿宋" w:hAnsi="仿宋" w:eastAsia="仿宋" w:cs="仿宋"/>
          <w:color w:val="000000" w:themeColor="text1"/>
          <w:spacing w:val="-2"/>
          <w:sz w:val="24"/>
          <w:szCs w:val="24"/>
          <w:u w:val="single"/>
          <w14:textFill>
            <w14:solidFill>
              <w14:schemeClr w14:val="tx1"/>
            </w14:solidFill>
          </w14:textFill>
        </w:rPr>
        <w:t>小作坊食品检验检测第三方服务</w:t>
      </w:r>
      <w:r>
        <w:rPr>
          <w:rFonts w:hint="eastAsia" w:ascii="仿宋" w:hAnsi="仿宋" w:eastAsia="仿宋" w:cs="仿宋"/>
          <w:color w:val="000000" w:themeColor="text1"/>
          <w:spacing w:val="-2"/>
          <w:sz w:val="24"/>
          <w:szCs w:val="24"/>
          <w:u w:val="single"/>
          <w:lang w:val="en-US" w:eastAsia="zh-CN"/>
          <w14:textFill>
            <w14:solidFill>
              <w14:schemeClr w14:val="tx1"/>
            </w14:solidFill>
          </w14:textFill>
        </w:rPr>
        <w:t>/餐饮食品检验检测第三方服务/食用农产品检验检测第三方服务</w:t>
      </w:r>
      <w:r>
        <w:rPr>
          <w:rFonts w:hint="eastAsia" w:ascii="仿宋" w:hAnsi="仿宋" w:eastAsia="仿宋" w:cs="仿宋"/>
          <w:color w:val="000000" w:themeColor="text1"/>
          <w:spacing w:val="-2"/>
          <w:sz w:val="24"/>
          <w:szCs w:val="24"/>
          <w:u w:val="single"/>
          <w14:textFill>
            <w14:solidFill>
              <w14:schemeClr w14:val="tx1"/>
            </w14:solidFill>
          </w14:textFill>
        </w:rPr>
        <w:t>)</w:t>
      </w:r>
      <w:r>
        <w:rPr>
          <w:rFonts w:hint="eastAsia" w:ascii="仿宋" w:hAnsi="仿宋" w:eastAsia="仿宋" w:cs="仿宋"/>
          <w:color w:val="000000" w:themeColor="text1"/>
          <w:spacing w:val="-2"/>
          <w:sz w:val="24"/>
          <w:szCs w:val="24"/>
          <w:u w:val="none"/>
          <w14:textFill>
            <w14:solidFill>
              <w14:schemeClr w14:val="tx1"/>
            </w14:solidFill>
          </w14:textFill>
        </w:rPr>
        <w:t>的磋商文件、磋商响应文件等有关规定，为确保甲方采购项目的顺利实施，甲、乙双方在平等自愿原则下签订本合同，并共同遵守如下条款:</w:t>
      </w:r>
    </w:p>
    <w:p w14:paraId="5A42634D">
      <w:pPr>
        <w:pStyle w:val="2"/>
        <w:keepNext w:val="0"/>
        <w:keepLines w:val="0"/>
        <w:pageBreakBefore w:val="0"/>
        <w:widowControl w:val="0"/>
        <w:tabs>
          <w:tab w:val="left" w:pos="8236"/>
        </w:tabs>
        <w:kinsoku/>
        <w:wordWrap/>
        <w:overflowPunct/>
        <w:topLinePunct w:val="0"/>
        <w:autoSpaceDE w:val="0"/>
        <w:autoSpaceDN w:val="0"/>
        <w:bidi w:val="0"/>
        <w:adjustRightInd/>
        <w:snapToGrid/>
        <w:spacing w:before="0" w:after="0" w:line="360" w:lineRule="auto"/>
        <w:ind w:right="0"/>
        <w:jc w:val="both"/>
        <w:textAlignment w:val="auto"/>
        <w:rPr>
          <w:rFonts w:hint="eastAsia" w:ascii="仿宋" w:hAnsi="仿宋" w:eastAsia="仿宋" w:cs="仿宋"/>
          <w:b/>
          <w:bCs/>
          <w:color w:val="000000" w:themeColor="text1"/>
          <w:spacing w:val="-2"/>
          <w:sz w:val="24"/>
          <w:szCs w:val="24"/>
          <w:u w:val="none"/>
          <w14:textFill>
            <w14:solidFill>
              <w14:schemeClr w14:val="tx1"/>
            </w14:solidFill>
          </w14:textFill>
        </w:rPr>
      </w:pPr>
      <w:r>
        <w:rPr>
          <w:rFonts w:hint="eastAsia" w:ascii="仿宋" w:hAnsi="仿宋" w:eastAsia="仿宋" w:cs="仿宋"/>
          <w:b/>
          <w:bCs/>
          <w:color w:val="000000" w:themeColor="text1"/>
          <w:spacing w:val="-2"/>
          <w:sz w:val="24"/>
          <w:szCs w:val="24"/>
          <w:u w:val="none"/>
          <w14:textFill>
            <w14:solidFill>
              <w14:schemeClr w14:val="tx1"/>
            </w14:solidFill>
          </w14:textFill>
        </w:rPr>
        <w:t>第一条</w:t>
      </w:r>
      <w:r>
        <w:rPr>
          <w:rFonts w:hint="eastAsia" w:ascii="仿宋" w:hAnsi="仿宋" w:eastAsia="仿宋" w:cs="仿宋"/>
          <w:b/>
          <w:bCs/>
          <w:color w:val="000000" w:themeColor="text1"/>
          <w:spacing w:val="-2"/>
          <w:sz w:val="24"/>
          <w:szCs w:val="24"/>
          <w:u w:val="none"/>
          <w:lang w:val="en-US" w:eastAsia="zh-CN"/>
          <w14:textFill>
            <w14:solidFill>
              <w14:schemeClr w14:val="tx1"/>
            </w14:solidFill>
          </w14:textFill>
        </w:rPr>
        <w:t xml:space="preserve"> </w:t>
      </w:r>
      <w:r>
        <w:rPr>
          <w:rFonts w:hint="eastAsia" w:ascii="仿宋" w:hAnsi="仿宋" w:eastAsia="仿宋" w:cs="仿宋"/>
          <w:b/>
          <w:bCs/>
          <w:color w:val="000000" w:themeColor="text1"/>
          <w:spacing w:val="-2"/>
          <w:sz w:val="24"/>
          <w:szCs w:val="24"/>
          <w:u w:val="none"/>
          <w14:textFill>
            <w14:solidFill>
              <w14:schemeClr w14:val="tx1"/>
            </w14:solidFill>
          </w14:textFill>
        </w:rPr>
        <w:t>项目基本情况</w:t>
      </w:r>
    </w:p>
    <w:p w14:paraId="68248110">
      <w:pPr>
        <w:pStyle w:val="2"/>
        <w:keepNext w:val="0"/>
        <w:keepLines w:val="0"/>
        <w:pageBreakBefore w:val="0"/>
        <w:widowControl w:val="0"/>
        <w:tabs>
          <w:tab w:val="left" w:pos="8236"/>
        </w:tabs>
        <w:kinsoku/>
        <w:wordWrap/>
        <w:overflowPunct/>
        <w:topLinePunct w:val="0"/>
        <w:autoSpaceDE w:val="0"/>
        <w:autoSpaceDN w:val="0"/>
        <w:bidi w:val="0"/>
        <w:adjustRightInd/>
        <w:snapToGrid/>
        <w:spacing w:before="0" w:after="0" w:line="360" w:lineRule="auto"/>
        <w:ind w:left="0" w:right="0" w:firstLine="472" w:firstLineChars="200"/>
        <w:jc w:val="both"/>
        <w:textAlignment w:val="auto"/>
        <w:rPr>
          <w:rFonts w:hint="eastAsia" w:ascii="仿宋" w:hAnsi="仿宋" w:eastAsia="仿宋" w:cs="仿宋"/>
          <w:color w:val="000000" w:themeColor="text1"/>
          <w:spacing w:val="-2"/>
          <w:sz w:val="24"/>
          <w:szCs w:val="24"/>
          <w:u w:val="none"/>
          <w14:textFill>
            <w14:solidFill>
              <w14:schemeClr w14:val="tx1"/>
            </w14:solidFill>
          </w14:textFill>
        </w:rPr>
      </w:pPr>
      <w:r>
        <w:rPr>
          <w:rFonts w:hint="eastAsia" w:ascii="仿宋" w:hAnsi="仿宋" w:eastAsia="仿宋" w:cs="仿宋"/>
          <w:color w:val="000000" w:themeColor="text1"/>
          <w:spacing w:val="-2"/>
          <w:sz w:val="24"/>
          <w:szCs w:val="24"/>
          <w:u w:val="none"/>
          <w14:textFill>
            <w14:solidFill>
              <w14:schemeClr w14:val="tx1"/>
            </w14:solidFill>
          </w14:textFill>
        </w:rPr>
        <w:t>食品安全检验检测，未涉及的抽检品种，检验项目可根据采购人实际情况予</w:t>
      </w:r>
    </w:p>
    <w:p w14:paraId="1A5368F4">
      <w:pPr>
        <w:pStyle w:val="2"/>
        <w:keepNext w:val="0"/>
        <w:keepLines w:val="0"/>
        <w:pageBreakBefore w:val="0"/>
        <w:widowControl w:val="0"/>
        <w:tabs>
          <w:tab w:val="left" w:pos="8236"/>
        </w:tabs>
        <w:kinsoku/>
        <w:wordWrap/>
        <w:overflowPunct/>
        <w:topLinePunct w:val="0"/>
        <w:autoSpaceDE w:val="0"/>
        <w:autoSpaceDN w:val="0"/>
        <w:bidi w:val="0"/>
        <w:adjustRightInd/>
        <w:snapToGrid/>
        <w:spacing w:before="0" w:after="0" w:line="360" w:lineRule="auto"/>
        <w:ind w:right="0"/>
        <w:jc w:val="both"/>
        <w:textAlignment w:val="auto"/>
        <w:rPr>
          <w:rFonts w:hint="eastAsia" w:ascii="仿宋" w:hAnsi="仿宋" w:eastAsia="仿宋" w:cs="仿宋"/>
          <w:color w:val="000000" w:themeColor="text1"/>
          <w:spacing w:val="-2"/>
          <w:sz w:val="24"/>
          <w:szCs w:val="24"/>
          <w:u w:val="none"/>
          <w14:textFill>
            <w14:solidFill>
              <w14:schemeClr w14:val="tx1"/>
            </w14:solidFill>
          </w14:textFill>
        </w:rPr>
      </w:pPr>
      <w:r>
        <w:rPr>
          <w:rFonts w:hint="eastAsia" w:ascii="仿宋" w:hAnsi="仿宋" w:eastAsia="仿宋" w:cs="仿宋"/>
          <w:color w:val="000000" w:themeColor="text1"/>
          <w:spacing w:val="-2"/>
          <w:sz w:val="24"/>
          <w:szCs w:val="24"/>
          <w:u w:val="none"/>
          <w14:textFill>
            <w14:solidFill>
              <w14:schemeClr w14:val="tx1"/>
            </w14:solidFill>
          </w14:textFill>
        </w:rPr>
        <w:t>以增补。</w:t>
      </w:r>
    </w:p>
    <w:p w14:paraId="14B3E273">
      <w:pPr>
        <w:pStyle w:val="2"/>
        <w:keepNext w:val="0"/>
        <w:keepLines w:val="0"/>
        <w:pageBreakBefore w:val="0"/>
        <w:widowControl w:val="0"/>
        <w:tabs>
          <w:tab w:val="left" w:pos="8236"/>
        </w:tabs>
        <w:kinsoku/>
        <w:wordWrap/>
        <w:overflowPunct/>
        <w:topLinePunct w:val="0"/>
        <w:autoSpaceDE w:val="0"/>
        <w:autoSpaceDN w:val="0"/>
        <w:bidi w:val="0"/>
        <w:adjustRightInd/>
        <w:snapToGrid/>
        <w:spacing w:before="0" w:after="0" w:line="360" w:lineRule="auto"/>
        <w:ind w:right="0"/>
        <w:jc w:val="both"/>
        <w:textAlignment w:val="auto"/>
        <w:rPr>
          <w:rFonts w:hint="eastAsia" w:ascii="仿宋" w:hAnsi="仿宋" w:eastAsia="仿宋" w:cs="仿宋"/>
          <w:b/>
          <w:bCs/>
          <w:color w:val="000000" w:themeColor="text1"/>
          <w:spacing w:val="-2"/>
          <w:sz w:val="24"/>
          <w:szCs w:val="24"/>
          <w:u w:val="none"/>
          <w14:textFill>
            <w14:solidFill>
              <w14:schemeClr w14:val="tx1"/>
            </w14:solidFill>
          </w14:textFill>
        </w:rPr>
      </w:pPr>
      <w:r>
        <w:rPr>
          <w:rFonts w:hint="eastAsia" w:ascii="仿宋" w:hAnsi="仿宋" w:eastAsia="仿宋" w:cs="仿宋"/>
          <w:b/>
          <w:bCs/>
          <w:color w:val="000000" w:themeColor="text1"/>
          <w:spacing w:val="-2"/>
          <w:sz w:val="24"/>
          <w:szCs w:val="24"/>
          <w:u w:val="none"/>
          <w14:textFill>
            <w14:solidFill>
              <w14:schemeClr w14:val="tx1"/>
            </w14:solidFill>
          </w14:textFill>
        </w:rPr>
        <w:t>第二条 服务期限</w:t>
      </w:r>
    </w:p>
    <w:p w14:paraId="10882080">
      <w:pPr>
        <w:pStyle w:val="2"/>
        <w:keepNext w:val="0"/>
        <w:keepLines w:val="0"/>
        <w:pageBreakBefore w:val="0"/>
        <w:widowControl w:val="0"/>
        <w:tabs>
          <w:tab w:val="left" w:pos="8236"/>
        </w:tabs>
        <w:kinsoku/>
        <w:wordWrap/>
        <w:overflowPunct/>
        <w:topLinePunct w:val="0"/>
        <w:autoSpaceDE w:val="0"/>
        <w:autoSpaceDN w:val="0"/>
        <w:bidi w:val="0"/>
        <w:adjustRightInd/>
        <w:snapToGrid/>
        <w:spacing w:before="0" w:after="0" w:line="360" w:lineRule="auto"/>
        <w:ind w:left="0" w:right="0" w:firstLine="472" w:firstLineChars="200"/>
        <w:jc w:val="both"/>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u w:val="none"/>
          <w14:textFill>
            <w14:solidFill>
              <w14:schemeClr w14:val="tx1"/>
            </w14:solidFill>
          </w14:textFill>
        </w:rPr>
        <w:t>服务期限自合同签订之日起至202</w:t>
      </w:r>
      <w:r>
        <w:rPr>
          <w:rFonts w:hint="eastAsia" w:ascii="仿宋" w:hAnsi="仿宋" w:eastAsia="仿宋" w:cs="仿宋"/>
          <w:color w:val="000000" w:themeColor="text1"/>
          <w:spacing w:val="-2"/>
          <w:sz w:val="24"/>
          <w:szCs w:val="24"/>
          <w:u w:val="none"/>
          <w:lang w:val="en-US" w:eastAsia="zh-CN"/>
          <w14:textFill>
            <w14:solidFill>
              <w14:schemeClr w14:val="tx1"/>
            </w14:solidFill>
          </w14:textFill>
        </w:rPr>
        <w:t>6</w:t>
      </w:r>
      <w:r>
        <w:rPr>
          <w:rFonts w:hint="eastAsia" w:ascii="仿宋" w:hAnsi="仿宋" w:eastAsia="仿宋" w:cs="仿宋"/>
          <w:color w:val="000000" w:themeColor="text1"/>
          <w:spacing w:val="-2"/>
          <w:sz w:val="24"/>
          <w:szCs w:val="24"/>
          <w:u w:val="none"/>
          <w14:textFill>
            <w14:solidFill>
              <w14:schemeClr w14:val="tx1"/>
            </w14:solidFill>
          </w14:textFill>
        </w:rPr>
        <w:t>年度小作坊食品检验检测</w:t>
      </w:r>
      <w:r>
        <w:rPr>
          <w:rFonts w:hint="eastAsia" w:ascii="仿宋" w:hAnsi="仿宋" w:eastAsia="仿宋" w:cs="仿宋"/>
          <w:color w:val="000000" w:themeColor="text1"/>
          <w:spacing w:val="-2"/>
          <w:sz w:val="24"/>
          <w:szCs w:val="24"/>
          <w:u w:val="none"/>
          <w:lang w:val="en-US" w:eastAsia="zh-CN"/>
          <w14:textFill>
            <w14:solidFill>
              <w14:schemeClr w14:val="tx1"/>
            </w14:solidFill>
          </w14:textFill>
        </w:rPr>
        <w:t>/餐饮食品检验检测/食用农产品检验检测</w:t>
      </w:r>
      <w:r>
        <w:rPr>
          <w:rFonts w:hint="eastAsia" w:ascii="仿宋" w:hAnsi="仿宋" w:eastAsia="仿宋" w:cs="仿宋"/>
          <w:color w:val="000000" w:themeColor="text1"/>
          <w:spacing w:val="-2"/>
          <w:sz w:val="24"/>
          <w:szCs w:val="24"/>
          <w:u w:val="none"/>
          <w14:textFill>
            <w14:solidFill>
              <w14:schemeClr w14:val="tx1"/>
            </w14:solidFill>
          </w14:textFill>
        </w:rPr>
        <w:t>项目完整结束之日止。</w:t>
      </w:r>
    </w:p>
    <w:p w14:paraId="1A17DF0B">
      <w:pPr>
        <w:keepNext w:val="0"/>
        <w:keepLines w:val="0"/>
        <w:pageBreakBefore w:val="0"/>
        <w:widowControl w:val="0"/>
        <w:kinsoku/>
        <w:wordWrap/>
        <w:overflowPunct/>
        <w:topLinePunct w:val="0"/>
        <w:autoSpaceDE w:val="0"/>
        <w:autoSpaceDN w:val="0"/>
        <w:bidi w:val="0"/>
        <w:adjustRightInd/>
        <w:snapToGrid/>
        <w:spacing w:before="0" w:after="0" w:line="360" w:lineRule="auto"/>
        <w:ind w:right="0"/>
        <w:jc w:val="both"/>
        <w:textAlignment w:val="auto"/>
        <w:rPr>
          <w:rFonts w:hint="eastAsia" w:ascii="仿宋" w:hAnsi="仿宋" w:eastAsia="仿宋" w:cs="仿宋"/>
          <w:b/>
          <w:color w:val="000000" w:themeColor="text1"/>
          <w:sz w:val="24"/>
          <w:szCs w:val="21"/>
          <w14:textFill>
            <w14:solidFill>
              <w14:schemeClr w14:val="tx1"/>
            </w14:solidFill>
          </w14:textFill>
        </w:rPr>
      </w:pPr>
      <w:r>
        <w:rPr>
          <w:rFonts w:hint="eastAsia" w:ascii="仿宋" w:hAnsi="仿宋" w:eastAsia="仿宋" w:cs="仿宋"/>
          <w:b/>
          <w:color w:val="000000" w:themeColor="text1"/>
          <w:sz w:val="24"/>
          <w:szCs w:val="21"/>
          <w14:textFill>
            <w14:solidFill>
              <w14:schemeClr w14:val="tx1"/>
            </w14:solidFill>
          </w14:textFill>
        </w:rPr>
        <w:t>第</w:t>
      </w:r>
      <w:r>
        <w:rPr>
          <w:rFonts w:hint="eastAsia" w:ascii="仿宋" w:hAnsi="仿宋" w:eastAsia="仿宋" w:cs="仿宋"/>
          <w:b/>
          <w:color w:val="000000" w:themeColor="text1"/>
          <w:sz w:val="24"/>
          <w:szCs w:val="21"/>
          <w:lang w:val="en-US" w:eastAsia="zh-CN"/>
          <w14:textFill>
            <w14:solidFill>
              <w14:schemeClr w14:val="tx1"/>
            </w14:solidFill>
          </w14:textFill>
        </w:rPr>
        <w:t>三</w:t>
      </w:r>
      <w:r>
        <w:rPr>
          <w:rFonts w:hint="eastAsia" w:ascii="仿宋" w:hAnsi="仿宋" w:eastAsia="仿宋" w:cs="仿宋"/>
          <w:b/>
          <w:color w:val="000000" w:themeColor="text1"/>
          <w:sz w:val="24"/>
          <w:szCs w:val="21"/>
          <w14:textFill>
            <w14:solidFill>
              <w14:schemeClr w14:val="tx1"/>
            </w14:solidFill>
          </w14:textFill>
        </w:rPr>
        <w:t>条</w:t>
      </w:r>
      <w:bookmarkStart w:id="0" w:name="第一条 项目内容"/>
      <w:bookmarkEnd w:id="0"/>
      <w:r>
        <w:rPr>
          <w:rFonts w:hint="eastAsia" w:ascii="仿宋" w:hAnsi="仿宋" w:eastAsia="仿宋" w:cs="仿宋"/>
          <w:b/>
          <w:color w:val="000000" w:themeColor="text1"/>
          <w:sz w:val="24"/>
          <w:szCs w:val="21"/>
          <w:lang w:val="en-US" w:eastAsia="zh-CN"/>
          <w14:textFill>
            <w14:solidFill>
              <w14:schemeClr w14:val="tx1"/>
            </w14:solidFill>
          </w14:textFill>
        </w:rPr>
        <w:t xml:space="preserve"> </w:t>
      </w:r>
      <w:r>
        <w:rPr>
          <w:rFonts w:hint="eastAsia" w:ascii="仿宋" w:hAnsi="仿宋" w:eastAsia="仿宋" w:cs="仿宋"/>
          <w:b/>
          <w:color w:val="000000" w:themeColor="text1"/>
          <w:spacing w:val="-3"/>
          <w:sz w:val="24"/>
          <w:szCs w:val="21"/>
          <w14:textFill>
            <w14:solidFill>
              <w14:schemeClr w14:val="tx1"/>
            </w14:solidFill>
          </w14:textFill>
        </w:rPr>
        <w:t>项目内容</w:t>
      </w:r>
    </w:p>
    <w:p w14:paraId="502ECF0C">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1</w:t>
      </w:r>
      <w:bookmarkStart w:id="1" w:name="1、抽检任务：承接甲方辖区内食品小作坊检验、餐饮食品检验以及食用农产品检验的样品"/>
      <w:bookmarkEnd w:id="1"/>
      <w:r>
        <w:rPr>
          <w:rFonts w:hint="eastAsia" w:ascii="仿宋" w:hAnsi="仿宋" w:eastAsia="仿宋" w:cs="仿宋"/>
          <w:color w:val="000000" w:themeColor="text1"/>
          <w:spacing w:val="-2"/>
          <w:sz w:val="24"/>
          <w:szCs w:val="24"/>
          <w14:textFill>
            <w14:solidFill>
              <w14:schemeClr w14:val="tx1"/>
            </w14:solidFill>
          </w14:textFill>
        </w:rPr>
        <w:t>、抽检任务：承接甲方辖区内食品小作坊检验</w:t>
      </w:r>
      <w:r>
        <w:rPr>
          <w:rFonts w:hint="eastAsia" w:ascii="仿宋" w:hAnsi="仿宋" w:eastAsia="仿宋" w:cs="仿宋"/>
          <w:color w:val="000000" w:themeColor="text1"/>
          <w:spacing w:val="-2"/>
          <w:sz w:val="24"/>
          <w:szCs w:val="24"/>
          <w:lang w:val="en-US" w:eastAsia="zh-CN"/>
          <w14:textFill>
            <w14:solidFill>
              <w14:schemeClr w14:val="tx1"/>
            </w14:solidFill>
          </w14:textFill>
        </w:rPr>
        <w:t>/</w:t>
      </w:r>
      <w:r>
        <w:rPr>
          <w:rFonts w:hint="eastAsia" w:ascii="仿宋" w:hAnsi="仿宋" w:eastAsia="仿宋" w:cs="仿宋"/>
          <w:color w:val="000000" w:themeColor="text1"/>
          <w:spacing w:val="-2"/>
          <w:sz w:val="24"/>
          <w:szCs w:val="24"/>
          <w14:textFill>
            <w14:solidFill>
              <w14:schemeClr w14:val="tx1"/>
            </w14:solidFill>
          </w14:textFill>
        </w:rPr>
        <w:t>餐饮食品检验</w:t>
      </w:r>
      <w:r>
        <w:rPr>
          <w:rFonts w:hint="eastAsia" w:ascii="仿宋" w:hAnsi="仿宋" w:eastAsia="仿宋" w:cs="仿宋"/>
          <w:color w:val="000000" w:themeColor="text1"/>
          <w:spacing w:val="-2"/>
          <w:sz w:val="24"/>
          <w:szCs w:val="24"/>
          <w:lang w:val="en-US" w:eastAsia="zh-CN"/>
          <w14:textFill>
            <w14:solidFill>
              <w14:schemeClr w14:val="tx1"/>
            </w14:solidFill>
          </w14:textFill>
        </w:rPr>
        <w:t>/</w:t>
      </w:r>
      <w:r>
        <w:rPr>
          <w:rFonts w:hint="eastAsia" w:ascii="仿宋" w:hAnsi="仿宋" w:eastAsia="仿宋" w:cs="仿宋"/>
          <w:color w:val="000000" w:themeColor="text1"/>
          <w:spacing w:val="-2"/>
          <w:sz w:val="24"/>
          <w:szCs w:val="24"/>
          <w14:textFill>
            <w14:solidFill>
              <w14:schemeClr w14:val="tx1"/>
            </w14:solidFill>
          </w14:textFill>
        </w:rPr>
        <w:t>食用农产品检验的样品检测工作。</w:t>
      </w:r>
    </w:p>
    <w:p w14:paraId="5153C1A8">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jc w:val="both"/>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2、抽检时限：乙方严格按照甲方抽检计划和甲方确定的具体抽检品种的时</w:t>
      </w:r>
      <w:r>
        <w:rPr>
          <w:rFonts w:hint="eastAsia" w:ascii="仿宋" w:hAnsi="仿宋" w:eastAsia="仿宋" w:cs="仿宋"/>
          <w:color w:val="000000" w:themeColor="text1"/>
          <w:spacing w:val="-6"/>
          <w:sz w:val="24"/>
          <w:szCs w:val="24"/>
          <w14:textFill>
            <w14:solidFill>
              <w14:schemeClr w14:val="tx1"/>
            </w14:solidFill>
          </w14:textFill>
        </w:rPr>
        <w:t>间安排实施抽检，在抽样结束后</w:t>
      </w:r>
      <w:r>
        <w:rPr>
          <w:rFonts w:hint="eastAsia" w:ascii="仿宋" w:hAnsi="仿宋" w:eastAsia="仿宋" w:cs="仿宋"/>
          <w:color w:val="000000" w:themeColor="text1"/>
          <w:spacing w:val="-4"/>
          <w:sz w:val="24"/>
          <w:szCs w:val="24"/>
          <w:lang w:val="en-US" w:eastAsia="zh-CN"/>
          <w14:textFill>
            <w14:solidFill>
              <w14:schemeClr w14:val="tx1"/>
            </w14:solidFill>
          </w14:textFill>
        </w:rPr>
        <w:t>15</w:t>
      </w:r>
      <w:r>
        <w:rPr>
          <w:rFonts w:hint="eastAsia" w:ascii="仿宋" w:hAnsi="仿宋" w:eastAsia="仿宋" w:cs="仿宋"/>
          <w:color w:val="000000" w:themeColor="text1"/>
          <w:spacing w:val="-10"/>
          <w:sz w:val="24"/>
          <w:szCs w:val="24"/>
          <w14:textFill>
            <w14:solidFill>
              <w14:schemeClr w14:val="tx1"/>
            </w14:solidFill>
          </w14:textFill>
        </w:rPr>
        <w:t>个工作日内按时提交检验报告，对于特</w:t>
      </w:r>
      <w:r>
        <w:rPr>
          <w:rFonts w:hint="eastAsia" w:ascii="仿宋" w:hAnsi="仿宋" w:eastAsia="仿宋" w:cs="仿宋"/>
          <w:color w:val="000000" w:themeColor="text1"/>
          <w:sz w:val="24"/>
          <w:szCs w:val="24"/>
          <w14:textFill>
            <w14:solidFill>
              <w14:schemeClr w14:val="tx1"/>
            </w14:solidFill>
          </w14:textFill>
        </w:rPr>
        <w:t>殊、涉案样品的检验，3</w:t>
      </w:r>
      <w:r>
        <w:rPr>
          <w:rFonts w:hint="eastAsia" w:ascii="仿宋" w:hAnsi="仿宋" w:eastAsia="仿宋" w:cs="仿宋"/>
          <w:color w:val="000000" w:themeColor="text1"/>
          <w:spacing w:val="-5"/>
          <w:sz w:val="24"/>
          <w:szCs w:val="24"/>
          <w14:textFill>
            <w14:solidFill>
              <w14:schemeClr w14:val="tx1"/>
            </w14:solidFill>
          </w14:textFill>
        </w:rPr>
        <w:t>天出结果，</w:t>
      </w:r>
      <w:r>
        <w:rPr>
          <w:rFonts w:hint="eastAsia" w:ascii="仿宋" w:hAnsi="仿宋" w:eastAsia="仿宋" w:cs="仿宋"/>
          <w:color w:val="000000" w:themeColor="text1"/>
          <w:sz w:val="24"/>
          <w:szCs w:val="24"/>
          <w14:textFill>
            <w14:solidFill>
              <w14:schemeClr w14:val="tx1"/>
            </w14:solidFill>
          </w14:textFill>
        </w:rPr>
        <w:t>7</w:t>
      </w:r>
      <w:r>
        <w:rPr>
          <w:rFonts w:hint="eastAsia" w:ascii="仿宋" w:hAnsi="仿宋" w:eastAsia="仿宋" w:cs="仿宋"/>
          <w:color w:val="000000" w:themeColor="text1"/>
          <w:spacing w:val="-5"/>
          <w:sz w:val="24"/>
          <w:szCs w:val="24"/>
          <w14:textFill>
            <w14:solidFill>
              <w14:schemeClr w14:val="tx1"/>
            </w14:solidFill>
          </w14:textFill>
        </w:rPr>
        <w:t>天出报告。</w:t>
      </w:r>
    </w:p>
    <w:p w14:paraId="78240A44">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z w:val="24"/>
          <w:szCs w:val="24"/>
          <w14:textFill>
            <w14:solidFill>
              <w14:schemeClr w14:val="tx1"/>
            </w14:solidFill>
          </w14:textFill>
        </w:rPr>
      </w:pPr>
      <w:bookmarkStart w:id="2" w:name="3、抽检地点：甲方指定地点。"/>
      <w:bookmarkEnd w:id="2"/>
      <w:r>
        <w:rPr>
          <w:rFonts w:hint="eastAsia" w:ascii="仿宋" w:hAnsi="仿宋" w:eastAsia="仿宋" w:cs="仿宋"/>
          <w:color w:val="000000" w:themeColor="text1"/>
          <w:spacing w:val="-2"/>
          <w:sz w:val="24"/>
          <w:szCs w:val="24"/>
          <w14:textFill>
            <w14:solidFill>
              <w14:schemeClr w14:val="tx1"/>
            </w14:solidFill>
          </w14:textFill>
        </w:rPr>
        <w:t>3</w:t>
      </w:r>
      <w:r>
        <w:rPr>
          <w:rFonts w:hint="eastAsia" w:ascii="仿宋" w:hAnsi="仿宋" w:eastAsia="仿宋" w:cs="仿宋"/>
          <w:color w:val="000000" w:themeColor="text1"/>
          <w:spacing w:val="-3"/>
          <w:sz w:val="24"/>
          <w:szCs w:val="24"/>
          <w14:textFill>
            <w14:solidFill>
              <w14:schemeClr w14:val="tx1"/>
            </w14:solidFill>
          </w14:textFill>
        </w:rPr>
        <w:t>、抽检地点：甲方指定地点。</w:t>
      </w:r>
    </w:p>
    <w:p w14:paraId="03E524CA">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z w:val="24"/>
          <w:szCs w:val="24"/>
          <w14:textFill>
            <w14:solidFill>
              <w14:schemeClr w14:val="tx1"/>
            </w14:solidFill>
          </w14:textFill>
        </w:rPr>
      </w:pPr>
      <w:bookmarkStart w:id="3" w:name="4、抽样方式：乙方在甲方协助下自行进行抽样。"/>
      <w:bookmarkEnd w:id="3"/>
      <w:r>
        <w:rPr>
          <w:rFonts w:hint="eastAsia" w:ascii="仿宋" w:hAnsi="仿宋" w:eastAsia="仿宋" w:cs="仿宋"/>
          <w:color w:val="000000" w:themeColor="text1"/>
          <w:spacing w:val="-2"/>
          <w:sz w:val="24"/>
          <w:szCs w:val="24"/>
          <w14:textFill>
            <w14:solidFill>
              <w14:schemeClr w14:val="tx1"/>
            </w14:solidFill>
          </w14:textFill>
        </w:rPr>
        <w:t>4</w:t>
      </w:r>
      <w:r>
        <w:rPr>
          <w:rFonts w:hint="eastAsia" w:ascii="仿宋" w:hAnsi="仿宋" w:eastAsia="仿宋" w:cs="仿宋"/>
          <w:color w:val="000000" w:themeColor="text1"/>
          <w:spacing w:val="-3"/>
          <w:sz w:val="24"/>
          <w:szCs w:val="24"/>
          <w14:textFill>
            <w14:solidFill>
              <w14:schemeClr w14:val="tx1"/>
            </w14:solidFill>
          </w14:textFill>
        </w:rPr>
        <w:t>、抽样方式：乙方在甲方协助下自行进行抽样。</w:t>
      </w:r>
    </w:p>
    <w:p w14:paraId="11EC18FF">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z w:val="24"/>
          <w:szCs w:val="24"/>
          <w14:textFill>
            <w14:solidFill>
              <w14:schemeClr w14:val="tx1"/>
            </w14:solidFill>
          </w14:textFill>
        </w:rPr>
      </w:pPr>
      <w:bookmarkStart w:id="4" w:name="5、应急：对于特殊、涉案样品的检验，在符合检验时限的情况下3天出结果，7天出报告"/>
      <w:bookmarkEnd w:id="4"/>
      <w:r>
        <w:rPr>
          <w:rFonts w:hint="eastAsia" w:ascii="仿宋" w:hAnsi="仿宋" w:eastAsia="仿宋" w:cs="仿宋"/>
          <w:color w:val="000000" w:themeColor="text1"/>
          <w:spacing w:val="-2"/>
          <w:sz w:val="24"/>
          <w:szCs w:val="24"/>
          <w14:textFill>
            <w14:solidFill>
              <w14:schemeClr w14:val="tx1"/>
            </w14:solidFill>
          </w14:textFill>
        </w:rPr>
        <w:t>5</w:t>
      </w:r>
      <w:r>
        <w:rPr>
          <w:rFonts w:hint="eastAsia" w:ascii="仿宋" w:hAnsi="仿宋" w:eastAsia="仿宋" w:cs="仿宋"/>
          <w:color w:val="000000" w:themeColor="text1"/>
          <w:spacing w:val="-5"/>
          <w:sz w:val="24"/>
          <w:szCs w:val="24"/>
          <w14:textFill>
            <w14:solidFill>
              <w14:schemeClr w14:val="tx1"/>
            </w14:solidFill>
          </w14:textFill>
        </w:rPr>
        <w:t>、应急：对于特殊、涉案样品的检验，在符合检验时限的情况下</w:t>
      </w:r>
      <w:r>
        <w:rPr>
          <w:rFonts w:hint="eastAsia" w:ascii="仿宋" w:hAnsi="仿宋" w:eastAsia="仿宋" w:cs="仿宋"/>
          <w:color w:val="000000" w:themeColor="text1"/>
          <w:spacing w:val="-2"/>
          <w:sz w:val="24"/>
          <w:szCs w:val="24"/>
          <w14:textFill>
            <w14:solidFill>
              <w14:schemeClr w14:val="tx1"/>
            </w14:solidFill>
          </w14:textFill>
        </w:rPr>
        <w:t>3</w:t>
      </w:r>
      <w:r>
        <w:rPr>
          <w:rFonts w:hint="eastAsia" w:ascii="仿宋" w:hAnsi="仿宋" w:eastAsia="仿宋" w:cs="仿宋"/>
          <w:color w:val="000000" w:themeColor="text1"/>
          <w:spacing w:val="-19"/>
          <w:sz w:val="24"/>
          <w:szCs w:val="24"/>
          <w14:textFill>
            <w14:solidFill>
              <w14:schemeClr w14:val="tx1"/>
            </w14:solidFill>
          </w14:textFill>
        </w:rPr>
        <w:t xml:space="preserve"> 天出结</w:t>
      </w:r>
      <w:r>
        <w:rPr>
          <w:rFonts w:hint="eastAsia" w:ascii="仿宋" w:hAnsi="仿宋" w:eastAsia="仿宋" w:cs="仿宋"/>
          <w:color w:val="000000" w:themeColor="text1"/>
          <w:sz w:val="24"/>
          <w:szCs w:val="24"/>
          <w14:textFill>
            <w14:solidFill>
              <w14:schemeClr w14:val="tx1"/>
            </w14:solidFill>
          </w14:textFill>
        </w:rPr>
        <w:t>果，7</w:t>
      </w:r>
      <w:r>
        <w:rPr>
          <w:rFonts w:hint="eastAsia" w:ascii="仿宋" w:hAnsi="仿宋" w:eastAsia="仿宋" w:cs="仿宋"/>
          <w:color w:val="000000" w:themeColor="text1"/>
          <w:spacing w:val="-9"/>
          <w:sz w:val="24"/>
          <w:szCs w:val="24"/>
          <w14:textFill>
            <w14:solidFill>
              <w14:schemeClr w14:val="tx1"/>
            </w14:solidFill>
          </w14:textFill>
        </w:rPr>
        <w:t xml:space="preserve"> 天出报告。</w:t>
      </w:r>
    </w:p>
    <w:p w14:paraId="09EEA354">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6"/>
          <w:sz w:val="24"/>
          <w:szCs w:val="24"/>
          <w14:textFill>
            <w14:solidFill>
              <w14:schemeClr w14:val="tx1"/>
            </w14:solidFill>
          </w14:textFill>
        </w:rPr>
      </w:pPr>
      <w:bookmarkStart w:id="5" w:name="6、其他：如遇不可抗拒的自然因素，须及时告知甲方，并协商顺延工期事宜。"/>
      <w:bookmarkEnd w:id="5"/>
      <w:r>
        <w:rPr>
          <w:rFonts w:hint="eastAsia" w:ascii="仿宋" w:hAnsi="仿宋" w:eastAsia="仿宋" w:cs="仿宋"/>
          <w:color w:val="000000" w:themeColor="text1"/>
          <w:spacing w:val="-2"/>
          <w:sz w:val="24"/>
          <w:szCs w:val="24"/>
          <w14:textFill>
            <w14:solidFill>
              <w14:schemeClr w14:val="tx1"/>
            </w14:solidFill>
          </w14:textFill>
        </w:rPr>
        <w:t>6、其他：如遇不可抗拒的自然因素，须及时告知甲方，并协商顺延工期事</w:t>
      </w:r>
      <w:r>
        <w:rPr>
          <w:rFonts w:hint="eastAsia" w:ascii="仿宋" w:hAnsi="仿宋" w:eastAsia="仿宋" w:cs="仿宋"/>
          <w:color w:val="000000" w:themeColor="text1"/>
          <w:spacing w:val="-6"/>
          <w:sz w:val="24"/>
          <w:szCs w:val="24"/>
          <w14:textFill>
            <w14:solidFill>
              <w14:schemeClr w14:val="tx1"/>
            </w14:solidFill>
          </w14:textFill>
        </w:rPr>
        <w:t>宜。</w:t>
      </w:r>
    </w:p>
    <w:p w14:paraId="4C22FE34">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56" w:firstLineChars="200"/>
        <w:textAlignment w:val="auto"/>
        <w:rPr>
          <w:rFonts w:hint="eastAsia" w:ascii="仿宋" w:hAnsi="仿宋" w:eastAsia="仿宋" w:cs="仿宋"/>
          <w:color w:val="000000" w:themeColor="text1"/>
          <w:spacing w:val="-6"/>
          <w:sz w:val="24"/>
          <w:szCs w:val="24"/>
          <w:lang w:val="en-US" w:eastAsia="zh-CN"/>
          <w14:textFill>
            <w14:solidFill>
              <w14:schemeClr w14:val="tx1"/>
            </w14:solidFill>
          </w14:textFill>
        </w:rPr>
      </w:pPr>
      <w:r>
        <w:rPr>
          <w:rFonts w:hint="eastAsia" w:ascii="仿宋" w:hAnsi="仿宋" w:eastAsia="仿宋" w:cs="仿宋"/>
          <w:color w:val="000000" w:themeColor="text1"/>
          <w:spacing w:val="-6"/>
          <w:sz w:val="24"/>
          <w:szCs w:val="24"/>
          <w:lang w:val="en-US" w:eastAsia="zh-CN"/>
          <w14:textFill>
            <w14:solidFill>
              <w14:schemeClr w14:val="tx1"/>
            </w14:solidFill>
          </w14:textFill>
        </w:rPr>
        <w:t>7、按照委托人要求，依据相关法律法规提供食品检验检测，出具有效的检验报告，并对报告真实性负责。</w:t>
      </w:r>
    </w:p>
    <w:p w14:paraId="7FD17F58">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left"/>
        <w:textAlignment w:val="auto"/>
        <w:rPr>
          <w:rFonts w:hint="eastAsia" w:ascii="仿宋" w:hAnsi="仿宋" w:eastAsia="仿宋" w:cs="仿宋"/>
          <w:b/>
          <w:color w:val="000000" w:themeColor="text1"/>
          <w:sz w:val="24"/>
          <w:szCs w:val="21"/>
          <w14:textFill>
            <w14:solidFill>
              <w14:schemeClr w14:val="tx1"/>
            </w14:solidFill>
          </w14:textFill>
        </w:rPr>
      </w:pPr>
      <w:r>
        <w:rPr>
          <w:rFonts w:hint="eastAsia" w:ascii="仿宋" w:hAnsi="仿宋" w:eastAsia="仿宋" w:cs="仿宋"/>
          <w:b/>
          <w:color w:val="000000" w:themeColor="text1"/>
          <w:sz w:val="24"/>
          <w:szCs w:val="21"/>
          <w14:textFill>
            <w14:solidFill>
              <w14:schemeClr w14:val="tx1"/>
            </w14:solidFill>
          </w14:textFill>
        </w:rPr>
        <w:t>第</w:t>
      </w:r>
      <w:r>
        <w:rPr>
          <w:rFonts w:hint="eastAsia" w:ascii="仿宋" w:hAnsi="仿宋" w:eastAsia="仿宋" w:cs="仿宋"/>
          <w:b/>
          <w:color w:val="000000" w:themeColor="text1"/>
          <w:sz w:val="24"/>
          <w:szCs w:val="21"/>
          <w:lang w:val="en-US" w:eastAsia="zh-CN"/>
          <w14:textFill>
            <w14:solidFill>
              <w14:schemeClr w14:val="tx1"/>
            </w14:solidFill>
          </w14:textFill>
        </w:rPr>
        <w:t>四</w:t>
      </w:r>
      <w:r>
        <w:rPr>
          <w:rFonts w:hint="eastAsia" w:ascii="仿宋" w:hAnsi="仿宋" w:eastAsia="仿宋" w:cs="仿宋"/>
          <w:b/>
          <w:color w:val="000000" w:themeColor="text1"/>
          <w:sz w:val="24"/>
          <w:szCs w:val="21"/>
          <w14:textFill>
            <w14:solidFill>
              <w14:schemeClr w14:val="tx1"/>
            </w14:solidFill>
          </w14:textFill>
        </w:rPr>
        <w:t>条</w:t>
      </w:r>
      <w:r>
        <w:rPr>
          <w:rFonts w:hint="eastAsia" w:ascii="仿宋" w:hAnsi="仿宋" w:eastAsia="仿宋" w:cs="仿宋"/>
          <w:b/>
          <w:color w:val="000000" w:themeColor="text1"/>
          <w:spacing w:val="41"/>
          <w:w w:val="150"/>
          <w:sz w:val="24"/>
          <w:szCs w:val="21"/>
          <w14:textFill>
            <w14:solidFill>
              <w14:schemeClr w14:val="tx1"/>
            </w14:solidFill>
          </w14:textFill>
        </w:rPr>
        <w:t xml:space="preserve"> </w:t>
      </w:r>
      <w:r>
        <w:rPr>
          <w:rFonts w:hint="eastAsia" w:ascii="仿宋" w:hAnsi="仿宋" w:eastAsia="仿宋" w:cs="仿宋"/>
          <w:b/>
          <w:color w:val="000000" w:themeColor="text1"/>
          <w:spacing w:val="-2"/>
          <w:sz w:val="24"/>
          <w:szCs w:val="21"/>
          <w14:textFill>
            <w14:solidFill>
              <w14:schemeClr w14:val="tx1"/>
            </w14:solidFill>
          </w14:textFill>
        </w:rPr>
        <w:t>质量技术要求</w:t>
      </w:r>
    </w:p>
    <w:p w14:paraId="72536AEB">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1、乙方严格按照《中华人民共和国食品安全法》、《食品安抽样检验管理</w:t>
      </w:r>
      <w:r>
        <w:rPr>
          <w:rFonts w:hint="eastAsia" w:ascii="仿宋" w:hAnsi="仿宋" w:eastAsia="仿宋" w:cs="仿宋"/>
          <w:color w:val="000000" w:themeColor="text1"/>
          <w:sz w:val="24"/>
          <w:szCs w:val="24"/>
          <w14:textFill>
            <w14:solidFill>
              <w14:schemeClr w14:val="tx1"/>
            </w14:solidFill>
          </w14:textFill>
        </w:rPr>
        <w:t>办法》、《国家食品安全监督抽检和风险监测实施细则（20</w:t>
      </w:r>
      <w:r>
        <w:rPr>
          <w:rFonts w:hint="eastAsia" w:ascii="仿宋" w:hAnsi="仿宋" w:eastAsia="仿宋" w:cs="仿宋"/>
          <w:color w:val="000000" w:themeColor="text1"/>
          <w:sz w:val="24"/>
          <w:szCs w:val="24"/>
          <w:lang w:val="en-US" w:eastAsia="zh-CN"/>
          <w14:textFill>
            <w14:solidFill>
              <w14:schemeClr w14:val="tx1"/>
            </w14:solidFill>
          </w14:textFill>
        </w:rPr>
        <w:t>25</w:t>
      </w:r>
      <w:r>
        <w:rPr>
          <w:rFonts w:hint="eastAsia" w:ascii="仿宋" w:hAnsi="仿宋" w:eastAsia="仿宋" w:cs="仿宋"/>
          <w:color w:val="000000" w:themeColor="text1"/>
          <w:spacing w:val="-21"/>
          <w:sz w:val="24"/>
          <w:szCs w:val="24"/>
          <w14:textFill>
            <w14:solidFill>
              <w14:schemeClr w14:val="tx1"/>
            </w14:solidFill>
          </w14:textFill>
        </w:rPr>
        <w:t xml:space="preserve"> 年版</w:t>
      </w:r>
      <w:r>
        <w:rPr>
          <w:rFonts w:hint="eastAsia" w:ascii="仿宋" w:hAnsi="仿宋" w:eastAsia="仿宋" w:cs="仿宋"/>
          <w:color w:val="000000" w:themeColor="text1"/>
          <w:sz w:val="24"/>
          <w:szCs w:val="24"/>
          <w14:textFill>
            <w14:solidFill>
              <w14:schemeClr w14:val="tx1"/>
            </w14:solidFill>
          </w14:textFill>
        </w:rPr>
        <w:t>）》等</w:t>
      </w:r>
      <w:r>
        <w:rPr>
          <w:rFonts w:hint="eastAsia" w:ascii="仿宋" w:hAnsi="仿宋" w:eastAsia="仿宋" w:cs="仿宋"/>
          <w:color w:val="000000" w:themeColor="text1"/>
          <w:spacing w:val="-3"/>
          <w:sz w:val="24"/>
          <w:szCs w:val="24"/>
          <w14:textFill>
            <w14:solidFill>
              <w14:schemeClr w14:val="tx1"/>
            </w14:solidFill>
          </w14:textFill>
        </w:rPr>
        <w:t>相关法律法规及要求进行食品的抽样、运输、保存和检验工作。</w:t>
      </w:r>
    </w:p>
    <w:p w14:paraId="1B0C8A45">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2、乙方负责对抽查到的食品样品，按照国家食品安全标准进行</w:t>
      </w:r>
      <w:r>
        <w:rPr>
          <w:rFonts w:hint="eastAsia" w:ascii="仿宋" w:hAnsi="仿宋" w:eastAsia="仿宋" w:cs="仿宋"/>
          <w:color w:val="000000" w:themeColor="text1"/>
          <w:spacing w:val="-2"/>
          <w:sz w:val="24"/>
          <w:szCs w:val="24"/>
          <w:lang w:val="en-US" w:eastAsia="zh-CN"/>
          <w14:textFill>
            <w14:solidFill>
              <w14:schemeClr w14:val="tx1"/>
            </w14:solidFill>
          </w14:textFill>
        </w:rPr>
        <w:t>检验检测，对没有国家标准的，可按照地方标准、卫生标准、质量标准和相关的行业标准、企业标准、产品标签明示值或国家明文规定的限量值及国家指定的特定检验方法等进行检验并出具食品检验报告，在检验过程中，若甲方对乙方检验人员或工作程序等有疑议，可向乙方提出申诉。</w:t>
      </w:r>
    </w:p>
    <w:p w14:paraId="11C2AFEC">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textAlignment w:val="auto"/>
        <w:rPr>
          <w:rFonts w:hint="eastAsia" w:ascii="仿宋" w:hAnsi="仿宋" w:eastAsia="仿宋" w:cs="仿宋"/>
          <w:color w:val="000000" w:themeColor="text1"/>
          <w:spacing w:val="-2"/>
          <w:sz w:val="24"/>
          <w:szCs w:val="24"/>
          <w:u w:val="non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w:t>
      </w:r>
      <w:r>
        <w:rPr>
          <w:rFonts w:hint="eastAsia" w:ascii="仿宋" w:hAnsi="仿宋" w:eastAsia="仿宋" w:cs="仿宋"/>
          <w:color w:val="000000" w:themeColor="text1"/>
          <w:spacing w:val="-4"/>
          <w:sz w:val="24"/>
          <w:szCs w:val="24"/>
          <w14:textFill>
            <w14:solidFill>
              <w14:schemeClr w14:val="tx1"/>
            </w14:solidFill>
          </w14:textFill>
        </w:rPr>
        <w:t>、成果要求：乙方</w:t>
      </w:r>
      <w:r>
        <w:rPr>
          <w:rFonts w:hint="eastAsia" w:ascii="仿宋" w:hAnsi="仿宋" w:eastAsia="仿宋" w:cs="仿宋"/>
          <w:color w:val="000000" w:themeColor="text1"/>
          <w:spacing w:val="-4"/>
          <w:sz w:val="24"/>
          <w:szCs w:val="24"/>
          <w:lang w:val="en-US" w:eastAsia="zh-CN"/>
          <w14:textFill>
            <w14:solidFill>
              <w14:schemeClr w14:val="tx1"/>
            </w14:solidFill>
          </w14:textFill>
        </w:rPr>
        <w:t>15</w:t>
      </w:r>
      <w:r>
        <w:rPr>
          <w:rFonts w:hint="eastAsia" w:ascii="仿宋" w:hAnsi="仿宋" w:eastAsia="仿宋" w:cs="仿宋"/>
          <w:color w:val="000000" w:themeColor="text1"/>
          <w:spacing w:val="-6"/>
          <w:sz w:val="24"/>
          <w:szCs w:val="24"/>
          <w14:textFill>
            <w14:solidFill>
              <w14:schemeClr w14:val="tx1"/>
            </w14:solidFill>
          </w14:textFill>
        </w:rPr>
        <w:t>个工作日内完成检验检测任务后，应提交样品检测</w:t>
      </w:r>
      <w:r>
        <w:rPr>
          <w:rFonts w:hint="eastAsia" w:ascii="仿宋" w:hAnsi="仿宋" w:eastAsia="仿宋" w:cs="仿宋"/>
          <w:color w:val="000000" w:themeColor="text1"/>
          <w:sz w:val="24"/>
          <w:szCs w:val="24"/>
          <w14:textFill>
            <w14:solidFill>
              <w14:schemeClr w14:val="tx1"/>
            </w14:solidFill>
          </w14:textFill>
        </w:rPr>
        <w:t>报告，并撰写质量分析报告；检验结果只允许向甲方即</w:t>
      </w:r>
      <w:r>
        <w:rPr>
          <w:rFonts w:hint="eastAsia" w:ascii="仿宋" w:hAnsi="仿宋" w:eastAsia="仿宋" w:cs="仿宋"/>
          <w:color w:val="000000" w:themeColor="text1"/>
          <w:sz w:val="24"/>
          <w:szCs w:val="24"/>
          <w:u w:val="none"/>
          <w14:textFill>
            <w14:solidFill>
              <w14:schemeClr w14:val="tx1"/>
            </w14:solidFill>
          </w14:textFill>
        </w:rPr>
        <w:t>富平县市场监督管</w:t>
      </w:r>
      <w:r>
        <w:rPr>
          <w:rFonts w:hint="eastAsia" w:ascii="仿宋" w:hAnsi="仿宋" w:eastAsia="仿宋" w:cs="仿宋"/>
          <w:color w:val="000000" w:themeColor="text1"/>
          <w:spacing w:val="-2"/>
          <w:sz w:val="24"/>
          <w:szCs w:val="24"/>
          <w:u w:val="none"/>
          <w14:textFill>
            <w14:solidFill>
              <w14:schemeClr w14:val="tx1"/>
            </w14:solidFill>
          </w14:textFill>
        </w:rPr>
        <w:t>理局汇报，未经甲方同意严禁私自向被检单位以及其他任何第三方透漏。</w:t>
      </w:r>
    </w:p>
    <w:p w14:paraId="3A222EA6">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98" w:firstLineChars="200"/>
        <w:jc w:val="left"/>
        <w:textAlignment w:val="auto"/>
        <w:rPr>
          <w:rFonts w:hint="default" w:ascii="仿宋" w:hAnsi="仿宋" w:eastAsia="仿宋" w:cs="仿宋"/>
          <w:b/>
          <w:color w:val="000000" w:themeColor="text1"/>
          <w:sz w:val="24"/>
          <w:szCs w:val="21"/>
          <w:lang w:val="en-US" w:eastAsia="zh-CN"/>
          <w14:textFill>
            <w14:solidFill>
              <w14:schemeClr w14:val="tx1"/>
            </w14:solidFill>
          </w14:textFill>
        </w:rPr>
      </w:pPr>
      <w:r>
        <w:rPr>
          <w:rFonts w:hint="eastAsia" w:ascii="仿宋" w:hAnsi="仿宋" w:eastAsia="仿宋" w:cs="仿宋"/>
          <w:b/>
          <w:color w:val="000000" w:themeColor="text1"/>
          <w:spacing w:val="4"/>
          <w:sz w:val="24"/>
          <w:szCs w:val="21"/>
          <w:u w:val="none"/>
          <w14:textFill>
            <w14:solidFill>
              <w14:schemeClr w14:val="tx1"/>
            </w14:solidFill>
          </w14:textFill>
        </w:rPr>
        <w:t>第</w:t>
      </w:r>
      <w:r>
        <w:rPr>
          <w:rFonts w:hint="eastAsia" w:ascii="仿宋" w:hAnsi="仿宋" w:eastAsia="仿宋" w:cs="仿宋"/>
          <w:b/>
          <w:color w:val="000000" w:themeColor="text1"/>
          <w:spacing w:val="4"/>
          <w:sz w:val="24"/>
          <w:szCs w:val="21"/>
          <w:u w:val="none"/>
          <w:lang w:val="en-US" w:eastAsia="zh-CN"/>
          <w14:textFill>
            <w14:solidFill>
              <w14:schemeClr w14:val="tx1"/>
            </w14:solidFill>
          </w14:textFill>
        </w:rPr>
        <w:t>五</w:t>
      </w:r>
      <w:r>
        <w:rPr>
          <w:rFonts w:hint="eastAsia" w:ascii="仿宋" w:hAnsi="仿宋" w:eastAsia="仿宋" w:cs="仿宋"/>
          <w:b/>
          <w:color w:val="000000" w:themeColor="text1"/>
          <w:spacing w:val="4"/>
          <w:sz w:val="24"/>
          <w:szCs w:val="21"/>
          <w:u w:val="none"/>
          <w14:textFill>
            <w14:solidFill>
              <w14:schemeClr w14:val="tx1"/>
            </w14:solidFill>
          </w14:textFill>
        </w:rPr>
        <w:t>条</w:t>
      </w:r>
      <w:r>
        <w:rPr>
          <w:rFonts w:hint="eastAsia" w:ascii="仿宋" w:hAnsi="仿宋" w:eastAsia="仿宋" w:cs="仿宋"/>
          <w:b/>
          <w:color w:val="000000" w:themeColor="text1"/>
          <w:spacing w:val="4"/>
          <w:sz w:val="24"/>
          <w:szCs w:val="21"/>
          <w:u w:val="none"/>
          <w:lang w:val="en-US" w:eastAsia="zh-CN"/>
          <w14:textFill>
            <w14:solidFill>
              <w14:schemeClr w14:val="tx1"/>
            </w14:solidFill>
          </w14:textFill>
        </w:rPr>
        <w:t>成交金额及支付方式</w:t>
      </w:r>
    </w:p>
    <w:p w14:paraId="4D7FDD64">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u w:val="none"/>
          <w:lang w:val="en-US" w:eastAsia="zh-CN"/>
          <w14:textFill>
            <w14:solidFill>
              <w14:schemeClr w14:val="tx1"/>
            </w14:solidFill>
          </w14:textFill>
        </w:rPr>
      </w:pPr>
      <w:bookmarkStart w:id="6" w:name="1、抽检批次见附件。"/>
      <w:bookmarkEnd w:id="6"/>
      <w:r>
        <w:rPr>
          <w:rFonts w:hint="eastAsia" w:ascii="仿宋" w:hAnsi="仿宋" w:eastAsia="仿宋" w:cs="仿宋"/>
          <w:color w:val="000000" w:themeColor="text1"/>
          <w:spacing w:val="-2"/>
          <w:sz w:val="24"/>
          <w:szCs w:val="24"/>
          <w:lang w:val="en-US" w:eastAsia="zh-CN"/>
          <w14:textFill>
            <w14:solidFill>
              <w14:schemeClr w14:val="tx1"/>
            </w14:solidFill>
          </w14:textFill>
        </w:rPr>
        <w:t>1、本项目成交金额为：</w:t>
      </w:r>
      <w:r>
        <w:rPr>
          <w:rFonts w:hint="eastAsia" w:ascii="仿宋" w:hAnsi="仿宋" w:eastAsia="仿宋" w:cs="仿宋"/>
          <w:color w:val="000000" w:themeColor="text1"/>
          <w:spacing w:val="-2"/>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pacing w:val="-2"/>
          <w:sz w:val="24"/>
          <w:szCs w:val="24"/>
          <w:u w:val="none"/>
          <w:lang w:val="en-US" w:eastAsia="zh-CN"/>
          <w14:textFill>
            <w14:solidFill>
              <w14:schemeClr w14:val="tx1"/>
            </w14:solidFill>
          </w14:textFill>
        </w:rPr>
        <w:t>元。由以下费用组成：抽样费、检测费、报告等与本项目有关的一切费用。</w:t>
      </w:r>
    </w:p>
    <w:p w14:paraId="2F3A9D72">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default" w:ascii="仿宋" w:hAnsi="仿宋" w:eastAsia="仿宋" w:cs="仿宋"/>
          <w:color w:val="000000" w:themeColor="text1"/>
          <w:spacing w:val="-2"/>
          <w:sz w:val="24"/>
          <w:szCs w:val="24"/>
          <w:u w:val="none"/>
          <w:lang w:val="en-US" w:eastAsia="zh-CN"/>
          <w14:textFill>
            <w14:solidFill>
              <w14:schemeClr w14:val="tx1"/>
            </w14:solidFill>
          </w14:textFill>
        </w:rPr>
      </w:pPr>
      <w:r>
        <w:rPr>
          <w:rFonts w:hint="eastAsia" w:ascii="仿宋" w:hAnsi="仿宋" w:eastAsia="仿宋" w:cs="仿宋"/>
          <w:color w:val="000000" w:themeColor="text1"/>
          <w:spacing w:val="-2"/>
          <w:sz w:val="24"/>
          <w:szCs w:val="24"/>
          <w:u w:val="none"/>
          <w:lang w:val="en-US" w:eastAsia="zh-CN"/>
          <w14:textFill>
            <w14:solidFill>
              <w14:schemeClr w14:val="tx1"/>
            </w14:solidFill>
          </w14:textFill>
        </w:rPr>
        <w:t>2、本合同执行期间服务检测单价不变，甲方无须另向乙方支付本合同规定之外的其他任何费用。</w:t>
      </w:r>
    </w:p>
    <w:p w14:paraId="28691824">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3</w:t>
      </w:r>
      <w:r>
        <w:rPr>
          <w:rFonts w:hint="eastAsia" w:ascii="仿宋" w:hAnsi="仿宋" w:eastAsia="仿宋" w:cs="仿宋"/>
          <w:color w:val="000000" w:themeColor="text1"/>
          <w:spacing w:val="-4"/>
          <w:sz w:val="24"/>
          <w:szCs w:val="24"/>
          <w14:textFill>
            <w14:solidFill>
              <w14:schemeClr w14:val="tx1"/>
            </w14:solidFill>
          </w14:textFill>
        </w:rPr>
        <w:t>、付款方式：</w:t>
      </w:r>
    </w:p>
    <w:p w14:paraId="6C978A47">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944" w:firstLineChars="400"/>
        <w:jc w:val="both"/>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a、付款条件说明：</w:t>
      </w:r>
      <w:r>
        <w:rPr>
          <w:rFonts w:hint="eastAsia" w:ascii="仿宋" w:hAnsi="仿宋" w:eastAsia="仿宋" w:cs="仿宋"/>
          <w:color w:val="000000" w:themeColor="text1"/>
          <w:spacing w:val="-2"/>
          <w:sz w:val="24"/>
          <w:szCs w:val="24"/>
          <w:lang w:val="en-US" w:eastAsia="zh-CN"/>
          <w14:textFill>
            <w14:solidFill>
              <w14:schemeClr w14:val="tx1"/>
            </w14:solidFill>
          </w14:textFill>
        </w:rPr>
        <w:t>①自合同签订之日起，</w:t>
      </w:r>
      <w:r>
        <w:rPr>
          <w:rFonts w:hint="eastAsia" w:ascii="仿宋" w:hAnsi="仿宋" w:eastAsia="仿宋" w:cs="仿宋"/>
          <w:color w:val="000000" w:themeColor="text1"/>
          <w:spacing w:val="-2"/>
          <w:sz w:val="24"/>
          <w:szCs w:val="24"/>
          <w14:textFill>
            <w14:solidFill>
              <w14:schemeClr w14:val="tx1"/>
            </w14:solidFill>
          </w14:textFill>
        </w:rPr>
        <w:t>完成全年抽检总任务量的70%，并完成分析报告后，乙方提供等额增值税发票，达到付款条件起</w:t>
      </w:r>
      <w:r>
        <w:rPr>
          <w:rFonts w:hint="eastAsia" w:ascii="仿宋" w:hAnsi="仿宋" w:eastAsia="仿宋" w:cs="仿宋"/>
          <w:color w:val="000000" w:themeColor="text1"/>
          <w:spacing w:val="-2"/>
          <w:sz w:val="24"/>
          <w:szCs w:val="24"/>
          <w:u w:val="single"/>
          <w:lang w:val="en-US" w:eastAsia="zh-CN"/>
          <w14:textFill>
            <w14:solidFill>
              <w14:schemeClr w14:val="tx1"/>
            </w14:solidFill>
          </w14:textFill>
        </w:rPr>
        <w:t>30</w:t>
      </w:r>
      <w:r>
        <w:rPr>
          <w:rFonts w:hint="eastAsia" w:ascii="仿宋" w:hAnsi="仿宋" w:eastAsia="仿宋" w:cs="仿宋"/>
          <w:color w:val="000000" w:themeColor="text1"/>
          <w:spacing w:val="-2"/>
          <w:sz w:val="24"/>
          <w:szCs w:val="24"/>
          <w14:textFill>
            <w14:solidFill>
              <w14:schemeClr w14:val="tx1"/>
            </w14:solidFill>
          </w14:textFill>
        </w:rPr>
        <w:t>日，支付合同总金额的</w:t>
      </w:r>
      <w:r>
        <w:rPr>
          <w:rFonts w:hint="eastAsia" w:ascii="仿宋" w:hAnsi="仿宋" w:eastAsia="仿宋" w:cs="仿宋"/>
          <w:color w:val="000000" w:themeColor="text1"/>
          <w:spacing w:val="-2"/>
          <w:sz w:val="24"/>
          <w:szCs w:val="24"/>
          <w:u w:val="single"/>
          <w:lang w:val="en-US" w:eastAsia="zh-CN"/>
          <w14:textFill>
            <w14:solidFill>
              <w14:schemeClr w14:val="tx1"/>
            </w14:solidFill>
          </w14:textFill>
        </w:rPr>
        <w:t>70</w:t>
      </w:r>
      <w:r>
        <w:rPr>
          <w:rFonts w:hint="eastAsia" w:ascii="仿宋" w:hAnsi="仿宋" w:eastAsia="仿宋" w:cs="仿宋"/>
          <w:color w:val="000000" w:themeColor="text1"/>
          <w:spacing w:val="-2"/>
          <w:sz w:val="24"/>
          <w:szCs w:val="24"/>
          <w14:textFill>
            <w14:solidFill>
              <w14:schemeClr w14:val="tx1"/>
            </w14:solidFill>
          </w14:textFill>
        </w:rPr>
        <w:t>% ；</w:t>
      </w:r>
      <w:r>
        <w:rPr>
          <w:rFonts w:hint="eastAsia" w:ascii="仿宋" w:hAnsi="仿宋" w:eastAsia="仿宋" w:cs="仿宋"/>
          <w:color w:val="000000" w:themeColor="text1"/>
          <w:spacing w:val="-2"/>
          <w:sz w:val="24"/>
          <w:szCs w:val="24"/>
          <w:lang w:val="en-US" w:eastAsia="zh-CN"/>
          <w14:textFill>
            <w14:solidFill>
              <w14:schemeClr w14:val="tx1"/>
            </w14:solidFill>
          </w14:textFill>
        </w:rPr>
        <w:t>②</w:t>
      </w:r>
      <w:r>
        <w:rPr>
          <w:rFonts w:hint="eastAsia" w:ascii="仿宋" w:hAnsi="仿宋" w:eastAsia="仿宋" w:cs="仿宋"/>
          <w:color w:val="000000" w:themeColor="text1"/>
          <w:spacing w:val="-2"/>
          <w:sz w:val="24"/>
          <w:szCs w:val="24"/>
          <w14:textFill>
            <w14:solidFill>
              <w14:schemeClr w14:val="tx1"/>
            </w14:solidFill>
          </w14:textFill>
        </w:rPr>
        <w:t>完成合同约定全部工作，乙方提供等额增值税发票，达到付款条件起</w:t>
      </w:r>
      <w:r>
        <w:rPr>
          <w:rFonts w:hint="eastAsia" w:ascii="仿宋" w:hAnsi="仿宋" w:eastAsia="仿宋" w:cs="仿宋"/>
          <w:color w:val="000000" w:themeColor="text1"/>
          <w:spacing w:val="-2"/>
          <w:sz w:val="24"/>
          <w:szCs w:val="24"/>
          <w:u w:val="single"/>
          <w:lang w:val="en-US" w:eastAsia="zh-CN"/>
          <w14:textFill>
            <w14:solidFill>
              <w14:schemeClr w14:val="tx1"/>
            </w14:solidFill>
          </w14:textFill>
        </w:rPr>
        <w:t>30</w:t>
      </w:r>
      <w:r>
        <w:rPr>
          <w:rFonts w:hint="eastAsia" w:ascii="仿宋" w:hAnsi="仿宋" w:eastAsia="仿宋" w:cs="仿宋"/>
          <w:color w:val="000000" w:themeColor="text1"/>
          <w:spacing w:val="-2"/>
          <w:sz w:val="24"/>
          <w:szCs w:val="24"/>
          <w14:textFill>
            <w14:solidFill>
              <w14:schemeClr w14:val="tx1"/>
            </w14:solidFill>
          </w14:textFill>
        </w:rPr>
        <w:t>日，支付合同总金额的</w:t>
      </w:r>
      <w:r>
        <w:rPr>
          <w:rFonts w:hint="eastAsia" w:ascii="仿宋" w:hAnsi="仿宋" w:eastAsia="仿宋" w:cs="仿宋"/>
          <w:color w:val="000000" w:themeColor="text1"/>
          <w:spacing w:val="-2"/>
          <w:sz w:val="24"/>
          <w:szCs w:val="24"/>
          <w:u w:val="single"/>
          <w:lang w:val="en-US" w:eastAsia="zh-CN"/>
          <w14:textFill>
            <w14:solidFill>
              <w14:schemeClr w14:val="tx1"/>
            </w14:solidFill>
          </w14:textFill>
        </w:rPr>
        <w:t>30</w:t>
      </w:r>
      <w:r>
        <w:rPr>
          <w:rFonts w:hint="eastAsia" w:ascii="仿宋" w:hAnsi="仿宋" w:eastAsia="仿宋" w:cs="仿宋"/>
          <w:color w:val="000000" w:themeColor="text1"/>
          <w:spacing w:val="-2"/>
          <w:sz w:val="24"/>
          <w:szCs w:val="24"/>
          <w14:textFill>
            <w14:solidFill>
              <w14:schemeClr w14:val="tx1"/>
            </w14:solidFill>
          </w14:textFill>
        </w:rPr>
        <w:t>% 。</w:t>
      </w:r>
    </w:p>
    <w:p w14:paraId="3019A598">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960" w:firstLineChars="400"/>
        <w:textAlignment w:val="auto"/>
        <w:rPr>
          <w:rFonts w:hint="eastAsia" w:ascii="仿宋" w:hAnsi="仿宋" w:eastAsia="仿宋" w:cs="仿宋"/>
          <w:color w:val="000000" w:themeColor="text1"/>
          <w:sz w:val="24"/>
          <w:szCs w:val="24"/>
          <w:u w:val="non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b、检测费以</w:t>
      </w:r>
      <w:r>
        <w:rPr>
          <w:rFonts w:hint="eastAsia" w:ascii="仿宋" w:hAnsi="仿宋" w:eastAsia="仿宋" w:cs="仿宋"/>
          <w:color w:val="000000" w:themeColor="text1"/>
          <w:spacing w:val="40"/>
          <w:sz w:val="24"/>
          <w:szCs w:val="24"/>
          <w:u w:val="single"/>
          <w14:textFill>
            <w14:solidFill>
              <w14:schemeClr w14:val="tx1"/>
            </w14:solidFill>
          </w14:textFill>
        </w:rPr>
        <w:t xml:space="preserve"> </w:t>
      </w:r>
      <w:r>
        <w:rPr>
          <w:rFonts w:hint="eastAsia" w:ascii="仿宋" w:hAnsi="仿宋" w:eastAsia="仿宋" w:cs="仿宋"/>
          <w:color w:val="000000" w:themeColor="text1"/>
          <w:spacing w:val="-4"/>
          <w:sz w:val="24"/>
          <w:szCs w:val="24"/>
          <w:u w:val="single"/>
          <w14:textFill>
            <w14:solidFill>
              <w14:schemeClr w14:val="tx1"/>
            </w14:solidFill>
          </w14:textFill>
        </w:rPr>
        <w:t xml:space="preserve">银行转账 </w:t>
      </w:r>
      <w:r>
        <w:rPr>
          <w:rFonts w:hint="eastAsia" w:ascii="仿宋" w:hAnsi="仿宋" w:eastAsia="仿宋" w:cs="仿宋"/>
          <w:color w:val="000000" w:themeColor="text1"/>
          <w:sz w:val="24"/>
          <w:szCs w:val="24"/>
          <w:u w:val="none"/>
          <w14:textFill>
            <w14:solidFill>
              <w14:schemeClr w14:val="tx1"/>
            </w14:solidFill>
          </w14:textFill>
        </w:rPr>
        <w:t xml:space="preserve">方式支付，乙方向甲方开具正规发票。 </w:t>
      </w:r>
    </w:p>
    <w:p w14:paraId="794710A1">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944" w:firstLineChars="4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u w:val="none"/>
          <w14:textFill>
            <w14:solidFill>
              <w14:schemeClr w14:val="tx1"/>
            </w14:solidFill>
          </w14:textFill>
        </w:rPr>
        <w:t>c、付款账户信息：</w:t>
      </w:r>
    </w:p>
    <w:p w14:paraId="7A92D924">
      <w:pPr>
        <w:pStyle w:val="2"/>
        <w:keepNext w:val="0"/>
        <w:keepLines w:val="0"/>
        <w:pageBreakBefore w:val="0"/>
        <w:widowControl w:val="0"/>
        <w:tabs>
          <w:tab w:val="left" w:pos="4693"/>
        </w:tabs>
        <w:kinsoku/>
        <w:wordWrap/>
        <w:overflowPunct/>
        <w:topLinePunct w:val="0"/>
        <w:autoSpaceDE w:val="0"/>
        <w:autoSpaceDN w:val="0"/>
        <w:bidi w:val="0"/>
        <w:adjustRightInd/>
        <w:snapToGrid/>
        <w:spacing w:before="0" w:after="0" w:line="360" w:lineRule="auto"/>
        <w:ind w:left="0" w:leftChars="0" w:right="0" w:firstLine="944" w:firstLineChars="4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乙方开户行</w:t>
      </w:r>
      <w:r>
        <w:rPr>
          <w:rFonts w:hint="eastAsia" w:ascii="仿宋" w:hAnsi="仿宋" w:eastAsia="仿宋" w:cs="仿宋"/>
          <w:color w:val="000000" w:themeColor="text1"/>
          <w:spacing w:val="-10"/>
          <w:sz w:val="24"/>
          <w:szCs w:val="24"/>
          <w14:textFill>
            <w14:solidFill>
              <w14:schemeClr w14:val="tx1"/>
            </w14:solidFill>
          </w14:textFill>
        </w:rPr>
        <w:t>：</w:t>
      </w:r>
      <w:r>
        <w:rPr>
          <w:rFonts w:hint="eastAsia" w:ascii="仿宋" w:hAnsi="仿宋" w:eastAsia="仿宋" w:cs="仿宋"/>
          <w:color w:val="000000" w:themeColor="text1"/>
          <w:sz w:val="24"/>
          <w:szCs w:val="24"/>
          <w:u w:val="single"/>
          <w14:textFill>
            <w14:solidFill>
              <w14:schemeClr w14:val="tx1"/>
            </w14:solidFill>
          </w14:textFill>
        </w:rPr>
        <w:tab/>
      </w:r>
    </w:p>
    <w:p w14:paraId="2C99AB3E">
      <w:pPr>
        <w:pStyle w:val="2"/>
        <w:keepNext w:val="0"/>
        <w:keepLines w:val="0"/>
        <w:pageBreakBefore w:val="0"/>
        <w:widowControl w:val="0"/>
        <w:tabs>
          <w:tab w:val="left" w:pos="1962"/>
          <w:tab w:val="left" w:pos="4693"/>
        </w:tabs>
        <w:kinsoku/>
        <w:wordWrap/>
        <w:overflowPunct/>
        <w:topLinePunct w:val="0"/>
        <w:autoSpaceDE w:val="0"/>
        <w:autoSpaceDN w:val="0"/>
        <w:bidi w:val="0"/>
        <w:adjustRightInd/>
        <w:snapToGrid/>
        <w:spacing w:before="0" w:after="0" w:line="360" w:lineRule="auto"/>
        <w:ind w:left="0" w:leftChars="0" w:right="0" w:firstLine="880" w:firstLineChars="4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0"/>
          <w:sz w:val="24"/>
          <w:szCs w:val="24"/>
          <w14:textFill>
            <w14:solidFill>
              <w14:schemeClr w14:val="tx1"/>
            </w14:solidFill>
          </w14:textFill>
        </w:rPr>
        <w:t>账</w:t>
      </w:r>
      <w:r>
        <w:rPr>
          <w:rFonts w:hint="eastAsia" w:ascii="仿宋" w:hAnsi="仿宋" w:eastAsia="仿宋" w:cs="仿宋"/>
          <w:color w:val="000000" w:themeColor="text1"/>
          <w:sz w:val="24"/>
          <w:szCs w:val="24"/>
          <w14:textFill>
            <w14:solidFill>
              <w14:schemeClr w14:val="tx1"/>
            </w14:solidFill>
          </w14:textFill>
        </w:rPr>
        <w:tab/>
      </w:r>
      <w:r>
        <w:rPr>
          <w:rFonts w:hint="eastAsia" w:ascii="仿宋" w:hAnsi="仿宋" w:eastAsia="仿宋" w:cs="仿宋"/>
          <w:color w:val="000000" w:themeColor="text1"/>
          <w:spacing w:val="-2"/>
          <w:sz w:val="24"/>
          <w:szCs w:val="24"/>
          <w14:textFill>
            <w14:solidFill>
              <w14:schemeClr w14:val="tx1"/>
            </w14:solidFill>
          </w14:textFill>
        </w:rPr>
        <w:t>号</w:t>
      </w:r>
      <w:r>
        <w:rPr>
          <w:rFonts w:hint="eastAsia" w:ascii="仿宋" w:hAnsi="仿宋" w:eastAsia="仿宋" w:cs="仿宋"/>
          <w:color w:val="000000" w:themeColor="text1"/>
          <w:spacing w:val="-10"/>
          <w:sz w:val="24"/>
          <w:szCs w:val="24"/>
          <w14:textFill>
            <w14:solidFill>
              <w14:schemeClr w14:val="tx1"/>
            </w14:solidFill>
          </w14:textFill>
        </w:rPr>
        <w:t>：</w:t>
      </w:r>
      <w:r>
        <w:rPr>
          <w:rFonts w:hint="eastAsia" w:ascii="仿宋" w:hAnsi="仿宋" w:eastAsia="仿宋" w:cs="仿宋"/>
          <w:color w:val="000000" w:themeColor="text1"/>
          <w:sz w:val="24"/>
          <w:szCs w:val="24"/>
          <w:u w:val="single"/>
          <w14:textFill>
            <w14:solidFill>
              <w14:schemeClr w14:val="tx1"/>
            </w14:solidFill>
          </w14:textFill>
        </w:rPr>
        <w:tab/>
      </w:r>
    </w:p>
    <w:p w14:paraId="74534B23">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4" w:firstLineChars="200"/>
        <w:textAlignment w:val="auto"/>
        <w:rPr>
          <w:rFonts w:hint="eastAsia" w:ascii="仿宋" w:hAnsi="仿宋" w:eastAsia="仿宋" w:cs="仿宋"/>
          <w:b/>
          <w:bCs/>
          <w:color w:val="000000" w:themeColor="text1"/>
          <w:spacing w:val="-2"/>
          <w:sz w:val="24"/>
          <w:szCs w:val="24"/>
          <w:lang w:val="en-US" w:eastAsia="zh-CN"/>
          <w14:textFill>
            <w14:solidFill>
              <w14:schemeClr w14:val="tx1"/>
            </w14:solidFill>
          </w14:textFill>
        </w:rPr>
      </w:pPr>
      <w:r>
        <w:rPr>
          <w:rFonts w:hint="eastAsia" w:ascii="仿宋" w:hAnsi="仿宋" w:eastAsia="仿宋" w:cs="仿宋"/>
          <w:b/>
          <w:bCs/>
          <w:color w:val="000000" w:themeColor="text1"/>
          <w:spacing w:val="-2"/>
          <w:sz w:val="24"/>
          <w:szCs w:val="24"/>
          <w:lang w:val="en-US" w:eastAsia="zh-CN"/>
          <w14:textFill>
            <w14:solidFill>
              <w14:schemeClr w14:val="tx1"/>
            </w14:solidFill>
          </w14:textFill>
        </w:rPr>
        <w:t>第六条  知识产权</w:t>
      </w:r>
    </w:p>
    <w:p w14:paraId="50792825">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乙方应保证所提供的服务或其任何一部分均不会侵犯任何第三方的专利权、商标权或著作权。</w:t>
      </w:r>
    </w:p>
    <w:p w14:paraId="1BAA9C08">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4" w:firstLineChars="200"/>
        <w:textAlignment w:val="auto"/>
        <w:rPr>
          <w:rFonts w:hint="eastAsia" w:ascii="仿宋" w:hAnsi="仿宋" w:eastAsia="仿宋" w:cs="仿宋"/>
          <w:b/>
          <w:bCs/>
          <w:color w:val="000000" w:themeColor="text1"/>
          <w:spacing w:val="-2"/>
          <w:sz w:val="24"/>
          <w:szCs w:val="24"/>
          <w:lang w:val="en-US" w:eastAsia="zh-CN"/>
          <w14:textFill>
            <w14:solidFill>
              <w14:schemeClr w14:val="tx1"/>
            </w14:solidFill>
          </w14:textFill>
        </w:rPr>
      </w:pPr>
      <w:r>
        <w:rPr>
          <w:rFonts w:hint="eastAsia" w:ascii="仿宋" w:hAnsi="仿宋" w:eastAsia="仿宋" w:cs="仿宋"/>
          <w:b/>
          <w:bCs/>
          <w:color w:val="000000" w:themeColor="text1"/>
          <w:spacing w:val="-2"/>
          <w:sz w:val="24"/>
          <w:szCs w:val="24"/>
          <w:lang w:val="en-US" w:eastAsia="zh-CN"/>
          <w14:textFill>
            <w14:solidFill>
              <w14:schemeClr w14:val="tx1"/>
            </w14:solidFill>
          </w14:textFill>
        </w:rPr>
        <w:t>第七条  无产权瑕疵条款</w:t>
      </w:r>
    </w:p>
    <w:p w14:paraId="60FDA834">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乙方保证所提供服务的所有权完全属于乙方且无任何抵押、查封等产权瑕疵。如有产权瑕疵的，视为乙方违约。乙方应负担由此而产生的一切损失。</w:t>
      </w:r>
    </w:p>
    <w:p w14:paraId="29FDD39D">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4" w:firstLineChars="200"/>
        <w:textAlignment w:val="auto"/>
        <w:rPr>
          <w:rFonts w:hint="eastAsia" w:ascii="仿宋" w:hAnsi="仿宋" w:eastAsia="仿宋" w:cs="仿宋"/>
          <w:b/>
          <w:bCs/>
          <w:color w:val="000000" w:themeColor="text1"/>
          <w:spacing w:val="-2"/>
          <w:sz w:val="24"/>
          <w:szCs w:val="24"/>
          <w:lang w:val="en-US" w:eastAsia="zh-CN"/>
          <w14:textFill>
            <w14:solidFill>
              <w14:schemeClr w14:val="tx1"/>
            </w14:solidFill>
          </w14:textFill>
        </w:rPr>
      </w:pPr>
      <w:r>
        <w:rPr>
          <w:rFonts w:hint="eastAsia" w:ascii="仿宋" w:hAnsi="仿宋" w:eastAsia="仿宋" w:cs="仿宋"/>
          <w:b/>
          <w:bCs/>
          <w:color w:val="000000" w:themeColor="text1"/>
          <w:spacing w:val="-2"/>
          <w:sz w:val="24"/>
          <w:szCs w:val="24"/>
          <w:lang w:val="en-US" w:eastAsia="zh-CN"/>
          <w14:textFill>
            <w14:solidFill>
              <w14:schemeClr w14:val="tx1"/>
            </w14:solidFill>
          </w14:textFill>
        </w:rPr>
        <w:t>第八条  甲方的权利和义务</w:t>
      </w:r>
    </w:p>
    <w:p w14:paraId="5531ED4A">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1、甲方有权对合同规定范围内乙方的服务行为进行监督和检查，拥有监管权。有权定期核对乙方提供服务所配备的人员数量。对甲方认为不合理的部分有权下达整改通知书，并要求乙方限期整改。</w:t>
      </w:r>
    </w:p>
    <w:p w14:paraId="43F6AAB1">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74FBB826">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3、负责检查监督乙方管理工作的实施及制度的执行情况。</w:t>
      </w:r>
    </w:p>
    <w:p w14:paraId="720A2FBB">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4、根据本合同规定，按时向乙方支付应付服务费用。</w:t>
      </w:r>
    </w:p>
    <w:p w14:paraId="52112E3A">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5、国家法律、法规所规定由甲方承担的其它责任。</w:t>
      </w:r>
    </w:p>
    <w:p w14:paraId="596EA441">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4"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b/>
          <w:bCs/>
          <w:color w:val="000000" w:themeColor="text1"/>
          <w:spacing w:val="-2"/>
          <w:sz w:val="24"/>
          <w:szCs w:val="24"/>
          <w:lang w:val="en-US" w:eastAsia="zh-CN"/>
          <w14:textFill>
            <w14:solidFill>
              <w14:schemeClr w14:val="tx1"/>
            </w14:solidFill>
          </w14:textFill>
        </w:rPr>
        <w:t>第九条  乙方的权利和义务</w:t>
      </w:r>
    </w:p>
    <w:p w14:paraId="2BAFDA78">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1、对本合同规定的委托服务范围内的项目享有管理权及服务义务。</w:t>
      </w:r>
    </w:p>
    <w:p w14:paraId="3BD2647C">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2、根据本合同的规定向甲方收取相关服务费用，并有权在本项目管理范围内管理及合理使用。</w:t>
      </w:r>
    </w:p>
    <w:p w14:paraId="7CFA73A0">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3、及时向甲方通告本项目服务范围内有关服务的重大事项，及时配合处理投诉。</w:t>
      </w:r>
    </w:p>
    <w:p w14:paraId="550A1A76">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4、接受项目行业管理部门及政府有关部门的指导，接受甲方的监督。</w:t>
      </w:r>
    </w:p>
    <w:p w14:paraId="0E2AC290">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5、国家法律、法规所规定由乙方承担的其它责任。</w:t>
      </w:r>
    </w:p>
    <w:p w14:paraId="4B433494">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4" w:firstLineChars="200"/>
        <w:textAlignment w:val="auto"/>
        <w:rPr>
          <w:rFonts w:hint="eastAsia" w:ascii="仿宋" w:hAnsi="仿宋" w:eastAsia="仿宋" w:cs="仿宋"/>
          <w:b/>
          <w:bCs/>
          <w:color w:val="000000" w:themeColor="text1"/>
          <w:spacing w:val="-2"/>
          <w:sz w:val="24"/>
          <w:szCs w:val="24"/>
          <w:lang w:val="en-US" w:eastAsia="zh-CN"/>
          <w14:textFill>
            <w14:solidFill>
              <w14:schemeClr w14:val="tx1"/>
            </w14:solidFill>
          </w14:textFill>
        </w:rPr>
      </w:pPr>
      <w:r>
        <w:rPr>
          <w:rFonts w:hint="eastAsia" w:ascii="仿宋" w:hAnsi="仿宋" w:eastAsia="仿宋" w:cs="仿宋"/>
          <w:b/>
          <w:bCs/>
          <w:color w:val="000000" w:themeColor="text1"/>
          <w:spacing w:val="-2"/>
          <w:sz w:val="24"/>
          <w:szCs w:val="24"/>
          <w:lang w:val="en-US" w:eastAsia="zh-CN"/>
          <w14:textFill>
            <w14:solidFill>
              <w14:schemeClr w14:val="tx1"/>
            </w14:solidFill>
          </w14:textFill>
        </w:rPr>
        <w:t>第十条  违约责任</w:t>
      </w:r>
    </w:p>
    <w:p w14:paraId="2C02AE5E">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1、甲乙双方必须遵守本合同并执行合同中的各项规定，保证本合同的正常履行。</w:t>
      </w:r>
    </w:p>
    <w:p w14:paraId="6AC52FEE">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5F6204E">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4" w:firstLineChars="200"/>
        <w:textAlignment w:val="auto"/>
        <w:rPr>
          <w:rFonts w:hint="eastAsia" w:ascii="仿宋" w:hAnsi="仿宋" w:eastAsia="仿宋" w:cs="仿宋"/>
          <w:b/>
          <w:bCs/>
          <w:color w:val="000000" w:themeColor="text1"/>
          <w:spacing w:val="-2"/>
          <w:sz w:val="24"/>
          <w:szCs w:val="24"/>
          <w:lang w:val="en-US" w:eastAsia="zh-CN"/>
          <w14:textFill>
            <w14:solidFill>
              <w14:schemeClr w14:val="tx1"/>
            </w14:solidFill>
          </w14:textFill>
        </w:rPr>
      </w:pPr>
      <w:r>
        <w:rPr>
          <w:rFonts w:hint="eastAsia" w:ascii="仿宋" w:hAnsi="仿宋" w:eastAsia="仿宋" w:cs="仿宋"/>
          <w:b/>
          <w:bCs/>
          <w:color w:val="000000" w:themeColor="text1"/>
          <w:spacing w:val="-2"/>
          <w:sz w:val="24"/>
          <w:szCs w:val="24"/>
          <w:lang w:val="en-US" w:eastAsia="zh-CN"/>
          <w14:textFill>
            <w14:solidFill>
              <w14:schemeClr w14:val="tx1"/>
            </w14:solidFill>
          </w14:textFill>
        </w:rPr>
        <w:t>第十一条  不可抗力事件处理</w:t>
      </w:r>
    </w:p>
    <w:p w14:paraId="0CEF2D4D">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1、在合同有效期内，任何一方因不可抗力事件导致不能履行合同，则合同履行期可延长，其延长期与不可抗力影响期相同。</w:t>
      </w:r>
    </w:p>
    <w:p w14:paraId="2BF641EE">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2、不可抗力事件发生后，应立即通知对方，并寄送有关权威机构出具的证明。</w:t>
      </w:r>
    </w:p>
    <w:p w14:paraId="7A3FA003">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3、因国家政策调整或单位职能调整导致合同无法正常履行，双方可协商终止合同。</w:t>
      </w:r>
    </w:p>
    <w:p w14:paraId="3BBBF5FA">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4、不可抗力事件延续 90 天以上，双方应通过友好协商，确定是否继续履行合同。</w:t>
      </w:r>
    </w:p>
    <w:p w14:paraId="36CAB83A">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4" w:firstLineChars="200"/>
        <w:textAlignment w:val="auto"/>
        <w:rPr>
          <w:rFonts w:hint="eastAsia" w:ascii="仿宋" w:hAnsi="仿宋" w:eastAsia="仿宋" w:cs="仿宋"/>
          <w:b/>
          <w:bCs/>
          <w:color w:val="000000" w:themeColor="text1"/>
          <w:spacing w:val="-2"/>
          <w:sz w:val="24"/>
          <w:szCs w:val="24"/>
          <w:lang w:val="en-US" w:eastAsia="zh-CN"/>
          <w14:textFill>
            <w14:solidFill>
              <w14:schemeClr w14:val="tx1"/>
            </w14:solidFill>
          </w14:textFill>
        </w:rPr>
      </w:pPr>
      <w:r>
        <w:rPr>
          <w:rFonts w:hint="eastAsia" w:ascii="仿宋" w:hAnsi="仿宋" w:eastAsia="仿宋" w:cs="仿宋"/>
          <w:b/>
          <w:bCs/>
          <w:color w:val="000000" w:themeColor="text1"/>
          <w:spacing w:val="-2"/>
          <w:sz w:val="24"/>
          <w:szCs w:val="24"/>
          <w:lang w:val="en-US" w:eastAsia="zh-CN"/>
          <w14:textFill>
            <w14:solidFill>
              <w14:schemeClr w14:val="tx1"/>
            </w14:solidFill>
          </w14:textFill>
        </w:rPr>
        <w:t>第十二条  合同的变更和终止</w:t>
      </w:r>
    </w:p>
    <w:p w14:paraId="594F1FF0">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除《中华人民共和国政府采购法》第49条、第50条第二款规定的情形外，本合同一经签订，甲乙双方不得擅自变更、中止或终止合同。</w:t>
      </w:r>
    </w:p>
    <w:p w14:paraId="6DA612A6">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4" w:firstLineChars="200"/>
        <w:textAlignment w:val="auto"/>
        <w:rPr>
          <w:rFonts w:hint="eastAsia" w:ascii="仿宋" w:hAnsi="仿宋" w:eastAsia="仿宋" w:cs="仿宋"/>
          <w:b/>
          <w:bCs/>
          <w:color w:val="000000" w:themeColor="text1"/>
          <w:spacing w:val="-2"/>
          <w:sz w:val="24"/>
          <w:szCs w:val="24"/>
          <w:lang w:val="en-US" w:eastAsia="zh-CN"/>
          <w14:textFill>
            <w14:solidFill>
              <w14:schemeClr w14:val="tx1"/>
            </w14:solidFill>
          </w14:textFill>
        </w:rPr>
      </w:pPr>
      <w:r>
        <w:rPr>
          <w:rFonts w:hint="eastAsia" w:ascii="仿宋" w:hAnsi="仿宋" w:eastAsia="仿宋" w:cs="仿宋"/>
          <w:b/>
          <w:bCs/>
          <w:color w:val="000000" w:themeColor="text1"/>
          <w:spacing w:val="-2"/>
          <w:sz w:val="24"/>
          <w:szCs w:val="24"/>
          <w:lang w:val="en-US" w:eastAsia="zh-CN"/>
          <w14:textFill>
            <w14:solidFill>
              <w14:schemeClr w14:val="tx1"/>
            </w14:solidFill>
          </w14:textFill>
        </w:rPr>
        <w:t>第十三条  解决合同纠纷的方式</w:t>
      </w:r>
    </w:p>
    <w:p w14:paraId="1E2EAC0E">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双方本着友好合作的态度,对合同履行过程中发生的纠纷应及时协商解决,协商不成，向甲方所在地有管辖权的人民法院诉讼解决或提请仲裁机构进行仲裁。</w:t>
      </w:r>
    </w:p>
    <w:p w14:paraId="2E6412E0">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4" w:firstLineChars="200"/>
        <w:textAlignment w:val="auto"/>
        <w:rPr>
          <w:rFonts w:hint="eastAsia" w:ascii="仿宋" w:hAnsi="仿宋" w:eastAsia="仿宋" w:cs="仿宋"/>
          <w:b/>
          <w:bCs/>
          <w:color w:val="000000" w:themeColor="text1"/>
          <w:spacing w:val="-2"/>
          <w:sz w:val="24"/>
          <w:szCs w:val="24"/>
          <w:lang w:val="en-US" w:eastAsia="zh-CN"/>
          <w14:textFill>
            <w14:solidFill>
              <w14:schemeClr w14:val="tx1"/>
            </w14:solidFill>
          </w14:textFill>
        </w:rPr>
      </w:pPr>
      <w:r>
        <w:rPr>
          <w:rFonts w:hint="eastAsia" w:ascii="仿宋" w:hAnsi="仿宋" w:eastAsia="仿宋" w:cs="仿宋"/>
          <w:b/>
          <w:bCs/>
          <w:color w:val="000000" w:themeColor="text1"/>
          <w:spacing w:val="-2"/>
          <w:sz w:val="24"/>
          <w:szCs w:val="24"/>
          <w:lang w:val="en-US" w:eastAsia="zh-CN"/>
          <w14:textFill>
            <w14:solidFill>
              <w14:schemeClr w14:val="tx1"/>
            </w14:solidFill>
          </w14:textFill>
        </w:rPr>
        <w:t>第十四条  合同生效及其他</w:t>
      </w:r>
    </w:p>
    <w:p w14:paraId="0ED639AC">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1、合同经双方法定代表人或授权委托代理人签字并加盖单位公章后生效。</w:t>
      </w:r>
    </w:p>
    <w:p w14:paraId="09D356C8">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2、合同执行中涉及采购资金和采购内容修改或补充的，须经政府采购监管部门审批，并签书面补充协议报政府采购监督管理部门备案，方可作为主合同不可分割的一部分。</w:t>
      </w:r>
    </w:p>
    <w:p w14:paraId="2D686DA3">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3、本合同一式</w:t>
      </w:r>
      <w:r>
        <w:rPr>
          <w:rFonts w:hint="eastAsia" w:ascii="仿宋" w:hAnsi="仿宋" w:eastAsia="仿宋" w:cs="仿宋"/>
          <w:color w:val="000000" w:themeColor="text1"/>
          <w:spacing w:val="-2"/>
          <w:sz w:val="24"/>
          <w:szCs w:val="24"/>
          <w:u w:val="single"/>
          <w:lang w:val="en-US" w:eastAsia="zh-CN"/>
          <w14:textFill>
            <w14:solidFill>
              <w14:schemeClr w14:val="tx1"/>
            </w14:solidFill>
          </w14:textFill>
        </w:rPr>
        <w:t xml:space="preserve"> 肆 </w:t>
      </w:r>
      <w:r>
        <w:rPr>
          <w:rFonts w:hint="eastAsia" w:ascii="仿宋" w:hAnsi="仿宋" w:eastAsia="仿宋" w:cs="仿宋"/>
          <w:color w:val="000000" w:themeColor="text1"/>
          <w:spacing w:val="-2"/>
          <w:sz w:val="24"/>
          <w:szCs w:val="24"/>
          <w:lang w:val="en-US" w:eastAsia="zh-CN"/>
          <w14:textFill>
            <w14:solidFill>
              <w14:schemeClr w14:val="tx1"/>
            </w14:solidFill>
          </w14:textFill>
        </w:rPr>
        <w:t>份，自双方签章之日起生效。甲方</w:t>
      </w:r>
      <w:r>
        <w:rPr>
          <w:rFonts w:hint="eastAsia" w:ascii="仿宋" w:hAnsi="仿宋" w:eastAsia="仿宋" w:cs="仿宋"/>
          <w:color w:val="000000" w:themeColor="text1"/>
          <w:spacing w:val="-2"/>
          <w:sz w:val="24"/>
          <w:szCs w:val="24"/>
          <w:u w:val="single"/>
          <w:lang w:val="en-US" w:eastAsia="zh-CN"/>
          <w14:textFill>
            <w14:solidFill>
              <w14:schemeClr w14:val="tx1"/>
            </w14:solidFill>
          </w14:textFill>
        </w:rPr>
        <w:t xml:space="preserve"> 贰 </w:t>
      </w:r>
      <w:r>
        <w:rPr>
          <w:rFonts w:hint="eastAsia" w:ascii="仿宋" w:hAnsi="仿宋" w:eastAsia="仿宋" w:cs="仿宋"/>
          <w:color w:val="000000" w:themeColor="text1"/>
          <w:spacing w:val="-2"/>
          <w:sz w:val="24"/>
          <w:szCs w:val="24"/>
          <w:lang w:val="en-US" w:eastAsia="zh-CN"/>
          <w14:textFill>
            <w14:solidFill>
              <w14:schemeClr w14:val="tx1"/>
            </w14:solidFill>
          </w14:textFill>
        </w:rPr>
        <w:t>份，乙方</w:t>
      </w:r>
      <w:r>
        <w:rPr>
          <w:rFonts w:hint="eastAsia" w:ascii="仿宋" w:hAnsi="仿宋" w:eastAsia="仿宋" w:cs="仿宋"/>
          <w:color w:val="000000" w:themeColor="text1"/>
          <w:spacing w:val="-2"/>
          <w:sz w:val="24"/>
          <w:szCs w:val="24"/>
          <w:u w:val="single"/>
          <w:lang w:val="en-US" w:eastAsia="zh-CN"/>
          <w14:textFill>
            <w14:solidFill>
              <w14:schemeClr w14:val="tx1"/>
            </w14:solidFill>
          </w14:textFill>
        </w:rPr>
        <w:t xml:space="preserve"> 贰 </w:t>
      </w:r>
      <w:r>
        <w:rPr>
          <w:rFonts w:hint="eastAsia" w:ascii="仿宋" w:hAnsi="仿宋" w:eastAsia="仿宋" w:cs="仿宋"/>
          <w:color w:val="000000" w:themeColor="text1"/>
          <w:spacing w:val="-2"/>
          <w:sz w:val="24"/>
          <w:szCs w:val="24"/>
          <w:lang w:val="en-US" w:eastAsia="zh-CN"/>
          <w14:textFill>
            <w14:solidFill>
              <w14:schemeClr w14:val="tx1"/>
            </w14:solidFill>
          </w14:textFill>
        </w:rPr>
        <w:t>份，具有同等法律效力。</w:t>
      </w:r>
    </w:p>
    <w:p w14:paraId="3C8A2399">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72" w:firstLineChars="200"/>
        <w:textAlignment w:val="auto"/>
        <w:rPr>
          <w:rFonts w:hint="eastAsia" w:ascii="仿宋" w:hAnsi="仿宋" w:eastAsia="仿宋" w:cs="仿宋"/>
          <w:color w:val="000000" w:themeColor="text1"/>
          <w:spacing w:val="-2"/>
          <w:sz w:val="24"/>
          <w:szCs w:val="24"/>
          <w:lang w:val="en-US" w:eastAsia="zh-CN"/>
          <w14:textFill>
            <w14:solidFill>
              <w14:schemeClr w14:val="tx1"/>
            </w14:solidFill>
          </w14:textFill>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0"/>
        <w:gridCol w:w="4260"/>
      </w:tblGrid>
      <w:tr w14:paraId="1576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4260" w:type="dxa"/>
          </w:tcPr>
          <w:p w14:paraId="77025AF7">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br w:type="page"/>
            </w:r>
            <w:r>
              <w:rPr>
                <w:rFonts w:hint="eastAsia" w:ascii="仿宋" w:hAnsi="仿宋" w:eastAsia="仿宋" w:cs="仿宋"/>
                <w:color w:val="000000" w:themeColor="text1"/>
                <w:sz w:val="24"/>
                <w:szCs w:val="24"/>
                <w14:textFill>
                  <w14:solidFill>
                    <w14:schemeClr w14:val="tx1"/>
                  </w14:solidFill>
                </w14:textFill>
              </w:rPr>
              <w:t>甲    方：（盖章）</w:t>
            </w:r>
          </w:p>
        </w:tc>
        <w:tc>
          <w:tcPr>
            <w:tcW w:w="4260" w:type="dxa"/>
          </w:tcPr>
          <w:p w14:paraId="15205A48">
            <w:pPr>
              <w:pStyle w:val="7"/>
              <w:spacing w:line="520" w:lineRule="exact"/>
              <w:ind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乙    方：（盖章）</w:t>
            </w:r>
          </w:p>
        </w:tc>
      </w:tr>
      <w:tr w14:paraId="5374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260" w:type="dxa"/>
          </w:tcPr>
          <w:p w14:paraId="67B656B6">
            <w:pPr>
              <w:pStyle w:val="7"/>
              <w:spacing w:line="520" w:lineRule="exact"/>
              <w:ind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法定代表人（授权代表）： </w:t>
            </w:r>
          </w:p>
        </w:tc>
        <w:tc>
          <w:tcPr>
            <w:tcW w:w="4260" w:type="dxa"/>
          </w:tcPr>
          <w:p w14:paraId="6FE6821C">
            <w:pPr>
              <w:pStyle w:val="7"/>
              <w:spacing w:line="520" w:lineRule="exact"/>
              <w:ind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法定代表人（授权代表）：</w:t>
            </w:r>
          </w:p>
        </w:tc>
      </w:tr>
      <w:tr w14:paraId="7AC1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4260" w:type="dxa"/>
          </w:tcPr>
          <w:p w14:paraId="3ADB0FC5">
            <w:pPr>
              <w:pStyle w:val="7"/>
              <w:spacing w:line="520" w:lineRule="exact"/>
              <w:ind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地    址：</w:t>
            </w:r>
          </w:p>
        </w:tc>
        <w:tc>
          <w:tcPr>
            <w:tcW w:w="4260" w:type="dxa"/>
          </w:tcPr>
          <w:p w14:paraId="543B912B">
            <w:pPr>
              <w:pStyle w:val="7"/>
              <w:spacing w:line="520" w:lineRule="exact"/>
              <w:ind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地    址：</w:t>
            </w:r>
          </w:p>
        </w:tc>
      </w:tr>
      <w:tr w14:paraId="218BB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260" w:type="dxa"/>
          </w:tcPr>
          <w:p w14:paraId="7D48B52C">
            <w:pPr>
              <w:pStyle w:val="7"/>
              <w:spacing w:line="520" w:lineRule="exact"/>
              <w:ind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开户银行：</w:t>
            </w:r>
          </w:p>
        </w:tc>
        <w:tc>
          <w:tcPr>
            <w:tcW w:w="4260" w:type="dxa"/>
          </w:tcPr>
          <w:p w14:paraId="1D6A990C">
            <w:pPr>
              <w:spacing w:line="264"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开户银行：</w:t>
            </w:r>
          </w:p>
        </w:tc>
      </w:tr>
      <w:tr w14:paraId="44A0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260" w:type="dxa"/>
          </w:tcPr>
          <w:p w14:paraId="03D819F5">
            <w:pPr>
              <w:pStyle w:val="7"/>
              <w:spacing w:line="520" w:lineRule="exact"/>
              <w:ind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账    号：</w:t>
            </w:r>
          </w:p>
        </w:tc>
        <w:tc>
          <w:tcPr>
            <w:tcW w:w="4260" w:type="dxa"/>
          </w:tcPr>
          <w:p w14:paraId="6B29025C">
            <w:pPr>
              <w:spacing w:line="264"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账    号：</w:t>
            </w:r>
          </w:p>
        </w:tc>
      </w:tr>
      <w:tr w14:paraId="4180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260" w:type="dxa"/>
          </w:tcPr>
          <w:p w14:paraId="7F201B76">
            <w:pPr>
              <w:pStyle w:val="7"/>
              <w:spacing w:line="520" w:lineRule="exact"/>
              <w:ind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    话：</w:t>
            </w:r>
          </w:p>
        </w:tc>
        <w:tc>
          <w:tcPr>
            <w:tcW w:w="4260" w:type="dxa"/>
          </w:tcPr>
          <w:p w14:paraId="7B8FC28B">
            <w:pPr>
              <w:pStyle w:val="7"/>
              <w:spacing w:line="520" w:lineRule="exact"/>
              <w:ind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    话：</w:t>
            </w:r>
          </w:p>
        </w:tc>
      </w:tr>
      <w:tr w14:paraId="4383D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4260" w:type="dxa"/>
          </w:tcPr>
          <w:p w14:paraId="2E2583FE">
            <w:pPr>
              <w:pStyle w:val="7"/>
              <w:spacing w:line="520" w:lineRule="exact"/>
              <w:ind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签约日期：     年   月     日</w:t>
            </w:r>
          </w:p>
        </w:tc>
        <w:tc>
          <w:tcPr>
            <w:tcW w:w="4260" w:type="dxa"/>
          </w:tcPr>
          <w:p w14:paraId="7EBE47C4">
            <w:pPr>
              <w:pStyle w:val="7"/>
              <w:spacing w:line="520" w:lineRule="exact"/>
              <w:ind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签约日期：     年    月     日</w:t>
            </w:r>
          </w:p>
        </w:tc>
      </w:tr>
    </w:tbl>
    <w:p w14:paraId="4874BECD">
      <w:pPr>
        <w:rPr>
          <w:rFonts w:hint="eastAsia" w:ascii="仿宋" w:hAnsi="仿宋" w:eastAsia="仿宋" w:cs="仿宋"/>
          <w:color w:val="000000" w:themeColor="text1"/>
          <w14:textFill>
            <w14:solidFill>
              <w14:schemeClr w14:val="tx1"/>
            </w14:solidFill>
          </w14:textFill>
        </w:rPr>
      </w:pPr>
    </w:p>
    <w:p w14:paraId="20A7416C">
      <w:pPr>
        <w:tabs>
          <w:tab w:val="left" w:pos="6228"/>
        </w:tabs>
        <w:spacing w:before="54"/>
        <w:ind w:left="447"/>
        <w:jc w:val="left"/>
        <w:rPr>
          <w:rFonts w:ascii="仿宋_GB2312" w:hAnsi="仿宋_GB2312" w:eastAsia="仿宋_GB2312" w:cs="仿宋_GB2312"/>
          <w:color w:val="000000" w:themeColor="text1"/>
          <w14:textFill>
            <w14:solidFill>
              <w14:schemeClr w14:val="tx1"/>
            </w14:solidFill>
          </w14:textFill>
        </w:rPr>
        <w:sectPr>
          <w:pgSz w:w="11906" w:h="16838"/>
          <w:pgMar w:top="1440" w:right="1800" w:bottom="1440" w:left="1800" w:header="851" w:footer="992" w:gutter="0"/>
          <w:cols w:space="425" w:num="1"/>
          <w:docGrid w:type="lines" w:linePitch="312" w:charSpace="0"/>
        </w:sectPr>
      </w:pPr>
    </w:p>
    <w:tbl>
      <w:tblPr>
        <w:tblStyle w:val="4"/>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75"/>
        <w:gridCol w:w="144"/>
        <w:gridCol w:w="463"/>
        <w:gridCol w:w="100"/>
        <w:gridCol w:w="365"/>
        <w:gridCol w:w="54"/>
        <w:gridCol w:w="461"/>
        <w:gridCol w:w="84"/>
        <w:gridCol w:w="737"/>
        <w:gridCol w:w="160"/>
        <w:gridCol w:w="1548"/>
        <w:gridCol w:w="536"/>
        <w:gridCol w:w="729"/>
        <w:gridCol w:w="222"/>
        <w:gridCol w:w="828"/>
        <w:gridCol w:w="183"/>
        <w:gridCol w:w="675"/>
        <w:gridCol w:w="153"/>
        <w:gridCol w:w="799"/>
      </w:tblGrid>
      <w:tr w14:paraId="4173F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000" w:type="pct"/>
            <w:gridSpan w:val="19"/>
            <w:tcBorders>
              <w:top w:val="nil"/>
              <w:left w:val="single" w:color="000000" w:sz="4" w:space="0"/>
              <w:bottom w:val="nil"/>
              <w:right w:val="nil"/>
            </w:tcBorders>
            <w:shd w:val="clear" w:color="auto" w:fill="auto"/>
            <w:noWrap/>
            <w:vAlign w:val="center"/>
          </w:tcPr>
          <w:p w14:paraId="08811824">
            <w:pPr>
              <w:keepNext w:val="0"/>
              <w:keepLines w:val="0"/>
              <w:widowControl/>
              <w:suppressLineNumbers w:val="0"/>
              <w:jc w:val="center"/>
              <w:textAlignment w:val="center"/>
              <w:rPr>
                <w:rFonts w:hint="eastAsia" w:ascii="微软雅黑" w:hAnsi="微软雅黑" w:eastAsia="微软雅黑" w:cs="微软雅黑"/>
                <w:b/>
                <w:bCs/>
                <w:i w:val="0"/>
                <w:iCs w:val="0"/>
                <w:color w:val="000000" w:themeColor="text1"/>
                <w:kern w:val="0"/>
                <w:sz w:val="36"/>
                <w:szCs w:val="36"/>
                <w:u w:val="none"/>
                <w:lang w:val="en-US" w:eastAsia="zh-CN" w:bidi="ar"/>
                <w14:textFill>
                  <w14:solidFill>
                    <w14:schemeClr w14:val="tx1"/>
                  </w14:solidFill>
                </w14:textFill>
              </w:rPr>
            </w:pPr>
            <w:r>
              <w:rPr>
                <w:rFonts w:hint="eastAsia" w:ascii="微软雅黑" w:hAnsi="微软雅黑" w:eastAsia="微软雅黑" w:cs="微软雅黑"/>
                <w:b/>
                <w:bCs/>
                <w:i w:val="0"/>
                <w:iCs w:val="0"/>
                <w:color w:val="000000" w:themeColor="text1"/>
                <w:kern w:val="0"/>
                <w:sz w:val="36"/>
                <w:szCs w:val="36"/>
                <w:u w:val="none"/>
                <w:lang w:val="en-US" w:eastAsia="zh-CN" w:bidi="ar"/>
                <w14:textFill>
                  <w14:solidFill>
                    <w14:schemeClr w14:val="tx1"/>
                  </w14:solidFill>
                </w14:textFill>
              </w:rPr>
              <w:t>2026年度富平县小作坊食品检验检测明细表</w:t>
            </w:r>
          </w:p>
        </w:tc>
      </w:tr>
      <w:tr w14:paraId="0D455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DC7FF">
            <w:pPr>
              <w:keepNext w:val="0"/>
              <w:keepLines w:val="0"/>
              <w:widowControl/>
              <w:suppressLineNumbers w:val="0"/>
              <w:jc w:val="center"/>
              <w:textAlignment w:val="center"/>
              <w:rPr>
                <w:rFonts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序号</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00066">
            <w:pPr>
              <w:keepNext w:val="0"/>
              <w:keepLines w:val="0"/>
              <w:widowControl/>
              <w:suppressLineNumbers w:val="0"/>
              <w:jc w:val="center"/>
              <w:textAlignment w:val="center"/>
              <w:rPr>
                <w:rFonts w:hint="eastAsia"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食品大类</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DBED47">
            <w:pPr>
              <w:keepNext w:val="0"/>
              <w:keepLines w:val="0"/>
              <w:widowControl/>
              <w:suppressLineNumbers w:val="0"/>
              <w:jc w:val="center"/>
              <w:textAlignment w:val="center"/>
              <w:rPr>
                <w:rFonts w:hint="eastAsia"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食品亚类</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F23558">
            <w:pPr>
              <w:keepNext w:val="0"/>
              <w:keepLines w:val="0"/>
              <w:widowControl/>
              <w:suppressLineNumbers w:val="0"/>
              <w:jc w:val="center"/>
              <w:textAlignment w:val="center"/>
              <w:rPr>
                <w:rFonts w:hint="eastAsia"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类别名称</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A45E39">
            <w:pPr>
              <w:keepNext w:val="0"/>
              <w:keepLines w:val="0"/>
              <w:widowControl/>
              <w:suppressLineNumbers w:val="0"/>
              <w:jc w:val="center"/>
              <w:textAlignment w:val="center"/>
              <w:rPr>
                <w:rFonts w:hint="eastAsia"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品种明细</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65EDE5">
            <w:pPr>
              <w:keepNext w:val="0"/>
              <w:keepLines w:val="0"/>
              <w:widowControl/>
              <w:suppressLineNumbers w:val="0"/>
              <w:jc w:val="center"/>
              <w:textAlignment w:val="center"/>
              <w:rPr>
                <w:rFonts w:hint="eastAsia"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检验项目</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A05B2C">
            <w:pPr>
              <w:keepNext w:val="0"/>
              <w:keepLines w:val="0"/>
              <w:widowControl/>
              <w:suppressLineNumbers w:val="0"/>
              <w:jc w:val="center"/>
              <w:textAlignment w:val="center"/>
              <w:rPr>
                <w:rFonts w:hint="eastAsia"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计划批次数</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1A5E6A">
            <w:pPr>
              <w:keepNext w:val="0"/>
              <w:keepLines w:val="0"/>
              <w:widowControl/>
              <w:suppressLineNumbers w:val="0"/>
              <w:jc w:val="center"/>
              <w:textAlignment w:val="center"/>
              <w:rPr>
                <w:rFonts w:hint="default"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单价</w:t>
            </w: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C48C41">
            <w:pPr>
              <w:keepNext w:val="0"/>
              <w:keepLines w:val="0"/>
              <w:widowControl/>
              <w:suppressLineNumbers w:val="0"/>
              <w:jc w:val="center"/>
              <w:textAlignment w:val="center"/>
              <w:rPr>
                <w:rFonts w:hint="default"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总价</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B43E1">
            <w:pPr>
              <w:keepNext w:val="0"/>
              <w:keepLines w:val="0"/>
              <w:widowControl/>
              <w:suppressLineNumbers w:val="0"/>
              <w:jc w:val="center"/>
              <w:textAlignment w:val="center"/>
              <w:rPr>
                <w:rFonts w:hint="default"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备注</w:t>
            </w:r>
          </w:p>
        </w:tc>
      </w:tr>
      <w:tr w14:paraId="7ECFC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24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1891">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w:t>
            </w:r>
          </w:p>
        </w:tc>
        <w:tc>
          <w:tcPr>
            <w:tcW w:w="2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3A4899">
            <w:pPr>
              <w:keepNext w:val="0"/>
              <w:keepLines w:val="0"/>
              <w:widowControl/>
              <w:suppressLineNumbers w:val="0"/>
              <w:jc w:val="center"/>
              <w:textAlignment w:val="center"/>
              <w:rPr>
                <w:rFonts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粮食加工品</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69F15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粮食加工品</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14BA9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小麦粉</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B4897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通用小麦粉</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50FA3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镉（以Cd计）、玉米赤霉烯酮、脱氧雪腐镰刀菌烯醇、赭曲霉毒素A、黄曲霉毒素B</w:t>
            </w:r>
            <w:r>
              <w:rPr>
                <w:rFonts w:hint="default" w:ascii="Times New Roman" w:hAnsi="Times New Roman" w:eastAsia="仿宋" w:cs="Times New Roman"/>
                <w:i w:val="0"/>
                <w:iCs w:val="0"/>
                <w:color w:val="000000" w:themeColor="text1"/>
                <w:kern w:val="0"/>
                <w:sz w:val="18"/>
                <w:szCs w:val="18"/>
                <w:u w:val="none"/>
                <w:lang w:val="en-US" w:eastAsia="zh-CN" w:bidi="ar"/>
                <w14:textFill>
                  <w14:solidFill>
                    <w14:schemeClr w14:val="tx1"/>
                  </w14:solidFill>
                </w14:textFill>
              </w:rPr>
              <w:t>₁</w:t>
            </w:r>
            <w:r>
              <w:rPr>
                <w:rFonts w:ascii="仿宋_GB2312" w:hAnsi="仿宋" w:eastAsia="仿宋_GB2312" w:cs="仿宋_GB2312"/>
                <w:i w:val="0"/>
                <w:iCs w:val="0"/>
                <w:color w:val="000000" w:themeColor="text1"/>
                <w:kern w:val="0"/>
                <w:sz w:val="18"/>
                <w:szCs w:val="18"/>
                <w:u w:val="none"/>
                <w:lang w:val="en-US" w:eastAsia="zh-CN" w:bidi="ar"/>
                <w14:textFill>
                  <w14:solidFill>
                    <w14:schemeClr w14:val="tx1"/>
                  </w14:solidFill>
                </w14:textFill>
              </w:rPr>
              <w:t>、</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76C53">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40</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F8E60">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43175">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8BDB6">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364A8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2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9C29E">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7284B">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E2C6C3">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挂面</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CC3041">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挂面</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659552">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挂面</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F13F4">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铅（以Pb计）、黄曲霉毒素B</w:t>
            </w:r>
            <w:r>
              <w:rPr>
                <w:rFonts w:hint="default" w:ascii="Times New Roman" w:hAnsi="Times New Roman" w:eastAsia="仿宋" w:cs="Times New Roman"/>
                <w:i w:val="0"/>
                <w:iCs w:val="0"/>
                <w:color w:val="000000" w:themeColor="text1"/>
                <w:kern w:val="0"/>
                <w:sz w:val="18"/>
                <w:szCs w:val="18"/>
                <w:u w:val="none"/>
                <w:lang w:val="en-US" w:eastAsia="zh-CN" w:bidi="ar"/>
                <w14:textFill>
                  <w14:solidFill>
                    <w14:schemeClr w14:val="tx1"/>
                  </w14:solidFill>
                </w14:textFill>
              </w:rPr>
              <w:t>₁</w:t>
            </w:r>
            <w:r>
              <w:rPr>
                <w:rFonts w:ascii="仿宋_GB2312" w:hAnsi="仿宋" w:eastAsia="仿宋_GB2312" w:cs="仿宋_GB2312"/>
                <w:i w:val="0"/>
                <w:iCs w:val="0"/>
                <w:color w:val="000000" w:themeColor="text1"/>
                <w:kern w:val="0"/>
                <w:sz w:val="18"/>
                <w:szCs w:val="18"/>
                <w:u w:val="none"/>
                <w:lang w:val="en-US" w:eastAsia="zh-CN" w:bidi="ar"/>
                <w14:textFill>
                  <w14:solidFill>
                    <w14:schemeClr w14:val="tx1"/>
                  </w14:solidFill>
                </w14:textFill>
              </w:rPr>
              <w:t>、</w:t>
            </w: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脱氢乙酸及其钠盐（以脱氢乙酸计）、合成着色剂（柠檬黄、日落黄）</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23624">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10</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9A575">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9859B">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84DC">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05205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2" w:hRule="atLeast"/>
        </w:trPr>
        <w:tc>
          <w:tcPr>
            <w:tcW w:w="2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4F9EC">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0F033">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FFC8C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其他粮食加工品</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8EEF5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谷物粉制品</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33F112">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1.谷物加工品；2.谷物碾磨加工品；3.谷物粉类制成品。</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DE9C34">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铅、二氧化钛、黄曲霉毒素B1、合成着色剂（柠檬黄、日落黄）</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D1DAE">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50</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2AB43">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A3E15">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24851">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62831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4" w:hRule="atLeast"/>
        </w:trPr>
        <w:tc>
          <w:tcPr>
            <w:tcW w:w="24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37DD4">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59183">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食用油、油脂及其制品</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099E0D">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食用植物油</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D500F">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食用植物油</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D0652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花生油、玉米油、芝麻油、菜籽油、大豆油、食用植物调和油、葵花籽油</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4E4A46">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酸价、过氧化值、乙基麦芽酚</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D7A6A">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30</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A63C2">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4DACB">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57DE9">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5EFD2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F04B5">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3</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CEF8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调味品</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72E79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食醋</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99E82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食醋</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94BB57">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酿固态发酵食醋、液态发酵食</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310CE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苯甲酸、山梨酸、总酸</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58D9D">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44</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7F331">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DE9C">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F5680">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60424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24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A9E7F">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4</w:t>
            </w:r>
          </w:p>
        </w:tc>
        <w:tc>
          <w:tcPr>
            <w:tcW w:w="2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04CC8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肉制品</w:t>
            </w:r>
          </w:p>
        </w:tc>
        <w:tc>
          <w:tcPr>
            <w:tcW w:w="27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9099A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肉制品</w:t>
            </w:r>
          </w:p>
        </w:tc>
        <w:tc>
          <w:tcPr>
            <w:tcW w:w="30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83FEA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热加工熟肉制品</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4EB4BF">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1.酱卤肉制品；2.熏烧烤肉制品；3.肉灌制品；4.油炸肉制品；</w:t>
            </w:r>
          </w:p>
        </w:tc>
        <w:tc>
          <w:tcPr>
            <w:tcW w:w="122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D88E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亚硝酸盐、苯甲酸、山梨酸</w:t>
            </w:r>
          </w:p>
        </w:tc>
        <w:tc>
          <w:tcPr>
            <w:tcW w:w="55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706D0">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150</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81B20">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CBE30">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2A141">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6BED6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trPr>
        <w:tc>
          <w:tcPr>
            <w:tcW w:w="2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5763">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18669">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3D1C2">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0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E0140">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AC644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5.熟肉干制品；6.其他熟肉制品（血豆腐除外）。</w:t>
            </w:r>
          </w:p>
        </w:tc>
        <w:tc>
          <w:tcPr>
            <w:tcW w:w="122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49DA1">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5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A0480">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C8F73">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B204F">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CA268">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14:paraId="13879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8" w:hRule="atLeast"/>
        </w:trPr>
        <w:tc>
          <w:tcPr>
            <w:tcW w:w="2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6E85">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4EA36">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C19B7">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BED6D6">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腌腊肉制品</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3B3A7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1.腊肉制品；2.火腿制品。</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F622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亚硝酸盐、苯甲酸、山梨酸、过氧化值（以脂肪计）</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504ED">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10</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59130">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F9D7B">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A4642">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2C2E7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4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2071E">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5</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14083">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糖果制品</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5AEC2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糖果制品</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5594B2">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糖果</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29F846">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1.硬质糖果；2.酥质糖果。</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49CFD">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大肠菌群、二氧化硫残留量、糖精钠(以糖精计)</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B8DD">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26</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74F11">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18A9B">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798EB">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26262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B1F80">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6</w:t>
            </w:r>
          </w:p>
        </w:tc>
        <w:tc>
          <w:tcPr>
            <w:tcW w:w="2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8AE49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酒类</w:t>
            </w:r>
          </w:p>
        </w:tc>
        <w:tc>
          <w:tcPr>
            <w:tcW w:w="27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D1C0B6">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酒类</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99DC4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白酒</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9FDF7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白酒[自酿（固态发酵法）]</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EFAC2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酒精度、糖精钠、甜蜜素、甲醇、氰化物（以HCN计）</w:t>
            </w:r>
          </w:p>
        </w:tc>
        <w:tc>
          <w:tcPr>
            <w:tcW w:w="55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218AE">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10</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BF284">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D5F34">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A8615">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3FCE9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A4042">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9B68B">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65273">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B5972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其他酒</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6AB4B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其他发酵酒[清酒、米酒(醪糟)]</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D2D6D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酒精度、糖精钠、山梨酸</w:t>
            </w:r>
          </w:p>
        </w:tc>
        <w:tc>
          <w:tcPr>
            <w:tcW w:w="5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6D848">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077D1">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B928E">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BE1F2">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14:paraId="58EA1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24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F50EB">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7</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9C23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蔬菜制品</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D113B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蔬菜制品</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53E454">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酱腌菜</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C56D2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酱腌菜</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EA85B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铅（以Pb计）、苯甲酸及其钠盐（以苯甲酸计）、糖精钠、苯甲酸、脱氢乙酸</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3668B">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10</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6FB50">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CC68F">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9E77C">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3224E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24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48A73">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2F04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炒货食品及坚果制品</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3CEF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炒货食品及坚果制品</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81C0E2">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炒货食品及坚果制品</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AB8F8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1.烘炒类；2.油炸类；3.其他类。</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B22C9D">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酸价(以脂肪计)(KOH)、过氧化值(以脂肪计)、铅(以Pb计)、黄曲霉毒素B</w:t>
            </w:r>
            <w:r>
              <w:rPr>
                <w:rFonts w:hint="default" w:ascii="Times New Roman" w:hAnsi="Times New Roman" w:eastAsia="仿宋" w:cs="Times New Roman"/>
                <w:i w:val="0"/>
                <w:iCs w:val="0"/>
                <w:color w:val="000000" w:themeColor="text1"/>
                <w:kern w:val="0"/>
                <w:sz w:val="18"/>
                <w:szCs w:val="18"/>
                <w:u w:val="none"/>
                <w:lang w:val="en-US" w:eastAsia="zh-CN" w:bidi="ar"/>
                <w14:textFill>
                  <w14:solidFill>
                    <w14:schemeClr w14:val="tx1"/>
                  </w14:solidFill>
                </w14:textFill>
              </w:rPr>
              <w:t>₁</w:t>
            </w:r>
            <w:r>
              <w:rPr>
                <w:rFonts w:hint="default" w:ascii="仿宋_GB2312" w:hAnsi="仿宋" w:eastAsia="仿宋_GB2312" w:cs="仿宋_GB2312"/>
                <w:i w:val="0"/>
                <w:iCs w:val="0"/>
                <w:color w:val="000000" w:themeColor="text1"/>
                <w:kern w:val="0"/>
                <w:sz w:val="18"/>
                <w:szCs w:val="18"/>
                <w:u w:val="none"/>
                <w:lang w:val="en-US" w:eastAsia="zh-CN" w:bidi="ar"/>
                <w14:textFill>
                  <w14:solidFill>
                    <w14:schemeClr w14:val="tx1"/>
                  </w14:solidFill>
                </w14:textFill>
              </w:rPr>
              <w:t>、苯甲酸及其钠盐(以苯甲酸计)</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BA234">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20</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A0FC1">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996A5">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292EF">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5B1AA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0" w:hRule="atLeast"/>
        </w:trPr>
        <w:tc>
          <w:tcPr>
            <w:tcW w:w="24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9F5BF">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9</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ED6EF">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蛋制品</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D4B7DD">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蛋制品</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9B8C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蛋制品</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6727F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再制蛋类</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0BB72D">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铅、大肠菌群、苯甲酸</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6EB2C">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05BEA">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78559">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2F39C">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61AD4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B6781">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A939F">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淀粉及淀粉制品</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D46ED">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淀粉及淀粉制品</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C5B02">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淀粉及淀粉制品</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16156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1.淀粉；2.淀粉制品。</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858DA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1.铅；2、二氧化硫残留量、铝的残留量、合成着色剂(柠檬黄、日落黄)</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96FCD">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25</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FE181">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4A4C">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F25BE">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6A4BF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24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732B6">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11</w:t>
            </w:r>
          </w:p>
        </w:tc>
        <w:tc>
          <w:tcPr>
            <w:tcW w:w="2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606D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糕点</w:t>
            </w:r>
          </w:p>
        </w:tc>
        <w:tc>
          <w:tcPr>
            <w:tcW w:w="27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83931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糕点</w:t>
            </w:r>
          </w:p>
        </w:tc>
        <w:tc>
          <w:tcPr>
            <w:tcW w:w="30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6994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热加工糕点</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C49F8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1.烘烤类糕点；2.油炸类糕点；3.蒸煮类糕点；4.炒制类糕点；</w:t>
            </w:r>
          </w:p>
        </w:tc>
        <w:tc>
          <w:tcPr>
            <w:tcW w:w="122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925D6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铝的残留量、酸价、二氧化钛、过氧化值(以脂肪计)</w:t>
            </w:r>
          </w:p>
        </w:tc>
        <w:tc>
          <w:tcPr>
            <w:tcW w:w="55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6730E">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269</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42B5E">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5D4E7">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270D2">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246D0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C7E3A">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48110">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C0228">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0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A239F">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76075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5.其他类。</w:t>
            </w:r>
          </w:p>
        </w:tc>
        <w:tc>
          <w:tcPr>
            <w:tcW w:w="122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D3ED7">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5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5B0B9">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82502">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EDC61">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95AFF">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14:paraId="779F7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7" w:hRule="atLeast"/>
        </w:trPr>
        <w:tc>
          <w:tcPr>
            <w:tcW w:w="24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EDEF3">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1740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豆制品</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A190F4">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豆制品</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50D89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豆制品</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59ACB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1.发酵性豆制品；2.非发酵性豆制品；3.其他豆制品。</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73C8B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黄曲霉毒素B1、脱氢乙酸、硼砂</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7B7D6">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60</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AAD1D">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6E988">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8982F">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2CF31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4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057D3">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13</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D1EC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蜂产品</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5A68A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蜂产品</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8E6DE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蜂蜜</w:t>
            </w:r>
          </w:p>
        </w:tc>
        <w:tc>
          <w:tcPr>
            <w:tcW w:w="5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432E41">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蜂蜜</w:t>
            </w: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18CCF3">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果糖和葡萄糖、蔗糖、呋喃西林代谢物、菌落总数</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561EE">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3</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F18D1">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A1B85">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0478C">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43D01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2891"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E1331F9">
            <w:pPr>
              <w:keepNext w:val="0"/>
              <w:keepLines w:val="0"/>
              <w:widowControl/>
              <w:suppressLineNumbers w:val="0"/>
              <w:jc w:val="center"/>
              <w:textAlignment w:val="center"/>
              <w:rPr>
                <w:rFonts w:hint="eastAsia" w:ascii="仿宋" w:hAnsi="仿宋" w:eastAsia="仿宋" w:cs="仿宋"/>
                <w:i w:val="0"/>
                <w:iCs w:val="0"/>
                <w:color w:val="000000" w:themeColor="text1"/>
                <w:sz w:val="32"/>
                <w:szCs w:val="32"/>
                <w:u w:val="none"/>
                <w14:textFill>
                  <w14:solidFill>
                    <w14:schemeClr w14:val="tx1"/>
                  </w14:solidFill>
                </w14:textFill>
              </w:rPr>
            </w:pPr>
            <w:r>
              <w:rPr>
                <w:rFonts w:hint="eastAsia" w:ascii="仿宋" w:hAnsi="仿宋" w:eastAsia="仿宋" w:cs="仿宋"/>
                <w:i w:val="0"/>
                <w:iCs w:val="0"/>
                <w:color w:val="000000" w:themeColor="text1"/>
                <w:kern w:val="0"/>
                <w:sz w:val="32"/>
                <w:szCs w:val="32"/>
                <w:u w:val="none"/>
                <w:lang w:val="en-US" w:eastAsia="zh-CN" w:bidi="ar"/>
                <w14:textFill>
                  <w14:solidFill>
                    <w14:schemeClr w14:val="tx1"/>
                  </w14:solidFill>
                </w14:textFill>
              </w:rPr>
              <w:t>合计</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FFA5F">
            <w:pPr>
              <w:keepNext w:val="0"/>
              <w:keepLines w:val="0"/>
              <w:widowControl/>
              <w:suppressLineNumbers w:val="0"/>
              <w:jc w:val="center"/>
              <w:textAlignment w:val="center"/>
              <w:rPr>
                <w:rFonts w:hint="eastAsia" w:ascii="仿宋" w:hAnsi="仿宋" w:eastAsia="仿宋" w:cs="仿宋"/>
                <w:b/>
                <w:bCs/>
                <w:i w:val="0"/>
                <w:iCs w:val="0"/>
                <w:color w:val="000000" w:themeColor="text1"/>
                <w:sz w:val="24"/>
                <w:szCs w:val="24"/>
                <w:u w:val="none"/>
                <w14:textFill>
                  <w14:solidFill>
                    <w14:schemeClr w14:val="tx1"/>
                  </w14:solidFill>
                </w14:textFill>
              </w:rPr>
            </w:pPr>
            <w: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t>758</w:t>
            </w:r>
          </w:p>
        </w:tc>
        <w:tc>
          <w:tcPr>
            <w:tcW w:w="5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55914">
            <w:pPr>
              <w:keepNext w:val="0"/>
              <w:keepLines w:val="0"/>
              <w:widowControl/>
              <w:suppressLineNumbers w:val="0"/>
              <w:jc w:val="center"/>
              <w:textAlignment w:val="cente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pP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9DBD5">
            <w:pPr>
              <w:keepNext w:val="0"/>
              <w:keepLines w:val="0"/>
              <w:widowControl/>
              <w:suppressLineNumbers w:val="0"/>
              <w:jc w:val="center"/>
              <w:textAlignment w:val="cente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4D8ED">
            <w:pPr>
              <w:keepNext w:val="0"/>
              <w:keepLines w:val="0"/>
              <w:widowControl/>
              <w:suppressLineNumbers w:val="0"/>
              <w:jc w:val="center"/>
              <w:textAlignment w:val="cente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pPr>
          </w:p>
        </w:tc>
      </w:tr>
      <w:tr w14:paraId="08189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27B3C70F">
            <w:pPr>
              <w:keepNext w:val="0"/>
              <w:keepLines w:val="0"/>
              <w:widowControl/>
              <w:suppressLineNumbers w:val="0"/>
              <w:jc w:val="center"/>
              <w:textAlignment w:val="cente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pPr>
            <w: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t>总价：大写：</w:t>
            </w:r>
            <w:r>
              <w:rPr>
                <w:rFonts w:hint="eastAsia" w:ascii="仿宋" w:hAnsi="仿宋" w:eastAsia="仿宋" w:cs="仿宋"/>
                <w:b/>
                <w:bCs/>
                <w:i w:val="0"/>
                <w:iCs w:val="0"/>
                <w:color w:val="000000" w:themeColor="text1"/>
                <w:kern w:val="0"/>
                <w:sz w:val="24"/>
                <w:szCs w:val="24"/>
                <w:u w:val="single"/>
                <w:lang w:val="en-US" w:eastAsia="zh-CN" w:bidi="ar"/>
                <w14:textFill>
                  <w14:solidFill>
                    <w14:schemeClr w14:val="tx1"/>
                  </w14:solidFill>
                </w14:textFill>
              </w:rPr>
              <w:t xml:space="preserve">     </w:t>
            </w:r>
            <w: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t>小写：</w:t>
            </w:r>
            <w:r>
              <w:rPr>
                <w:rFonts w:hint="eastAsia" w:ascii="仿宋" w:hAnsi="仿宋" w:eastAsia="仿宋" w:cs="仿宋"/>
                <w:b/>
                <w:bCs/>
                <w:i w:val="0"/>
                <w:iCs w:val="0"/>
                <w:color w:val="000000" w:themeColor="text1"/>
                <w:kern w:val="0"/>
                <w:sz w:val="24"/>
                <w:szCs w:val="24"/>
                <w:u w:val="single"/>
                <w:lang w:val="en-US" w:eastAsia="zh-CN" w:bidi="ar"/>
                <w14:textFill>
                  <w14:solidFill>
                    <w14:schemeClr w14:val="tx1"/>
                  </w14:solidFill>
                </w14:textFill>
              </w:rPr>
              <w:t xml:space="preserve">     </w:t>
            </w:r>
          </w:p>
        </w:tc>
      </w:tr>
      <w:tr w14:paraId="79AC1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19"/>
            <w:tcBorders>
              <w:top w:val="nil"/>
              <w:left w:val="nil"/>
              <w:bottom w:val="nil"/>
              <w:right w:val="nil"/>
            </w:tcBorders>
            <w:shd w:val="clear" w:color="auto" w:fill="auto"/>
            <w:noWrap/>
            <w:vAlign w:val="center"/>
          </w:tcPr>
          <w:p w14:paraId="3B4E9A70">
            <w:pPr>
              <w:keepNext w:val="0"/>
              <w:keepLines w:val="0"/>
              <w:widowControl/>
              <w:suppressLineNumbers w:val="0"/>
              <w:jc w:val="center"/>
              <w:textAlignment w:val="center"/>
              <w:rPr>
                <w:rFonts w:hint="eastAsia" w:ascii="微软雅黑" w:hAnsi="微软雅黑" w:eastAsia="微软雅黑" w:cs="微软雅黑"/>
                <w:i w:val="0"/>
                <w:iCs w:val="0"/>
                <w:color w:val="000000" w:themeColor="text1"/>
                <w:kern w:val="0"/>
                <w:sz w:val="32"/>
                <w:szCs w:val="32"/>
                <w:u w:val="none"/>
                <w:lang w:val="en-US" w:eastAsia="zh-CN" w:bidi="ar"/>
                <w14:textFill>
                  <w14:solidFill>
                    <w14:schemeClr w14:val="tx1"/>
                  </w14:solidFill>
                </w14:textFill>
              </w:rPr>
            </w:pPr>
            <w:r>
              <w:rPr>
                <w:rFonts w:hint="eastAsia" w:ascii="微软雅黑" w:hAnsi="微软雅黑" w:eastAsia="微软雅黑" w:cs="微软雅黑"/>
                <w:i w:val="0"/>
                <w:iCs w:val="0"/>
                <w:color w:val="000000" w:themeColor="text1"/>
                <w:kern w:val="0"/>
                <w:sz w:val="32"/>
                <w:szCs w:val="32"/>
                <w:u w:val="none"/>
                <w:lang w:val="en-US" w:eastAsia="zh-CN" w:bidi="ar"/>
                <w14:textFill>
                  <w14:solidFill>
                    <w14:schemeClr w14:val="tx1"/>
                  </w14:solidFill>
                </w14:textFill>
              </w:rPr>
              <w:t>2026年度富平县餐饮食品检验检测明细表</w:t>
            </w:r>
          </w:p>
        </w:tc>
      </w:tr>
      <w:tr w14:paraId="18E40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F2778">
            <w:pPr>
              <w:keepNext w:val="0"/>
              <w:keepLines w:val="0"/>
              <w:widowControl/>
              <w:suppressLineNumbers w:val="0"/>
              <w:jc w:val="center"/>
              <w:textAlignment w:val="center"/>
              <w:rPr>
                <w:rFonts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序号</w:t>
            </w:r>
          </w:p>
        </w:tc>
        <w:tc>
          <w:tcPr>
            <w:tcW w:w="4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0EB464">
            <w:pPr>
              <w:keepNext w:val="0"/>
              <w:keepLines w:val="0"/>
              <w:widowControl/>
              <w:suppressLineNumbers w:val="0"/>
              <w:jc w:val="center"/>
              <w:textAlignment w:val="center"/>
              <w:rPr>
                <w:rFonts w:hint="eastAsia"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食品大类</w:t>
            </w:r>
          </w:p>
        </w:tc>
        <w:tc>
          <w:tcPr>
            <w:tcW w:w="2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A40C4F">
            <w:pPr>
              <w:keepNext w:val="0"/>
              <w:keepLines w:val="0"/>
              <w:widowControl/>
              <w:suppressLineNumbers w:val="0"/>
              <w:jc w:val="center"/>
              <w:textAlignment w:val="center"/>
              <w:rPr>
                <w:rFonts w:hint="eastAsia"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食品亚类</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E79B8A">
            <w:pPr>
              <w:keepNext w:val="0"/>
              <w:keepLines w:val="0"/>
              <w:widowControl/>
              <w:suppressLineNumbers w:val="0"/>
              <w:jc w:val="center"/>
              <w:textAlignment w:val="center"/>
              <w:rPr>
                <w:rFonts w:hint="eastAsia"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食品品种</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E3156">
            <w:pPr>
              <w:keepNext w:val="0"/>
              <w:keepLines w:val="0"/>
              <w:widowControl/>
              <w:suppressLineNumbers w:val="0"/>
              <w:jc w:val="center"/>
              <w:textAlignment w:val="center"/>
              <w:rPr>
                <w:rFonts w:hint="eastAsia"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食品细类</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A480CC">
            <w:pPr>
              <w:keepNext w:val="0"/>
              <w:keepLines w:val="0"/>
              <w:widowControl/>
              <w:suppressLineNumbers w:val="0"/>
              <w:jc w:val="center"/>
              <w:textAlignment w:val="center"/>
              <w:rPr>
                <w:rFonts w:hint="eastAsia"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抽检项目</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F157B">
            <w:pPr>
              <w:keepNext w:val="0"/>
              <w:keepLines w:val="0"/>
              <w:widowControl/>
              <w:suppressLineNumbers w:val="0"/>
              <w:jc w:val="center"/>
              <w:textAlignment w:val="center"/>
              <w:rPr>
                <w:rFonts w:hint="eastAsia" w:ascii="黑体" w:hAnsi="宋体" w:eastAsia="黑体" w:cs="黑体"/>
                <w:b/>
                <w:bCs/>
                <w:i w:val="0"/>
                <w:iCs w:val="0"/>
                <w:color w:val="000000" w:themeColor="text1"/>
                <w:sz w:val="24"/>
                <w:szCs w:val="24"/>
                <w:u w:val="none"/>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计划抽检批次</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2E7DCD">
            <w:pPr>
              <w:keepNext w:val="0"/>
              <w:keepLines w:val="0"/>
              <w:widowControl/>
              <w:suppressLineNumbers w:val="0"/>
              <w:jc w:val="center"/>
              <w:textAlignment w:val="center"/>
              <w:rPr>
                <w:rFonts w:hint="default"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单价</w:t>
            </w: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A73E79">
            <w:pPr>
              <w:keepNext w:val="0"/>
              <w:keepLines w:val="0"/>
              <w:widowControl/>
              <w:suppressLineNumbers w:val="0"/>
              <w:jc w:val="center"/>
              <w:textAlignment w:val="center"/>
              <w:rPr>
                <w:rFonts w:hint="default"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总价</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ACA5A">
            <w:pPr>
              <w:keepNext w:val="0"/>
              <w:keepLines w:val="0"/>
              <w:widowControl/>
              <w:suppressLineNumbers w:val="0"/>
              <w:jc w:val="center"/>
              <w:textAlignment w:val="center"/>
              <w:rPr>
                <w:rFonts w:hint="default"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pPr>
            <w:r>
              <w:rPr>
                <w:rFonts w:hint="eastAsia" w:ascii="黑体" w:hAnsi="宋体" w:eastAsia="黑体" w:cs="黑体"/>
                <w:b/>
                <w:bCs/>
                <w:i w:val="0"/>
                <w:iCs w:val="0"/>
                <w:color w:val="000000" w:themeColor="text1"/>
                <w:kern w:val="0"/>
                <w:sz w:val="24"/>
                <w:szCs w:val="24"/>
                <w:u w:val="none"/>
                <w:lang w:val="en-US" w:eastAsia="zh-CN" w:bidi="ar"/>
                <w14:textFill>
                  <w14:solidFill>
                    <w14:schemeClr w14:val="tx1"/>
                  </w14:solidFill>
                </w14:textFill>
              </w:rPr>
              <w:t>备注</w:t>
            </w:r>
          </w:p>
        </w:tc>
      </w:tr>
      <w:tr w14:paraId="32256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8CACB1">
            <w:pPr>
              <w:keepNext w:val="0"/>
              <w:keepLines w:val="0"/>
              <w:widowControl/>
              <w:suppressLineNumbers w:val="0"/>
              <w:jc w:val="center"/>
              <w:textAlignment w:val="center"/>
              <w:rPr>
                <w:rFonts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w:t>
            </w:r>
          </w:p>
        </w:tc>
        <w:tc>
          <w:tcPr>
            <w:tcW w:w="41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06C27">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餐饮食品</w:t>
            </w:r>
          </w:p>
        </w:tc>
        <w:tc>
          <w:tcPr>
            <w:tcW w:w="2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B4D75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小麦粉制品</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F604B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发酵面制品（自制）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C149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馒头、包子、花卷</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93963">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苯甲酸、山梨酸、甜蜜素、合成着色剂(柠檬黄、日落黄、胭脂红、苋菜红、亮蓝)</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F0A713">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110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E43628">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377D78">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596CE8">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1AA6A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6"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7A4B2">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9C1D8">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50064">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28E9A2">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生湿面制品（自制）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2D3A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饺子皮、生切面等</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32CFF1">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脱氢乙酸及其钠盐（以脱氢乙酸计）、苯甲酸、山梨酸</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EBB4F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80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8F4E1">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DF7403">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BE1205">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0FA2D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A80F7">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A216B">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5BA9A">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947F84">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油炸面制品（自制）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2ECC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麻花、油条、油饼、油糕</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74FDF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铝的残留量、苯甲酸</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85F523">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70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51500D">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FDE920">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13E046">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40B65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8"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3CFA5">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45C75">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28EA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熟肉制品（自制）</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729A7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酱卤肉制品（自制）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8A5D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盐水鸭、白切鸡、白切猪肚、酱牛肉、酱汁肉、糖醋排骨、卤鸭脖、卤鸡爪等</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69CB71">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苯甲酸及其钠盐(以苯甲酸计)、亚硝酸盐</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CCEC01">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100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F1FB7D">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FA0F1">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4CF883">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5174D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C25A1">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A59BB">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FB4CA">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C7E3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肉冻（自制）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7844F">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肉冻（自制）</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64DE1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铬（以Cr计）</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26B6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60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DC5098">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D90A9B">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714623">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3D0F7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D58DE">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8B43F">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8FF7B">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6E65C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皮冻（自制）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F07A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皮冻（自制）</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C31261">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铬（以Cr计）</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A4193D">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60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D7476D">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4DD914">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913BDF">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2E2F7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4"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BBF58">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E696B">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97F884">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半固态调味料（自制)</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872B0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火锅调味料（底料、蘸料）（自制）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325F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火锅调味料（底料、蘸料）</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B80D7">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罂粟碱、吗啡、可待因、那可丁</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9DE847">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80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3C455">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AA18A5">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31F09">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78E69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4"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5B1C9">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B43DF">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70C8B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坚果及籽类食品</w:t>
            </w: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（自制）</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A1ADF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坚果及籽类食品</w:t>
            </w: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B38E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花生制品</w:t>
            </w: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（自制）</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C8EBD">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过氧化值（以脂肪计）、黄曲霉毒素B</w:t>
            </w:r>
            <w:r>
              <w:rPr>
                <w:rFonts w:hint="default" w:ascii="Times New Roman" w:hAnsi="Times New Roman" w:eastAsia="仿宋" w:cs="Times New Roman"/>
                <w:i w:val="0"/>
                <w:iCs w:val="0"/>
                <w:color w:val="000000" w:themeColor="text1"/>
                <w:kern w:val="0"/>
                <w:sz w:val="24"/>
                <w:szCs w:val="24"/>
                <w:u w:val="none"/>
                <w:lang w:val="en-US" w:eastAsia="zh-CN" w:bidi="ar"/>
                <w14:textFill>
                  <w14:solidFill>
                    <w14:schemeClr w14:val="tx1"/>
                  </w14:solidFill>
                </w14:textFill>
              </w:rPr>
              <w:t>₁</w:t>
            </w: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、脱氢乙酸及其钠盐（以脱氢乙酸计）</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C6D78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60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EEB899">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7FC60">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7CF0EC">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5B28A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06FAE">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9CFA5">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491E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餐饮具</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26832">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复用餐饮具</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46C96">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复用餐饮具</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1E1E1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阴离子合成洗涤剂、大肠菌群、游离性余氯</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B7473">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135</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86D7BF">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C2175">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723A0">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2EF91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6B519">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4A4FE">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9428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水产制品（自制）</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C6690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预制水产制品（自制）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905D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生食动物性水产品（自制）</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96F174">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铝的残留量（以即食海蜇中Al计）</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60C5C4">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30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7DC75F">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C7B8A">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278489">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19DEA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6"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42F06">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70CE1">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CBBE1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烘烤食品（自制）</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5F588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烘烤食品（自制）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036E4">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糕点（自制）（含椽头馍、棒棒馍、石子馍、手工小麻花、锅盔、馄饨馍、夹心饼等）</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66C58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酸价（以脂肪计）（KOH）、过氧化值（以脂肪计）、脱氢乙酸及其钠盐（以脱氢乙酸计）、山梨酸及其钾盐（以山梨酸计）</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4AF1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80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E09B52">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6AFF0">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048F37">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6CD84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00025">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C5BBC">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EBBBC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食用油、油脂及其制品（自制）</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D15A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食用油、油脂及其制品（自制）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748D1">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煎炸过程用油</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2992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极性组分、酸价（KOH）</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61E7A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40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0BBF4">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A684F8">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7AFBD">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13C93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A7269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2</w:t>
            </w:r>
          </w:p>
        </w:tc>
        <w:tc>
          <w:tcPr>
            <w:tcW w:w="41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3C8803">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其他餐饮制品</w:t>
            </w:r>
          </w:p>
        </w:tc>
        <w:tc>
          <w:tcPr>
            <w:tcW w:w="2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32A5C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糕点面包</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EBBDB7">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糕点、面包（自制）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8B4B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冷加工糕点、面包（自制）</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36F6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铝的残留量、脱氢乙酸</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4E5C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80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A0A45">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5951BD">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E9AC54">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05382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CCD70">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C00A7">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CD322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酱腌菜</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8AFA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酱腌菜(自制)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A20A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酱腌菜(自制)</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CC09F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糖精钠、苯甲酸、亚硝酸盐</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9BC3C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60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391C19">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529FF">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3AD92">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1CD8F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4F071">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51683">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1205A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半固态调味料（自制)</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35DCD1">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半固态调味料（自制）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EF50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油辣椒</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EC50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罂粟碱、苏丹红Ⅰ～Ⅳ、脱氢乙酸</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DA1B6">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60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B9497E">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44B7D0">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E588DE">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48B97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316"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2BBCD">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BCAF5">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75FC3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节令食品（自制）</w:t>
            </w:r>
          </w:p>
        </w:tc>
        <w:tc>
          <w:tcPr>
            <w:tcW w:w="3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316ED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节令食品（自制）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DEDE2">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月饼（自制）</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CC46D">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铝的残留量（干样品，以Al计）、脱氢乙酸及其钠盐（以脱氢乙酸计）、山梨酸及其钾盐（以山梨酸计）</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67726F">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15</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5D1E38">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4DB63B">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EB2480">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0380C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6"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2195C">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15ED9">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514B2">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DC221">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42DF1">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粽子（自制）</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06C8BD">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山梨酸及其钾盐（以山梨酸计）、脱氢乙酸及其钠盐（以脱氢乙酸计）、糖精钠（以糖精计）、安赛蜜</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32ED4">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15</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399E42">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B1FEB0">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7326DC">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7BB9C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C3856">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CC4B1">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2A4024">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淀粉制品</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2F70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淀粉制品</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8CDF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粉丝、粉条、粉带、分皮等</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0B995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铝的残留量、二氧化硫</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756B0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60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563BAB">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585A1">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AFAD4D">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31753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6C553">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E9B73">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9A4FF4">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饮料（自制）</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7528A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饮料（自制）</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DC85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奶茶（自制）</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A8E3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脱氢乙酸及其钠盐（以脱氢乙酸计）</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28F5F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80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6D06F">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E702F2">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D060D9">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3BA38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261C79">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C6CD4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畜禽肉及副产品</w:t>
            </w:r>
          </w:p>
        </w:tc>
        <w:tc>
          <w:tcPr>
            <w:tcW w:w="2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E3E221">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畜禽肉及副产品</w:t>
            </w:r>
          </w:p>
        </w:tc>
        <w:tc>
          <w:tcPr>
            <w:tcW w:w="3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96DC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畜肉</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6E93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猪肉</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8D69F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挥发性盐基氮、水分、氯霉素、沙丁胺醇、恩诺沙星、</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261486">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5</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1329D8">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703F13">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482E75">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35A4B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1EA3F">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FA11A">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82C93">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D9169">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7963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牛肉</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10729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挥发性盐基氮、水分、莱克多巴胺、沙丁胺醇、克伦特罗、恩诺沙星、磺胺类(总量)、地塞米松、氯霉素</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B6A4F6">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5</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90F619">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E4388D">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C52D1">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462DF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4605C">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77739">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B3CD2">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8BC15">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AF45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羊肉</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F2C9C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克伦特罗、莱克多巴胺、沙丁胺醇、氯霉素、恩诺沙星、磺胺类(总量)、氟苯尼考</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28B65F">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5</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9845F">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43FBE8">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ACB09">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6B1D3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FCEA1">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BED80">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FFBF6">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D25E1">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ECC2D">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其他畜肉</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F217A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呋喃唑酮代谢物、氯霉素、克伦特罗、莱克多巴胺、沙丁胺醇、氧氟沙星</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1E4592">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5</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95B9ED">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A89944">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99F161">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23448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4D8BB">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08562">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7E217">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3131AB">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畜副产品</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D2668">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猪肝</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B7EF6A">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氯霉素、恩诺沙星、磺胺类(总量)、甲氧苄啶</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5C85C">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5</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40B4D6">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C56877">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2F6A28">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5EF4B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73E18">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85194">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405B0">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E06EE">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1A41D">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其他畜副产品</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B2BA8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氯霉素、恩诺沙星、磺胺类(总量)、甲氧苄啶</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C760E9">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5</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FB2B01">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F138B">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C9122">
            <w:pPr>
              <w:keepNext w:val="0"/>
              <w:keepLines w:val="0"/>
              <w:widowControl/>
              <w:suppressLineNumbers w:val="0"/>
              <w:jc w:val="center"/>
              <w:textAlignment w:val="cente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pPr>
          </w:p>
        </w:tc>
      </w:tr>
      <w:tr w14:paraId="589A5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2D6E2">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13C78">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C3A15">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58AA13">
            <w:pPr>
              <w:keepNext w:val="0"/>
              <w:keepLines w:val="0"/>
              <w:widowControl/>
              <w:suppressLineNumbers w:val="0"/>
              <w:jc w:val="center"/>
              <w:textAlignment w:val="center"/>
              <w:rPr>
                <w:rFonts w:ascii="仿宋_GB2312" w:hAnsi="宋体" w:eastAsia="仿宋_GB2312" w:cs="仿宋_GB2312"/>
                <w:i w:val="0"/>
                <w:iCs w:val="0"/>
                <w:color w:val="000000" w:themeColor="text1"/>
                <w:sz w:val="18"/>
                <w:szCs w:val="18"/>
                <w:u w:val="none"/>
                <w14:textFill>
                  <w14:solidFill>
                    <w14:schemeClr w14:val="tx1"/>
                  </w14:solidFill>
                </w14:textFill>
              </w:rPr>
            </w:pPr>
            <w:r>
              <w:rPr>
                <w:rFonts w:hint="default" w:ascii="仿宋_GB2312" w:hAnsi="宋体" w:eastAsia="仿宋_GB2312" w:cs="仿宋_GB2312"/>
                <w:i w:val="0"/>
                <w:iCs w:val="0"/>
                <w:color w:val="000000" w:themeColor="text1"/>
                <w:kern w:val="0"/>
                <w:sz w:val="18"/>
                <w:szCs w:val="18"/>
                <w:u w:val="none"/>
                <w:lang w:val="en-US" w:eastAsia="zh-CN" w:bidi="ar"/>
                <w14:textFill>
                  <w14:solidFill>
                    <w14:schemeClr w14:val="tx1"/>
                  </w14:solidFill>
                </w14:textFill>
              </w:rPr>
              <w:t>禽肉</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5981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鸡肉</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B54960">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挥发性盐基氮、水分、呋喃西林代谢物、氧氟沙星、培氟沙星、诺氟沙星、恩诺沙星、甲氧苄啶、氟苯尼考、多西环素、氯霉素、磺胺类</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82060">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5</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46123">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E51DA">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2E947">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6ADD5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50B92">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CEAF4">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A7438">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3EE5F">
            <w:pPr>
              <w:jc w:val="center"/>
              <w:rPr>
                <w:rFonts w:hint="default" w:ascii="仿宋_GB2312" w:hAnsi="宋体" w:eastAsia="仿宋_GB2312" w:cs="仿宋_GB2312"/>
                <w:i w:val="0"/>
                <w:iCs w:val="0"/>
                <w:color w:val="000000" w:themeColor="text1"/>
                <w:sz w:val="18"/>
                <w:szCs w:val="18"/>
                <w:u w:val="none"/>
                <w14:textFill>
                  <w14:solidFill>
                    <w14:schemeClr w14:val="tx1"/>
                  </w14:solidFill>
                </w14:textFill>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39B8E">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鸭肉</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76C7F1">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氯霉素、氧氟沙星、恩诺沙星、磺胺类(总量)、氟苯尼考、多西环素、甲硝唑</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8E07A">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5</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9151D">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FC739">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31539">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24EB0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F0831">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41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1D5EA">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2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92105">
            <w:pPr>
              <w:jc w:val="center"/>
              <w:rPr>
                <w:rFonts w:hint="eastAsia" w:ascii="仿宋" w:hAnsi="仿宋" w:eastAsia="仿宋" w:cs="仿宋"/>
                <w:i w:val="0"/>
                <w:iCs w:val="0"/>
                <w:color w:val="000000" w:themeColor="text1"/>
                <w:sz w:val="24"/>
                <w:szCs w:val="24"/>
                <w:u w:val="none"/>
                <w14:textFill>
                  <w14:solidFill>
                    <w14:schemeClr w14:val="tx1"/>
                  </w14:solidFill>
                </w14:textFill>
              </w:rPr>
            </w:pPr>
          </w:p>
        </w:tc>
        <w:tc>
          <w:tcPr>
            <w:tcW w:w="3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046BD">
            <w:pPr>
              <w:jc w:val="center"/>
              <w:rPr>
                <w:rFonts w:hint="default" w:ascii="仿宋_GB2312" w:hAnsi="宋体" w:eastAsia="仿宋_GB2312" w:cs="仿宋_GB2312"/>
                <w:i w:val="0"/>
                <w:iCs w:val="0"/>
                <w:color w:val="000000" w:themeColor="text1"/>
                <w:sz w:val="18"/>
                <w:szCs w:val="18"/>
                <w:u w:val="none"/>
                <w14:textFill>
                  <w14:solidFill>
                    <w14:schemeClr w14:val="tx1"/>
                  </w14:solidFill>
                </w14:textFill>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5245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其他禽肉</w:t>
            </w:r>
          </w:p>
        </w:tc>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C0A073">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氯霉素、氧氟沙星、培氟沙星、恩诺沙星、磺胺类(总量)、多西环素、甲硝唑</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D542B">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5</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3F225">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48007">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7FEAA">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5AAB0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2577"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66D81A2">
            <w:pPr>
              <w:keepNext w:val="0"/>
              <w:keepLines w:val="0"/>
              <w:widowControl/>
              <w:suppressLineNumbers w:val="0"/>
              <w:jc w:val="center"/>
              <w:textAlignment w:val="center"/>
              <w:rPr>
                <w:rFonts w:hint="eastAsia" w:ascii="黑体" w:hAnsi="宋体" w:eastAsia="黑体" w:cs="黑体"/>
                <w:i w:val="0"/>
                <w:iCs w:val="0"/>
                <w:color w:val="000000" w:themeColor="text1"/>
                <w:sz w:val="32"/>
                <w:szCs w:val="32"/>
                <w:u w:val="none"/>
                <w14:textFill>
                  <w14:solidFill>
                    <w14:schemeClr w14:val="tx1"/>
                  </w14:solidFill>
                </w14:textFill>
              </w:rPr>
            </w:pPr>
            <w:r>
              <w:rPr>
                <w:rFonts w:hint="eastAsia" w:ascii="黑体" w:hAnsi="宋体" w:eastAsia="黑体" w:cs="黑体"/>
                <w:i w:val="0"/>
                <w:iCs w:val="0"/>
                <w:color w:val="000000" w:themeColor="text1"/>
                <w:kern w:val="0"/>
                <w:sz w:val="32"/>
                <w:szCs w:val="32"/>
                <w:u w:val="none"/>
                <w:lang w:val="en-US" w:eastAsia="zh-CN" w:bidi="ar"/>
                <w14:textFill>
                  <w14:solidFill>
                    <w14:schemeClr w14:val="tx1"/>
                  </w14:solidFill>
                </w14:textFill>
              </w:rPr>
              <w:t>合计</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7B507">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1320</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12B86">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D5184">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pP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6FA23">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pPr>
          </w:p>
        </w:tc>
      </w:tr>
      <w:tr w14:paraId="20DC5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5F763518">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pPr>
            <w: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t>总价：大写：</w:t>
            </w:r>
            <w:r>
              <w:rPr>
                <w:rFonts w:hint="eastAsia" w:ascii="仿宋" w:hAnsi="仿宋" w:eastAsia="仿宋" w:cs="仿宋"/>
                <w:b/>
                <w:bCs/>
                <w:i w:val="0"/>
                <w:iCs w:val="0"/>
                <w:color w:val="000000" w:themeColor="text1"/>
                <w:kern w:val="0"/>
                <w:sz w:val="24"/>
                <w:szCs w:val="24"/>
                <w:u w:val="single"/>
                <w:lang w:val="en-US" w:eastAsia="zh-CN" w:bidi="ar"/>
                <w14:textFill>
                  <w14:solidFill>
                    <w14:schemeClr w14:val="tx1"/>
                  </w14:solidFill>
                </w14:textFill>
              </w:rPr>
              <w:t xml:space="preserve">     </w:t>
            </w:r>
            <w: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t>小写：</w:t>
            </w:r>
            <w:r>
              <w:rPr>
                <w:rFonts w:hint="eastAsia" w:ascii="仿宋" w:hAnsi="仿宋" w:eastAsia="仿宋" w:cs="仿宋"/>
                <w:b/>
                <w:bCs/>
                <w:i w:val="0"/>
                <w:iCs w:val="0"/>
                <w:color w:val="000000" w:themeColor="text1"/>
                <w:kern w:val="0"/>
                <w:sz w:val="24"/>
                <w:szCs w:val="24"/>
                <w:u w:val="single"/>
                <w:lang w:val="en-US" w:eastAsia="zh-CN" w:bidi="ar"/>
                <w14:textFill>
                  <w14:solidFill>
                    <w14:schemeClr w14:val="tx1"/>
                  </w14:solidFill>
                </w14:textFill>
              </w:rPr>
              <w:t xml:space="preserve">     </w:t>
            </w:r>
          </w:p>
        </w:tc>
      </w:tr>
    </w:tbl>
    <w:p w14:paraId="0FE572F4">
      <w:pPr>
        <w:keepNext w:val="0"/>
        <w:keepLines w:val="0"/>
        <w:pageBreakBefore w:val="0"/>
        <w:widowControl w:val="0"/>
        <w:kinsoku/>
        <w:wordWrap/>
        <w:overflowPunct/>
        <w:topLinePunct w:val="0"/>
        <w:autoSpaceDE/>
        <w:autoSpaceDN/>
        <w:bidi w:val="0"/>
        <w:adjustRightInd w:val="0"/>
        <w:snapToGrid w:val="0"/>
        <w:spacing w:beforeLines="50" w:line="360" w:lineRule="auto"/>
        <w:ind w:left="0" w:leftChars="0" w:firstLine="480" w:firstLineChars="200"/>
        <w:jc w:val="left"/>
        <w:textAlignment w:val="auto"/>
        <w:rPr>
          <w:rFonts w:hint="eastAsia" w:ascii="仿宋" w:hAnsi="仿宋" w:eastAsia="仿宋" w:cs="仿宋"/>
          <w:color w:val="000000" w:themeColor="text1"/>
          <w:sz w:val="24"/>
          <w14:textFill>
            <w14:solidFill>
              <w14:schemeClr w14:val="tx1"/>
            </w14:solidFill>
          </w14:textFill>
        </w:rPr>
      </w:pPr>
    </w:p>
    <w:tbl>
      <w:tblPr>
        <w:tblStyle w:val="4"/>
        <w:tblW w:w="493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6"/>
        <w:gridCol w:w="658"/>
        <w:gridCol w:w="658"/>
        <w:gridCol w:w="1176"/>
        <w:gridCol w:w="3364"/>
        <w:gridCol w:w="579"/>
        <w:gridCol w:w="437"/>
        <w:gridCol w:w="437"/>
        <w:gridCol w:w="438"/>
      </w:tblGrid>
      <w:tr w14:paraId="00E5A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000" w:type="pct"/>
            <w:gridSpan w:val="9"/>
            <w:tcBorders>
              <w:top w:val="nil"/>
              <w:left w:val="single" w:color="000000" w:sz="4" w:space="0"/>
              <w:bottom w:val="nil"/>
              <w:right w:val="nil"/>
            </w:tcBorders>
            <w:shd w:val="clear" w:color="auto" w:fill="auto"/>
            <w:vAlign w:val="center"/>
          </w:tcPr>
          <w:p w14:paraId="2AD0E43C">
            <w:pPr>
              <w:keepNext w:val="0"/>
              <w:keepLines w:val="0"/>
              <w:widowControl/>
              <w:suppressLineNumbers w:val="0"/>
              <w:jc w:val="center"/>
              <w:textAlignment w:val="center"/>
              <w:rPr>
                <w:rFonts w:hint="eastAsia" w:ascii="微软雅黑" w:hAnsi="微软雅黑" w:eastAsia="微软雅黑" w:cs="微软雅黑"/>
                <w:b/>
                <w:bCs/>
                <w:i w:val="0"/>
                <w:iCs w:val="0"/>
                <w:color w:val="000000" w:themeColor="text1"/>
                <w:kern w:val="0"/>
                <w:sz w:val="36"/>
                <w:szCs w:val="36"/>
                <w:u w:val="none"/>
                <w:lang w:val="en-US" w:eastAsia="zh-CN" w:bidi="ar"/>
                <w14:textFill>
                  <w14:solidFill>
                    <w14:schemeClr w14:val="tx1"/>
                  </w14:solidFill>
                </w14:textFill>
              </w:rPr>
            </w:pPr>
            <w:r>
              <w:rPr>
                <w:rFonts w:hint="eastAsia" w:ascii="微软雅黑" w:hAnsi="微软雅黑" w:eastAsia="微软雅黑" w:cs="微软雅黑"/>
                <w:b/>
                <w:bCs/>
                <w:i w:val="0"/>
                <w:iCs w:val="0"/>
                <w:color w:val="000000" w:themeColor="text1"/>
                <w:kern w:val="0"/>
                <w:sz w:val="36"/>
                <w:szCs w:val="36"/>
                <w:u w:val="none"/>
                <w:lang w:val="en-US" w:eastAsia="zh-CN" w:bidi="ar"/>
                <w14:textFill>
                  <w14:solidFill>
                    <w14:schemeClr w14:val="tx1"/>
                  </w14:solidFill>
                </w14:textFill>
              </w:rPr>
              <w:t>2026年度富平县食用农产品检验检测明细表</w:t>
            </w:r>
          </w:p>
        </w:tc>
      </w:tr>
      <w:tr w14:paraId="0E41E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DCE20">
            <w:pPr>
              <w:keepNext w:val="0"/>
              <w:keepLines w:val="0"/>
              <w:widowControl/>
              <w:suppressLineNumbers w:val="0"/>
              <w:jc w:val="center"/>
              <w:textAlignment w:val="center"/>
              <w:rPr>
                <w:rFonts w:ascii="黑体" w:hAnsi="宋体" w:eastAsia="黑体" w:cs="黑体"/>
                <w:i w:val="0"/>
                <w:iCs w:val="0"/>
                <w:color w:val="000000" w:themeColor="text1"/>
                <w:sz w:val="22"/>
                <w:szCs w:val="22"/>
                <w:u w:val="none"/>
                <w14:textFill>
                  <w14:solidFill>
                    <w14:schemeClr w14:val="tx1"/>
                  </w14:solidFill>
                </w14:textFill>
              </w:rPr>
            </w:pPr>
            <w:r>
              <w:rPr>
                <w:rFonts w:hint="eastAsia" w:ascii="黑体" w:hAnsi="宋体" w:eastAsia="黑体" w:cs="黑体"/>
                <w:i w:val="0"/>
                <w:iCs w:val="0"/>
                <w:color w:val="000000" w:themeColor="text1"/>
                <w:kern w:val="0"/>
                <w:sz w:val="22"/>
                <w:szCs w:val="22"/>
                <w:u w:val="none"/>
                <w:lang w:val="en-US" w:eastAsia="zh-CN" w:bidi="ar"/>
                <w14:textFill>
                  <w14:solidFill>
                    <w14:schemeClr w14:val="tx1"/>
                  </w14:solidFill>
                </w14:textFill>
              </w:rPr>
              <w:t>序号</w:t>
            </w:r>
          </w:p>
        </w:tc>
        <w:tc>
          <w:tcPr>
            <w:tcW w:w="235" w:type="pct"/>
            <w:tcBorders>
              <w:top w:val="single" w:color="000000" w:sz="4" w:space="0"/>
              <w:left w:val="nil"/>
              <w:bottom w:val="single" w:color="000000" w:sz="4" w:space="0"/>
              <w:right w:val="single" w:color="000000" w:sz="4" w:space="0"/>
            </w:tcBorders>
            <w:shd w:val="clear" w:color="auto" w:fill="auto"/>
            <w:vAlign w:val="center"/>
          </w:tcPr>
          <w:p w14:paraId="4905258A">
            <w:pPr>
              <w:keepNext w:val="0"/>
              <w:keepLines w:val="0"/>
              <w:widowControl/>
              <w:suppressLineNumbers w:val="0"/>
              <w:jc w:val="center"/>
              <w:textAlignment w:val="center"/>
              <w:rPr>
                <w:rFonts w:hint="eastAsia" w:ascii="黑体" w:hAnsi="宋体" w:eastAsia="黑体" w:cs="黑体"/>
                <w:b/>
                <w:bCs/>
                <w:i w:val="0"/>
                <w:iCs w:val="0"/>
                <w:color w:val="000000" w:themeColor="text1"/>
                <w:sz w:val="22"/>
                <w:szCs w:val="22"/>
                <w:u w:val="none"/>
                <w14:textFill>
                  <w14:solidFill>
                    <w14:schemeClr w14:val="tx1"/>
                  </w14:solidFill>
                </w14:textFill>
              </w:rPr>
            </w:pPr>
            <w:r>
              <w:rPr>
                <w:rFonts w:hint="eastAsia"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t>食品大类</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4D61D">
            <w:pPr>
              <w:keepNext w:val="0"/>
              <w:keepLines w:val="0"/>
              <w:widowControl/>
              <w:suppressLineNumbers w:val="0"/>
              <w:jc w:val="center"/>
              <w:textAlignment w:val="center"/>
              <w:rPr>
                <w:rFonts w:hint="eastAsia" w:ascii="黑体" w:hAnsi="宋体" w:eastAsia="黑体" w:cs="黑体"/>
                <w:b/>
                <w:bCs/>
                <w:i w:val="0"/>
                <w:iCs w:val="0"/>
                <w:color w:val="000000" w:themeColor="text1"/>
                <w:sz w:val="22"/>
                <w:szCs w:val="22"/>
                <w:u w:val="none"/>
                <w14:textFill>
                  <w14:solidFill>
                    <w14:schemeClr w14:val="tx1"/>
                  </w14:solidFill>
                </w14:textFill>
              </w:rPr>
            </w:pPr>
            <w:r>
              <w:rPr>
                <w:rFonts w:hint="eastAsia"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t>食品品种</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AEE72">
            <w:pPr>
              <w:keepNext w:val="0"/>
              <w:keepLines w:val="0"/>
              <w:widowControl/>
              <w:suppressLineNumbers w:val="0"/>
              <w:jc w:val="center"/>
              <w:textAlignment w:val="center"/>
              <w:rPr>
                <w:rFonts w:hint="eastAsia" w:ascii="黑体" w:hAnsi="宋体" w:eastAsia="黑体" w:cs="黑体"/>
                <w:b/>
                <w:bCs/>
                <w:i w:val="0"/>
                <w:iCs w:val="0"/>
                <w:color w:val="000000" w:themeColor="text1"/>
                <w:sz w:val="22"/>
                <w:szCs w:val="22"/>
                <w:u w:val="none"/>
                <w14:textFill>
                  <w14:solidFill>
                    <w14:schemeClr w14:val="tx1"/>
                  </w14:solidFill>
                </w14:textFill>
              </w:rPr>
            </w:pPr>
            <w:r>
              <w:rPr>
                <w:rFonts w:hint="eastAsia"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t>食品细类</w:t>
            </w:r>
          </w:p>
        </w:tc>
        <w:tc>
          <w:tcPr>
            <w:tcW w:w="23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AC9217">
            <w:pPr>
              <w:keepNext w:val="0"/>
              <w:keepLines w:val="0"/>
              <w:widowControl/>
              <w:suppressLineNumbers w:val="0"/>
              <w:jc w:val="center"/>
              <w:textAlignment w:val="center"/>
              <w:rPr>
                <w:rFonts w:hint="eastAsia" w:ascii="黑体" w:hAnsi="宋体" w:eastAsia="黑体" w:cs="黑体"/>
                <w:b/>
                <w:bCs/>
                <w:i w:val="0"/>
                <w:iCs w:val="0"/>
                <w:color w:val="000000" w:themeColor="text1"/>
                <w:sz w:val="22"/>
                <w:szCs w:val="22"/>
                <w:u w:val="none"/>
                <w14:textFill>
                  <w14:solidFill>
                    <w14:schemeClr w14:val="tx1"/>
                  </w14:solidFill>
                </w14:textFill>
              </w:rPr>
            </w:pPr>
            <w:r>
              <w:rPr>
                <w:rFonts w:hint="eastAsia"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t>检验项目</w:t>
            </w: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E9E444">
            <w:pPr>
              <w:keepNext w:val="0"/>
              <w:keepLines w:val="0"/>
              <w:widowControl/>
              <w:suppressLineNumbers w:val="0"/>
              <w:jc w:val="center"/>
              <w:textAlignment w:val="center"/>
              <w:rPr>
                <w:rFonts w:hint="eastAsia" w:ascii="黑体" w:hAnsi="宋体" w:eastAsia="黑体" w:cs="黑体"/>
                <w:b/>
                <w:bCs/>
                <w:i w:val="0"/>
                <w:iCs w:val="0"/>
                <w:color w:val="000000" w:themeColor="text1"/>
                <w:sz w:val="22"/>
                <w:szCs w:val="22"/>
                <w:u w:val="none"/>
                <w14:textFill>
                  <w14:solidFill>
                    <w14:schemeClr w14:val="tx1"/>
                  </w14:solidFill>
                </w14:textFill>
              </w:rPr>
            </w:pPr>
            <w:r>
              <w:rPr>
                <w:rFonts w:hint="eastAsia"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t>计划抽样批次</w:t>
            </w:r>
          </w:p>
        </w:tc>
        <w:tc>
          <w:tcPr>
            <w:tcW w:w="398" w:type="pct"/>
            <w:vMerge w:val="restart"/>
            <w:tcBorders>
              <w:top w:val="single" w:color="000000" w:sz="4" w:space="0"/>
              <w:left w:val="single" w:color="000000" w:sz="4" w:space="0"/>
              <w:right w:val="single" w:color="000000" w:sz="4" w:space="0"/>
            </w:tcBorders>
            <w:shd w:val="clear" w:color="auto" w:fill="auto"/>
            <w:vAlign w:val="center"/>
          </w:tcPr>
          <w:p w14:paraId="1CB78BEE">
            <w:pPr>
              <w:keepNext w:val="0"/>
              <w:keepLines w:val="0"/>
              <w:widowControl/>
              <w:suppressLineNumbers w:val="0"/>
              <w:jc w:val="center"/>
              <w:textAlignment w:val="center"/>
              <w:rPr>
                <w:rFonts w:hint="default"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pPr>
            <w:r>
              <w:rPr>
                <w:rFonts w:hint="eastAsia"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t>单价</w:t>
            </w:r>
          </w:p>
        </w:tc>
        <w:tc>
          <w:tcPr>
            <w:tcW w:w="364" w:type="pct"/>
            <w:vMerge w:val="restart"/>
            <w:tcBorders>
              <w:top w:val="single" w:color="000000" w:sz="4" w:space="0"/>
              <w:left w:val="single" w:color="000000" w:sz="4" w:space="0"/>
              <w:right w:val="single" w:color="000000" w:sz="4" w:space="0"/>
            </w:tcBorders>
            <w:shd w:val="clear" w:color="auto" w:fill="auto"/>
            <w:vAlign w:val="center"/>
          </w:tcPr>
          <w:p w14:paraId="14295665">
            <w:pPr>
              <w:keepNext w:val="0"/>
              <w:keepLines w:val="0"/>
              <w:widowControl/>
              <w:suppressLineNumbers w:val="0"/>
              <w:jc w:val="center"/>
              <w:textAlignment w:val="center"/>
              <w:rPr>
                <w:rFonts w:hint="default"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pPr>
            <w:r>
              <w:rPr>
                <w:rFonts w:hint="eastAsia"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t>总价</w:t>
            </w:r>
          </w:p>
        </w:tc>
        <w:tc>
          <w:tcPr>
            <w:tcW w:w="281" w:type="pct"/>
            <w:vMerge w:val="restart"/>
            <w:tcBorders>
              <w:top w:val="single" w:color="000000" w:sz="4" w:space="0"/>
              <w:left w:val="single" w:color="000000" w:sz="4" w:space="0"/>
              <w:right w:val="single" w:color="000000" w:sz="4" w:space="0"/>
            </w:tcBorders>
            <w:shd w:val="clear" w:color="auto" w:fill="auto"/>
            <w:vAlign w:val="center"/>
          </w:tcPr>
          <w:p w14:paraId="3FEC60B8">
            <w:pPr>
              <w:keepNext w:val="0"/>
              <w:keepLines w:val="0"/>
              <w:widowControl/>
              <w:suppressLineNumbers w:val="0"/>
              <w:jc w:val="center"/>
              <w:textAlignment w:val="center"/>
              <w:rPr>
                <w:rFonts w:hint="default"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pPr>
            <w:r>
              <w:rPr>
                <w:rFonts w:hint="eastAsia"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t>备注</w:t>
            </w:r>
          </w:p>
        </w:tc>
      </w:tr>
      <w:tr w14:paraId="23473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68601">
            <w:pPr>
              <w:jc w:val="center"/>
              <w:rPr>
                <w:rFonts w:hint="eastAsia" w:ascii="黑体" w:hAnsi="宋体" w:eastAsia="黑体" w:cs="黑体"/>
                <w:i w:val="0"/>
                <w:iCs w:val="0"/>
                <w:color w:val="000000" w:themeColor="text1"/>
                <w:sz w:val="22"/>
                <w:szCs w:val="22"/>
                <w:u w:val="none"/>
                <w14:textFill>
                  <w14:solidFill>
                    <w14:schemeClr w14:val="tx1"/>
                  </w14:solidFill>
                </w14:textFill>
              </w:rPr>
            </w:pPr>
          </w:p>
        </w:tc>
        <w:tc>
          <w:tcPr>
            <w:tcW w:w="235" w:type="pct"/>
            <w:tcBorders>
              <w:top w:val="single" w:color="000000" w:sz="4" w:space="0"/>
              <w:left w:val="nil"/>
              <w:bottom w:val="single" w:color="000000" w:sz="4" w:space="0"/>
              <w:right w:val="single" w:color="000000" w:sz="4" w:space="0"/>
            </w:tcBorders>
            <w:shd w:val="clear" w:color="auto" w:fill="auto"/>
            <w:vAlign w:val="center"/>
          </w:tcPr>
          <w:p w14:paraId="5AC06889">
            <w:pPr>
              <w:keepNext w:val="0"/>
              <w:keepLines w:val="0"/>
              <w:widowControl/>
              <w:suppressLineNumbers w:val="0"/>
              <w:jc w:val="center"/>
              <w:textAlignment w:val="center"/>
              <w:rPr>
                <w:rFonts w:hint="eastAsia" w:ascii="黑体" w:hAnsi="宋体" w:eastAsia="黑体" w:cs="黑体"/>
                <w:b/>
                <w:bCs/>
                <w:i w:val="0"/>
                <w:iCs w:val="0"/>
                <w:color w:val="000000" w:themeColor="text1"/>
                <w:sz w:val="22"/>
                <w:szCs w:val="22"/>
                <w:u w:val="none"/>
                <w14:textFill>
                  <w14:solidFill>
                    <w14:schemeClr w14:val="tx1"/>
                  </w14:solidFill>
                </w14:textFill>
              </w:rPr>
            </w:pPr>
            <w:r>
              <w:rPr>
                <w:rFonts w:hint="eastAsia"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t>（一级）</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030A3">
            <w:pPr>
              <w:keepNext w:val="0"/>
              <w:keepLines w:val="0"/>
              <w:widowControl/>
              <w:suppressLineNumbers w:val="0"/>
              <w:jc w:val="center"/>
              <w:textAlignment w:val="center"/>
              <w:rPr>
                <w:rFonts w:hint="eastAsia" w:ascii="黑体" w:hAnsi="宋体" w:eastAsia="黑体" w:cs="黑体"/>
                <w:b/>
                <w:bCs/>
                <w:i w:val="0"/>
                <w:iCs w:val="0"/>
                <w:color w:val="000000" w:themeColor="text1"/>
                <w:sz w:val="22"/>
                <w:szCs w:val="22"/>
                <w:u w:val="none"/>
                <w14:textFill>
                  <w14:solidFill>
                    <w14:schemeClr w14:val="tx1"/>
                  </w14:solidFill>
                </w14:textFill>
              </w:rPr>
            </w:pPr>
            <w:r>
              <w:rPr>
                <w:rFonts w:hint="eastAsia"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t>（二级）</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80BF3">
            <w:pPr>
              <w:keepNext w:val="0"/>
              <w:keepLines w:val="0"/>
              <w:widowControl/>
              <w:suppressLineNumbers w:val="0"/>
              <w:jc w:val="center"/>
              <w:textAlignment w:val="center"/>
              <w:rPr>
                <w:rFonts w:hint="eastAsia" w:ascii="黑体" w:hAnsi="宋体" w:eastAsia="黑体" w:cs="黑体"/>
                <w:b/>
                <w:bCs/>
                <w:i w:val="0"/>
                <w:iCs w:val="0"/>
                <w:color w:val="000000" w:themeColor="text1"/>
                <w:sz w:val="22"/>
                <w:szCs w:val="22"/>
                <w:u w:val="none"/>
                <w14:textFill>
                  <w14:solidFill>
                    <w14:schemeClr w14:val="tx1"/>
                  </w14:solidFill>
                </w14:textFill>
              </w:rPr>
            </w:pPr>
            <w:r>
              <w:rPr>
                <w:rFonts w:hint="eastAsia" w:ascii="黑体" w:hAnsi="宋体" w:eastAsia="黑体" w:cs="黑体"/>
                <w:b/>
                <w:bCs/>
                <w:i w:val="0"/>
                <w:iCs w:val="0"/>
                <w:color w:val="000000" w:themeColor="text1"/>
                <w:kern w:val="0"/>
                <w:sz w:val="22"/>
                <w:szCs w:val="22"/>
                <w:u w:val="none"/>
                <w:lang w:val="en-US" w:eastAsia="zh-CN" w:bidi="ar"/>
                <w14:textFill>
                  <w14:solidFill>
                    <w14:schemeClr w14:val="tx1"/>
                  </w14:solidFill>
                </w14:textFill>
              </w:rPr>
              <w:t>（三级）</w:t>
            </w:r>
          </w:p>
        </w:tc>
        <w:tc>
          <w:tcPr>
            <w:tcW w:w="2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60439">
            <w:pPr>
              <w:jc w:val="center"/>
              <w:rPr>
                <w:rFonts w:hint="eastAsia" w:ascii="黑体" w:hAnsi="宋体" w:eastAsia="黑体" w:cs="黑体"/>
                <w:b/>
                <w:bCs/>
                <w:i w:val="0"/>
                <w:iCs w:val="0"/>
                <w:color w:val="000000" w:themeColor="text1"/>
                <w:sz w:val="22"/>
                <w:szCs w:val="22"/>
                <w:u w:val="none"/>
                <w14:textFill>
                  <w14:solidFill>
                    <w14:schemeClr w14:val="tx1"/>
                  </w14:solidFill>
                </w14:textFill>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456B1">
            <w:pPr>
              <w:jc w:val="center"/>
              <w:rPr>
                <w:rFonts w:hint="eastAsia" w:ascii="黑体" w:hAnsi="宋体" w:eastAsia="黑体" w:cs="黑体"/>
                <w:b/>
                <w:bCs/>
                <w:i w:val="0"/>
                <w:iCs w:val="0"/>
                <w:color w:val="000000" w:themeColor="text1"/>
                <w:sz w:val="22"/>
                <w:szCs w:val="22"/>
                <w:u w:val="none"/>
                <w14:textFill>
                  <w14:solidFill>
                    <w14:schemeClr w14:val="tx1"/>
                  </w14:solidFill>
                </w14:textFill>
              </w:rPr>
            </w:pPr>
          </w:p>
        </w:tc>
        <w:tc>
          <w:tcPr>
            <w:tcW w:w="398" w:type="pct"/>
            <w:vMerge w:val="continue"/>
            <w:tcBorders>
              <w:left w:val="single" w:color="000000" w:sz="4" w:space="0"/>
              <w:bottom w:val="single" w:color="000000" w:sz="4" w:space="0"/>
              <w:right w:val="single" w:color="000000" w:sz="4" w:space="0"/>
            </w:tcBorders>
            <w:shd w:val="clear" w:color="auto" w:fill="auto"/>
            <w:vAlign w:val="center"/>
          </w:tcPr>
          <w:p w14:paraId="2CA4D756">
            <w:pPr>
              <w:jc w:val="center"/>
              <w:rPr>
                <w:rFonts w:hint="eastAsia" w:ascii="黑体" w:hAnsi="宋体" w:eastAsia="黑体" w:cs="黑体"/>
                <w:b/>
                <w:bCs/>
                <w:i w:val="0"/>
                <w:iCs w:val="0"/>
                <w:color w:val="000000" w:themeColor="text1"/>
                <w:sz w:val="22"/>
                <w:szCs w:val="22"/>
                <w:u w:val="none"/>
                <w14:textFill>
                  <w14:solidFill>
                    <w14:schemeClr w14:val="tx1"/>
                  </w14:solidFill>
                </w14:textFill>
              </w:rPr>
            </w:pPr>
          </w:p>
        </w:tc>
        <w:tc>
          <w:tcPr>
            <w:tcW w:w="364" w:type="pct"/>
            <w:vMerge w:val="continue"/>
            <w:tcBorders>
              <w:left w:val="single" w:color="000000" w:sz="4" w:space="0"/>
              <w:bottom w:val="single" w:color="000000" w:sz="4" w:space="0"/>
              <w:right w:val="single" w:color="000000" w:sz="4" w:space="0"/>
            </w:tcBorders>
            <w:shd w:val="clear" w:color="auto" w:fill="auto"/>
            <w:vAlign w:val="center"/>
          </w:tcPr>
          <w:p w14:paraId="1B7B6EFE">
            <w:pPr>
              <w:keepNext w:val="0"/>
              <w:keepLines w:val="0"/>
              <w:widowControl/>
              <w:suppressLineNumbers w:val="0"/>
              <w:jc w:val="center"/>
              <w:textAlignment w:val="center"/>
              <w:rPr>
                <w:rFonts w:hint="eastAsia" w:ascii="黑体" w:hAnsi="宋体" w:eastAsia="黑体" w:cs="黑体"/>
                <w:b/>
                <w:bCs/>
                <w:i w:val="0"/>
                <w:iCs w:val="0"/>
                <w:color w:val="000000" w:themeColor="text1"/>
                <w:sz w:val="22"/>
                <w:szCs w:val="22"/>
                <w:u w:val="none"/>
                <w14:textFill>
                  <w14:solidFill>
                    <w14:schemeClr w14:val="tx1"/>
                  </w14:solidFill>
                </w14:textFill>
              </w:rPr>
            </w:pPr>
          </w:p>
        </w:tc>
        <w:tc>
          <w:tcPr>
            <w:tcW w:w="281" w:type="pct"/>
            <w:vMerge w:val="continue"/>
            <w:tcBorders>
              <w:left w:val="single" w:color="000000" w:sz="4" w:space="0"/>
              <w:bottom w:val="single" w:color="000000" w:sz="4" w:space="0"/>
              <w:right w:val="single" w:color="000000" w:sz="4" w:space="0"/>
            </w:tcBorders>
            <w:shd w:val="clear" w:color="auto" w:fill="auto"/>
            <w:vAlign w:val="center"/>
          </w:tcPr>
          <w:p w14:paraId="394A2AB7">
            <w:pPr>
              <w:jc w:val="center"/>
              <w:rPr>
                <w:rFonts w:hint="eastAsia" w:ascii="黑体" w:hAnsi="宋体" w:eastAsia="黑体" w:cs="黑体"/>
                <w:b/>
                <w:bCs/>
                <w:i w:val="0"/>
                <w:iCs w:val="0"/>
                <w:color w:val="000000" w:themeColor="text1"/>
                <w:sz w:val="22"/>
                <w:szCs w:val="22"/>
                <w:u w:val="none"/>
                <w14:textFill>
                  <w14:solidFill>
                    <w14:schemeClr w14:val="tx1"/>
                  </w14:solidFill>
                </w14:textFill>
              </w:rPr>
            </w:pPr>
          </w:p>
        </w:tc>
      </w:tr>
      <w:tr w14:paraId="35FB5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8"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B1C2B">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w:t>
            </w:r>
          </w:p>
        </w:tc>
        <w:tc>
          <w:tcPr>
            <w:tcW w:w="2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26AA1">
            <w:pPr>
              <w:keepNext w:val="0"/>
              <w:keepLines w:val="0"/>
              <w:widowControl/>
              <w:suppressLineNumbers w:val="0"/>
              <w:jc w:val="center"/>
              <w:textAlignment w:val="center"/>
              <w:rPr>
                <w:rFonts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畜禽肉及副产品</w:t>
            </w: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84D7E8">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畜肉</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17E38">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猪肉</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B31E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恩诺沙星、氟苯尼考、磺胺类(总量)、氯霉素、沙丁胺醇、多西环素、林可霉素、土霉素/金霉素/四环素(组合含量)、水分</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CB47D">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30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116F1">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C87AF">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A0399">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3FA73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5AE06">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CFC81">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84692">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585AA">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牛肉</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3147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地塞米松、恩诺沙星、磺胺类(总量)、克伦特罗、氯霉素、氟苯尼考、甲氧苄啶、氟尼辛、水分</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C10F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25</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CB458">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68C18">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399AE">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1713B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8"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12F6">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5D1B7">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BD703">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9AE7F">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羊肉</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9C539">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恩诺沙星、磺胺类(总量)、克伦特罗、氯霉素、水分、呋喃西林代谢物、莱克多巴胺</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3AD12">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25</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3F405">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48DA5">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69E84">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1F176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69036">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15645">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6E04B">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畜副产品</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56F56">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猪肝</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99422">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恩诺沙星、磺胺类(总量)、甲氧苄啶、镉(以Cd计)、呋喃唑酮代谢物、呋喃西林代谢物</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B9100">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15</w:t>
            </w:r>
          </w:p>
        </w:tc>
        <w:tc>
          <w:tcPr>
            <w:tcW w:w="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A8360">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5C285">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43A89">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r>
      <w:tr w14:paraId="176F8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76"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3231B">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3777A">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F46E1D">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禽肉</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5D74C">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鸡肉</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460B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多西环素、恩诺沙星、磺胺类(总量)、甲氧苄啶、氯霉素、水分、呋喃唑酮代谢物、呋喃西林代谢物</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0EAB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CEE5D">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93D26">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8DA18">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4CED1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0F2C0">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75418">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C857F">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79B92">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其他禽肉</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FC3A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恩诺沙星、甲硝唑、多西环素、氯霉素、氧氟沙星、磺胺类(总量)、多西环素</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AD621">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15</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74D99">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22319">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08065">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5671F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7C74A">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2</w:t>
            </w:r>
          </w:p>
        </w:tc>
        <w:tc>
          <w:tcPr>
            <w:tcW w:w="2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7AF607">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蔬菜</w:t>
            </w: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E3396A">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豆类蔬菜</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5CE83">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菜豆</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1CDE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噻虫胺、乙酰甲胺磷、甲胺磷、氧乐果、甲氨基阿维菌素苯甲酸盐</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9645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13666">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DC8E7">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27F00">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209C8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DE1FC">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31B61">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33E6D">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FCC9D">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食荚豌豆</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6429C">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吡唑醚菌酯、多菌灵、噻虫胺、烯酰吗啉、乙酰甲胺磷、氧乐果</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5F832">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1DA15">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BB4B5">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18C04">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16575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24685">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6749A">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4B6BC">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75BD6">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豇豆</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A55B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噻虫胺、噻虫嗪、倍硫磷、氧乐果、灭蝇胺、克百威、啶虫脒、毒死蜱</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635B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B38FA">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C8654">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12E6F">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267F4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6"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2F441">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09B93">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9D7A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豆芽</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9323F">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豆芽</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83E89">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4-氯苯氧乙酸钠(以4-氯苯氧乙酸计)、6-苄基腺嘌呤(6-BA)、亚硫酸盐(以SO</w:t>
            </w:r>
            <w:r>
              <w:rPr>
                <w:rFonts w:hint="default" w:ascii="Times New Roman" w:hAnsi="Times New Roman" w:eastAsia="仿宋_GB2312" w:cs="Times New Roman"/>
                <w:i w:val="0"/>
                <w:iCs w:val="0"/>
                <w:color w:val="000000" w:themeColor="text1"/>
                <w:kern w:val="0"/>
                <w:sz w:val="24"/>
                <w:szCs w:val="24"/>
                <w:u w:val="none"/>
                <w:lang w:val="en-US" w:eastAsia="zh-CN" w:bidi="ar"/>
                <w14:textFill>
                  <w14:solidFill>
                    <w14:schemeClr w14:val="tx1"/>
                  </w14:solidFill>
                </w14:textFill>
              </w:rPr>
              <w:t>₂</w:t>
            </w: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计)、总汞(以Hg计)、铅(以Pb计)</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FA02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65778">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11A99">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AF01A">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6D7D7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6"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2585D">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EF68B">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5F5B08">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根茎类和薯芋类蔬菜</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8C953">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胡萝卜</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B1972">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噻虫胺、甲拌磷、氟虫腈、氯氟氰菊酯和高效氯氟氰菊酯、毒死蜱、铅(以Pb计)、乐果、噻虫嗪</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FA0EA">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FB1FC">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47DFD">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6C001">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22758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4"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23E13">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28259">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C2E75">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79A5B">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姜</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1D7A2">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噻虫胺、铅(以Pb计)、镉(以Cd计)、噻虫嗪、毒死蜱、吡虫啉、二氧化硫残留量、甲拌磷、克百威、六六六</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4623F">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2D31B">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D8839">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1C8BC">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27274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4"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10BC3">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D6FDB">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FF4C3">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18C93">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萝卜</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B3585">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噻虫嗪、氯氟氰菊酯和高效氯氟氰菊酯、毒死蜱、甲胺磷、甲拌磷、噻虫胺</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25B5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02F84">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599D4">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149ED">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433D8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ED28E">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D2B34">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B3C53">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0414B">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山药</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34453">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咪鲜胺和咪鲜胺锰盐、氯氟氰菊酯和高效氯氟氰菊酯、毒死蜱、铅(以Pb计)、涕灭威</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6779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B5F28">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70783">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EE0DD">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701F1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12535">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C026A">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543D8">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鳞茎类</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92283">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葱</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63E57">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噻虫嗪、丙环唑、戊唑醇、镉(以Cd计)、毒死蜱、氯氟氰菊酯和高效氯氰氰菊酯、铅(以Pb计)</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96EAC">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11E10">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90524">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C2A75">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59C86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6"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81C7A">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E09D1">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8DE5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蔬菜</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14769">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韭菜</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D683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镉(以Cd计)、毒死蜱、氟氯氰菊酯和高效氟氯氰菊酯、克百威、氧乐果、乙酰甲胺磷、阿维菌素、敌敌畏、多菌灵</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89B4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63868">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030D6">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5F0DD">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2645A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EC27A">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A02CF">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C3003A">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茄果类</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2A546">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茄子</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42936">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噻虫胺、吡硫磷、噻虫嗪、毒死蜱、吡唑醚菌酯、甲氨基阿维菌素苯甲酸盐</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99CDF">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A4A6E">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7E39A">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8BC76">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1394E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6"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31F47">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689D4">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73A2D">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9AA73">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辣椒</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343B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噻虫胺、镉(以Cd计)、啶虫脒、毒死蜱、呋虫胺、氧乐果、噻虫嗪、倍硫磷、铅(以Pb计)、吡虫啉</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1B63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30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3025E">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DA565">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4B4C7">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1DD30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2"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DB977">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EAAB7">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D6B86">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蔬菜</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D93D7">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甜椒</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B67B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噻虫胺、吡虫啉、毒死蜱、噻虫嗪、氧乐果、克百威、</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974F3">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15</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D6E87">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E73E2">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9AC50">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73E49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01EBE">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3</w:t>
            </w:r>
          </w:p>
        </w:tc>
        <w:tc>
          <w:tcPr>
            <w:tcW w:w="2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F2E5B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蔬菜</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BF7A1">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叶菜类</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8723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油麦菜</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28DBA">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阿维菌素、甲氨基阿维菌素苯甲酸盐、腈菌唑、毒死蜱、啶虫脒、氟虫腈</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0A407">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9F97C">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2993F">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FBE08">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2E315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4"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E142D">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ED6A7">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32CF1">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叶菜类</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9BE05">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普通白菜</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3AC2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毒死蜱、啶虫脒、氟虫腈、阿维菌素、吡虫啉、敌敌畏、甲氨基阿维菌素苯甲酸盐</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48495">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FF41A">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9D510">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06E3C">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16220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2"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F4AF0">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CD14A">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D175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蔬菜</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58B3A">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芹菜</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E1BFB">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噻虫胺、毒死蜱、氧乐果、甲拌磷、噻虫嗪、氯氟氰菊酯和高效氯氟氰菊酯、辛硫磷</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9BB9A">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35</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74139">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9C927">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F4323">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0E4ED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BC0BB">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9CDC7">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2C8C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瓜类蔬菜</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D37E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黄瓜</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EB34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噻虫嗪、乙螨唑、阿维菌素、毒死蜱、哒螨灵、敌敌畏、腐霉利、甲氨基阿维菌素苯甲酸盐</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A968F">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25</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F0084">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A05FC">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E3E09">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3F3C9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A97AA">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4</w:t>
            </w:r>
          </w:p>
        </w:tc>
        <w:tc>
          <w:tcPr>
            <w:tcW w:w="2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97C34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水产品</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440A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淡水产品</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6EEC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淡水鱼</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25D12">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恩诺沙星、孔雀石绿、磺胺类(总量)、氧氟沙星、呋喃唑酮代谢物、挥发性盐基氮、镉(以Cd计)、氯霉素</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1165D">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15</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FBA5F">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285F9">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0E11C">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585A4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8"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7977E">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BD63D">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E205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其他水产品</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B96C7">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其他水产品(重点品种：牛蛙 )</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6F507">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恩诺沙星、氟苯尼考、氧</w:t>
            </w: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氟沙星、呋喃唑酮代谢物</w:t>
            </w: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、镉(以Cd计)</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B5C95">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15</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DE209">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033E0">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F6E88">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1B489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8"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99249">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4</w:t>
            </w:r>
          </w:p>
        </w:tc>
        <w:tc>
          <w:tcPr>
            <w:tcW w:w="2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AF4901">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水果类</w:t>
            </w: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BE8903">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柑橘类水果</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E7E97">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橙</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8137D">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氯唑磷、联苯菊酯、苯醚甲环唑、丙溴磷、2,4-滴和2,4-滴钠盐、克百威、三唑磷</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48267">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C07EA">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00646">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5D28E">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4AF1A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0E176">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053B5">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E428D">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6A7DF">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柑、橘</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952B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联苯菊酯、苯醚甲环唑、丙溴磷、2,4-滴和2,4-滴钠盐、氯氟氰菊酯和高效氯氟氰菊酯、三唑磷、氧乐果、甲拌磷</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A9E8F">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30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89D69">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33294">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72824">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65FBD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6"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B65D4">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B02A2">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3984D1">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浆果和其他小型</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13E6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猕猴桃</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6FCCB">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氯吡脲、多菌灵、敌敌畏、氧乐果</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98CAF">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15</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D63B7">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A5B9C">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B4BF7">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5B932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1F285">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106F5">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255CE">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AAAF2">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草莓</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F6762">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烯酰吗啉、克百威、氧乐果</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882E7">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15</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C5342">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44122">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5424A">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34752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42D31">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77E31">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C3B7E">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36F3C">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桑葚</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C70F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脱氢乙酸及其钠盐(以脱氢乙酸计)、糖精钠(以糖精计)、甜蜜素(以环己基氨基磺酸计)、多菌灵</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CF105">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5DA23">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C2875">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F28E3">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4D9A1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8"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2A932">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DB663">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0EB40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热带和亚热带水果</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A1E7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香蕉</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F0EE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吡虫啉、噻虫嗪、噻虫胺、腈苯唑、氟唑菌酰胺</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A6701">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30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7CD3F">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9CD42">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E0474">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5BF66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89971">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64C3E">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A9C2C">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42B7C">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芒果</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5F66D">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吡唑醚菌酯、噻虫胺、戊唑醇、苯醚甲环唑、乙酰甲胺磷、噻嗪酮、吡虫啉</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8F5C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BDAF">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C6E4C">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DB345">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1E206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50310">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E5D1C">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84814">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1909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龙眼</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D5EB8">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二氧化硫残留量、氯氰菊酯和高效氯氰菊酯、氧乐果</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C4E8B">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12</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88DD4">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0B8CB">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AB70E">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0AA47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4"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C2285">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2A46B">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5EE69">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8934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杨梅</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7E4DD">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脱氢乙酸及其钠盐(以脱氢乙酸计)、甜蜜素(以环己基氨基磺酸计)、糖精钠(以糖精计)、啶虫眯</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1F3CA">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10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23D03">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180C7">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D3895">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74A3E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4"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66FB4">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5</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1FE36">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鲜蛋</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69839">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鲜蛋</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040AC">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鸡蛋</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A834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多西环素、甲氧苄啶、磺胺类（总量）、甲硝唑、氟苯尼考、地美硝唑、恩诺沙星、托曲珠利</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33F64">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40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7B1F5">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9DA0C">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46AE7">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140E4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6"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CB067">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6</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C849">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生干坚果与籽类</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CA61E">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生干坚果与籽类</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BE00A">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花生</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7D810">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酸价、黄曲霉毒素B</w:t>
            </w:r>
            <w:r>
              <w:rPr>
                <w:rFonts w:hint="default" w:ascii="仿宋_GB2312" w:hAnsi="宋体" w:eastAsia="仿宋_GB2312" w:cs="仿宋_GB2312"/>
                <w:i w:val="0"/>
                <w:iCs w:val="0"/>
                <w:color w:val="000000" w:themeColor="text1"/>
                <w:kern w:val="0"/>
                <w:sz w:val="28"/>
                <w:szCs w:val="28"/>
                <w:u w:val="none"/>
                <w:vertAlign w:val="subscript"/>
                <w:lang w:val="en-US" w:eastAsia="zh-CN" w:bidi="ar"/>
                <w14:textFill>
                  <w14:solidFill>
                    <w14:schemeClr w14:val="tx1"/>
                  </w14:solidFill>
                </w14:textFill>
              </w:rPr>
              <w:t>1、</w:t>
            </w:r>
            <w:r>
              <w:rPr>
                <w:rFonts w:hint="default" w:ascii="仿宋_GB2312" w:hAnsi="宋体" w:eastAsia="仿宋_GB2312" w:cs="仿宋_GB2312"/>
                <w:i w:val="0"/>
                <w:iCs w:val="0"/>
                <w:color w:val="000000" w:themeColor="text1"/>
                <w:kern w:val="0"/>
                <w:sz w:val="36"/>
                <w:szCs w:val="36"/>
                <w:u w:val="none"/>
                <w:vertAlign w:val="subscript"/>
                <w:lang w:val="en-US" w:eastAsia="zh-CN" w:bidi="ar"/>
                <w14:textFill>
                  <w14:solidFill>
                    <w14:schemeClr w14:val="tx1"/>
                  </w14:solidFill>
                </w14:textFill>
              </w:rPr>
              <w:t>过氧化值(以脂肪计)、铅(以Pb计)</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A0061">
            <w:pPr>
              <w:keepNext w:val="0"/>
              <w:keepLines w:val="0"/>
              <w:widowControl/>
              <w:suppressLineNumbers w:val="0"/>
              <w:jc w:val="center"/>
              <w:textAlignment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t>25</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4F9D5">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40F3F">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8C1A7">
            <w:pPr>
              <w:keepNext w:val="0"/>
              <w:keepLines w:val="0"/>
              <w:widowControl/>
              <w:suppressLineNumbers w:val="0"/>
              <w:jc w:val="center"/>
              <w:textAlignment w:val="center"/>
              <w:rPr>
                <w:rFonts w:hint="default" w:ascii="仿宋_GB2312" w:hAnsi="宋体" w:eastAsia="仿宋_GB2312" w:cs="仿宋_GB2312"/>
                <w:i w:val="0"/>
                <w:iCs w:val="0"/>
                <w:color w:val="000000" w:themeColor="text1"/>
                <w:kern w:val="0"/>
                <w:sz w:val="24"/>
                <w:szCs w:val="24"/>
                <w:u w:val="none"/>
                <w:lang w:val="en-US" w:eastAsia="zh-CN" w:bidi="ar"/>
                <w14:textFill>
                  <w14:solidFill>
                    <w14:schemeClr w14:val="tx1"/>
                  </w14:solidFill>
                </w14:textFill>
              </w:rPr>
            </w:pPr>
          </w:p>
        </w:tc>
      </w:tr>
      <w:tr w14:paraId="7E0C5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5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AE5085">
            <w:pPr>
              <w:keepNext w:val="0"/>
              <w:keepLines w:val="0"/>
              <w:widowControl/>
              <w:suppressLineNumbers w:val="0"/>
              <w:jc w:val="center"/>
              <w:textAlignment w:val="center"/>
              <w:rPr>
                <w:rFonts w:hint="eastAsia"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 xml:space="preserve">合计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4EDEA">
            <w:pPr>
              <w:keepNext w:val="0"/>
              <w:keepLines w:val="0"/>
              <w:widowControl/>
              <w:suppressLineNumbers w:val="0"/>
              <w:jc w:val="center"/>
              <w:textAlignment w:val="center"/>
              <w:rPr>
                <w:rFonts w:hint="eastAsia" w:ascii="仿宋" w:hAnsi="仿宋" w:eastAsia="仿宋" w:cs="仿宋"/>
                <w:b/>
                <w:bCs/>
                <w:i w:val="0"/>
                <w:iCs w:val="0"/>
                <w:color w:val="000000" w:themeColor="text1"/>
                <w:sz w:val="24"/>
                <w:szCs w:val="24"/>
                <w:u w:val="none"/>
                <w14:textFill>
                  <w14:solidFill>
                    <w14:schemeClr w14:val="tx1"/>
                  </w14:solidFill>
                </w14:textFill>
              </w:rPr>
            </w:pPr>
            <w: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t>692</w:t>
            </w:r>
          </w:p>
        </w:tc>
        <w:tc>
          <w:tcPr>
            <w:tcW w:w="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92590">
            <w:pPr>
              <w:keepNext w:val="0"/>
              <w:keepLines w:val="0"/>
              <w:widowControl/>
              <w:suppressLineNumbers w:val="0"/>
              <w:jc w:val="center"/>
              <w:textAlignment w:val="cente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CF63A">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9B28A">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pPr>
          </w:p>
        </w:tc>
      </w:tr>
      <w:tr w14:paraId="3E99D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9034E78">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pPr>
            <w: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t>总价：大写：</w:t>
            </w:r>
            <w:r>
              <w:rPr>
                <w:rFonts w:hint="eastAsia" w:ascii="仿宋" w:hAnsi="仿宋" w:eastAsia="仿宋" w:cs="仿宋"/>
                <w:b/>
                <w:bCs/>
                <w:i w:val="0"/>
                <w:iCs w:val="0"/>
                <w:color w:val="000000" w:themeColor="text1"/>
                <w:kern w:val="0"/>
                <w:sz w:val="24"/>
                <w:szCs w:val="24"/>
                <w:u w:val="single"/>
                <w:lang w:val="en-US" w:eastAsia="zh-CN" w:bidi="ar"/>
                <w14:textFill>
                  <w14:solidFill>
                    <w14:schemeClr w14:val="tx1"/>
                  </w14:solidFill>
                </w14:textFill>
              </w:rPr>
              <w:t xml:space="preserve">     </w:t>
            </w:r>
            <w:r>
              <w:rPr>
                <w:rFonts w:hint="eastAsia" w:ascii="仿宋" w:hAnsi="仿宋" w:eastAsia="仿宋" w:cs="仿宋"/>
                <w:b/>
                <w:bCs/>
                <w:i w:val="0"/>
                <w:iCs w:val="0"/>
                <w:color w:val="000000" w:themeColor="text1"/>
                <w:kern w:val="0"/>
                <w:sz w:val="24"/>
                <w:szCs w:val="24"/>
                <w:u w:val="none"/>
                <w:lang w:val="en-US" w:eastAsia="zh-CN" w:bidi="ar"/>
                <w14:textFill>
                  <w14:solidFill>
                    <w14:schemeClr w14:val="tx1"/>
                  </w14:solidFill>
                </w14:textFill>
              </w:rPr>
              <w:t>小写：</w:t>
            </w:r>
            <w:r>
              <w:rPr>
                <w:rFonts w:hint="eastAsia" w:ascii="仿宋" w:hAnsi="仿宋" w:eastAsia="仿宋" w:cs="仿宋"/>
                <w:b/>
                <w:bCs/>
                <w:i w:val="0"/>
                <w:iCs w:val="0"/>
                <w:color w:val="000000" w:themeColor="text1"/>
                <w:kern w:val="0"/>
                <w:sz w:val="24"/>
                <w:szCs w:val="24"/>
                <w:u w:val="single"/>
                <w:lang w:val="en-US" w:eastAsia="zh-CN" w:bidi="ar"/>
                <w14:textFill>
                  <w14:solidFill>
                    <w14:schemeClr w14:val="tx1"/>
                  </w14:solidFill>
                </w14:textFill>
              </w:rPr>
              <w:t xml:space="preserve">     </w:t>
            </w:r>
          </w:p>
        </w:tc>
      </w:tr>
    </w:tbl>
    <w:p w14:paraId="0E2C6FA1">
      <w:pPr>
        <w:keepNext w:val="0"/>
        <w:keepLines w:val="0"/>
        <w:pageBreakBefore w:val="0"/>
        <w:widowControl w:val="0"/>
        <w:kinsoku/>
        <w:wordWrap/>
        <w:overflowPunct/>
        <w:topLinePunct w:val="0"/>
        <w:autoSpaceDE/>
        <w:autoSpaceDN/>
        <w:bidi w:val="0"/>
        <w:adjustRightInd w:val="0"/>
        <w:snapToGrid w:val="0"/>
        <w:spacing w:beforeLines="50" w:line="360" w:lineRule="auto"/>
        <w:ind w:left="0" w:leftChars="0" w:firstLine="480" w:firstLineChars="200"/>
        <w:jc w:val="left"/>
        <w:textAlignment w:val="auto"/>
        <w:rPr>
          <w:rFonts w:hint="eastAsia" w:ascii="仿宋" w:hAnsi="仿宋" w:eastAsia="仿宋" w:cs="仿宋"/>
          <w:color w:val="000000" w:themeColor="text1"/>
          <w:sz w:val="24"/>
          <w14:textFill>
            <w14:solidFill>
              <w14:schemeClr w14:val="tx1"/>
            </w14:solidFill>
          </w14:textFill>
        </w:rPr>
      </w:pPr>
    </w:p>
    <w:p w14:paraId="266DD5F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F9CBECC6">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73E1E"/>
    <w:rsid w:val="335B02AF"/>
    <w:rsid w:val="75073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qFormat/>
    <w:uiPriority w:val="0"/>
    <w:pPr>
      <w:spacing w:line="320" w:lineRule="exact"/>
      <w:outlineLvl w:val="2"/>
    </w:pPr>
    <w:rPr>
      <w:rFonts w:ascii="楷体_GB2312"/>
      <w:sz w:val="32"/>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pPr>
      <w:spacing w:line="360" w:lineRule="auto"/>
    </w:pPr>
    <w:rPr>
      <w:rFonts w:ascii="Tahoma" w:hAnsi="Tahom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2535</Words>
  <Characters>2563</Characters>
  <Lines>0</Lines>
  <Paragraphs>0</Paragraphs>
  <TotalTime>0</TotalTime>
  <ScaleCrop>false</ScaleCrop>
  <LinksUpToDate>false</LinksUpToDate>
  <CharactersWithSpaces>2698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2026-07-20T03:16:00Z</dcterms:created>
  <dc:creator>LXL</dc:creator>
  <cp:lastModifiedBy>登高望远方</cp:lastModifiedBy>
  <dcterms:modified xsi:type="dcterms:W3CDTF">2026-07-21T09:11:30Z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97F98344FF4B45E7B09C5F65AB5DBF2D_11</vt:lpwstr>
  </property>
  <property fmtid="{D5CDD505-2E9C-101B-9397-08002B2CF9AE}" pid="4" name="KSOTemplateDocerSaveRecord">
    <vt:lpwstr>eyJoZGlkIjoiNTU3NjlhZWJjYWM3NTYzZGYyYmVlZDM1ZDY5ZDczMjAiLCJ1c2VySWQiOiIzMzY0MTIxOTgifQ==</vt:lpwstr>
  </property>
</Properties>
</file>