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版本号：SCIT-ZG-SX202508000120260810001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药品综合检测分析平台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SCIT-ZG-SX2025080001</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药品综合检测分析平台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SCIT-ZG-SX2025080001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药品综合检测分析平台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本项目共1个包，用于药品综合检测分析平台建设（具体详见招标文件）； 资金性质：财政资金； 项目用途：药品综合检测分析平台建设； 采购预算：500000.00元。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张祎多、郝丽鹏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银行账号：9902001859222133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代理服务费收费标准：以中标金额为基数参考国家计委计价格[2002]1980号文规定之收费标准的70%收取。由中标人在领取中标通知书前向招标代理机构交纳招标服务费。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严格按照政府采购相关法律法规以及《财政部关于进一步加强政府采购需求和履约验收管理的指导意见》（财库【2016】205号）的要求，文件中的相关规定，合同条款要求及相关法律法规或行业规定等进行验收。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联系人：张祎多、郝丽鹏</w:t>
      </w:r>
    </w:p>
    <w:p>
      <w:pPr>
        <w:pStyle w:val="null3"/>
      </w:pPr>
      <w:r>
        <w:rPr>
          <w:rFonts w:ascii="仿宋_GB2312" w:hAnsi="仿宋_GB2312" w:cs="仿宋_GB2312" w:eastAsia="仿宋_GB2312"/>
        </w:rPr>
        <w:t>联系电话： 029-88854271</w:t>
      </w:r>
    </w:p>
    <w:p>
      <w:pPr>
        <w:pStyle w:val="null3"/>
      </w:pPr>
      <w:r>
        <w:rPr>
          <w:rFonts w:ascii="仿宋_GB2312" w:hAnsi="仿宋_GB2312" w:cs="仿宋_GB2312" w:eastAsia="仿宋_GB2312"/>
        </w:rPr>
        <w:t>地址： 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本项目共1个包，用于药品综合检测分析平台建设（具体详见招标文件）； 资金性质：财政资金； 项目用途：药品综合检测分析平台建设； 采购预算：500000.00元。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药品综合检测分析平台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标的名称：药品综合检测分析平台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9"/>
              <w:gridCol w:w="1538"/>
              <w:gridCol w:w="367"/>
              <w:gridCol w:w="259"/>
            </w:tblGrid>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标的名称</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技术指标要求</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数量（套）</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标的所属行业</w:t>
                  </w:r>
                </w:p>
              </w:tc>
            </w:tr>
            <w:tr>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药品综合检测分析平台</w:t>
                  </w:r>
                </w:p>
                <w:p>
                  <w:pPr>
                    <w:pStyle w:val="null3"/>
                    <w:jc w:val="center"/>
                  </w:pP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一、水分测定系统</w:t>
                  </w:r>
                </w:p>
                <w:p>
                  <w:pPr>
                    <w:pStyle w:val="null3"/>
                    <w:jc w:val="both"/>
                  </w:pPr>
                  <w:r>
                    <w:rPr>
                      <w:rFonts w:ascii="仿宋_GB2312" w:hAnsi="仿宋_GB2312" w:cs="仿宋_GB2312" w:eastAsia="仿宋_GB2312"/>
                      <w:sz w:val="20"/>
                    </w:rPr>
                    <w:t>1.用途：用于样品水分的测定及教学。</w:t>
                  </w:r>
                </w:p>
                <w:p>
                  <w:pPr>
                    <w:pStyle w:val="null3"/>
                    <w:jc w:val="both"/>
                  </w:pPr>
                  <w:r>
                    <w:rPr>
                      <w:rFonts w:ascii="仿宋_GB2312" w:hAnsi="仿宋_GB2312" w:cs="仿宋_GB2312" w:eastAsia="仿宋_GB2312"/>
                      <w:sz w:val="20"/>
                    </w:rPr>
                    <w:t>2.具体要求：</w:t>
                  </w:r>
                </w:p>
                <w:p>
                  <w:pPr>
                    <w:pStyle w:val="null3"/>
                    <w:jc w:val="both"/>
                  </w:pPr>
                  <w:r>
                    <w:rPr>
                      <w:rFonts w:ascii="仿宋_GB2312" w:hAnsi="仿宋_GB2312" w:cs="仿宋_GB2312" w:eastAsia="仿宋_GB2312"/>
                      <w:sz w:val="20"/>
                    </w:rPr>
                    <w:t>2.1水分测量范围：10ppm～100%；添加模块具备SET滴定和MET滴定、CAL校正等；</w:t>
                  </w:r>
                </w:p>
                <w:p>
                  <w:pPr>
                    <w:pStyle w:val="null3"/>
                    <w:jc w:val="both"/>
                  </w:pPr>
                  <w:r>
                    <w:rPr>
                      <w:rFonts w:ascii="仿宋_GB2312" w:hAnsi="仿宋_GB2312" w:cs="仿宋_GB2312" w:eastAsia="仿宋_GB2312"/>
                      <w:sz w:val="20"/>
                    </w:rPr>
                    <w:t>▲2.2滴定管工作模式：步进电机+可拆卸式柱塞型滴定管+免工具更换；</w:t>
                  </w:r>
                </w:p>
                <w:p>
                  <w:pPr>
                    <w:pStyle w:val="null3"/>
                    <w:jc w:val="both"/>
                  </w:pPr>
                  <w:r>
                    <w:rPr>
                      <w:rFonts w:ascii="仿宋_GB2312" w:hAnsi="仿宋_GB2312" w:cs="仿宋_GB2312" w:eastAsia="仿宋_GB2312"/>
                      <w:sz w:val="20"/>
                    </w:rPr>
                    <w:t>▲2.3滴定管分辨率：1/10000管体积；滴定管准确度：馈液精度≤10ml±10μL；</w:t>
                  </w:r>
                </w:p>
                <w:p>
                  <w:pPr>
                    <w:pStyle w:val="null3"/>
                    <w:jc w:val="both"/>
                  </w:pPr>
                  <w:r>
                    <w:rPr>
                      <w:rFonts w:ascii="仿宋_GB2312" w:hAnsi="仿宋_GB2312" w:cs="仿宋_GB2312" w:eastAsia="仿宋_GB2312"/>
                      <w:sz w:val="20"/>
                    </w:rPr>
                    <w:t>2.4极化电压输出：0～2550mV、极化电极分辨率：0.1mV/0.1nA；</w:t>
                  </w:r>
                </w:p>
                <w:p>
                  <w:pPr>
                    <w:pStyle w:val="null3"/>
                    <w:jc w:val="both"/>
                  </w:pPr>
                  <w:r>
                    <w:rPr>
                      <w:rFonts w:ascii="仿宋_GB2312" w:hAnsi="仿宋_GB2312" w:cs="仿宋_GB2312" w:eastAsia="仿宋_GB2312"/>
                      <w:sz w:val="20"/>
                    </w:rPr>
                    <w:t>▲2.5实验完毕自动打印滴定结果，滴定结果可按GLP/GMP要求格式输出，包含实验室名称、实验时间、实验人、样品名称等各项信息；并能对存储的滴定结果进行数理统计分析；</w:t>
                  </w:r>
                </w:p>
                <w:p>
                  <w:pPr>
                    <w:pStyle w:val="null3"/>
                    <w:jc w:val="both"/>
                  </w:pPr>
                  <w:r>
                    <w:rPr>
                      <w:rFonts w:ascii="仿宋_GB2312" w:hAnsi="仿宋_GB2312" w:cs="仿宋_GB2312" w:eastAsia="仿宋_GB2312"/>
                      <w:sz w:val="20"/>
                    </w:rPr>
                    <w:t>2.6主要滴定模式：包括但不限于动态滴定、等量滴定、终点滴定；</w:t>
                  </w:r>
                </w:p>
                <w:p>
                  <w:pPr>
                    <w:pStyle w:val="null3"/>
                    <w:jc w:val="both"/>
                  </w:pPr>
                  <w:r>
                    <w:rPr>
                      <w:rFonts w:ascii="仿宋_GB2312" w:hAnsi="仿宋_GB2312" w:cs="仿宋_GB2312" w:eastAsia="仿宋_GB2312"/>
                      <w:sz w:val="20"/>
                    </w:rPr>
                    <w:t>2.7整机准确度：≤0.2%；</w:t>
                  </w:r>
                </w:p>
                <w:p>
                  <w:pPr>
                    <w:pStyle w:val="null3"/>
                    <w:jc w:val="both"/>
                  </w:pPr>
                  <w:r>
                    <w:rPr>
                      <w:rFonts w:ascii="仿宋_GB2312" w:hAnsi="仿宋_GB2312" w:cs="仿宋_GB2312" w:eastAsia="仿宋_GB2312"/>
                      <w:sz w:val="20"/>
                    </w:rPr>
                    <w:t>2.8最大称量值：≥50g；</w:t>
                  </w:r>
                </w:p>
                <w:p>
                  <w:pPr>
                    <w:pStyle w:val="null3"/>
                    <w:jc w:val="both"/>
                  </w:pPr>
                  <w:r>
                    <w:rPr>
                      <w:rFonts w:ascii="仿宋_GB2312" w:hAnsi="仿宋_GB2312" w:cs="仿宋_GB2312" w:eastAsia="仿宋_GB2312"/>
                      <w:sz w:val="20"/>
                    </w:rPr>
                    <w:t>2.9可读性：≤1mg；</w:t>
                  </w:r>
                </w:p>
                <w:p>
                  <w:pPr>
                    <w:pStyle w:val="null3"/>
                    <w:jc w:val="both"/>
                  </w:pPr>
                  <w:r>
                    <w:rPr>
                      <w:rFonts w:ascii="仿宋_GB2312" w:hAnsi="仿宋_GB2312" w:cs="仿宋_GB2312" w:eastAsia="仿宋_GB2312"/>
                      <w:sz w:val="20"/>
                    </w:rPr>
                    <w:t>2.10重复性：≥0.20%；</w:t>
                  </w:r>
                </w:p>
                <w:p>
                  <w:pPr>
                    <w:pStyle w:val="null3"/>
                    <w:jc w:val="both"/>
                  </w:pPr>
                  <w:r>
                    <w:rPr>
                      <w:rFonts w:ascii="仿宋_GB2312" w:hAnsi="仿宋_GB2312" w:cs="仿宋_GB2312" w:eastAsia="仿宋_GB2312"/>
                      <w:sz w:val="20"/>
                    </w:rPr>
                    <w:t>2.11最小样品量：≤0.5g；</w:t>
                  </w:r>
                </w:p>
                <w:p>
                  <w:pPr>
                    <w:pStyle w:val="null3"/>
                    <w:jc w:val="both"/>
                  </w:pPr>
                  <w:r>
                    <w:rPr>
                      <w:rFonts w:ascii="仿宋_GB2312" w:hAnsi="仿宋_GB2312" w:cs="仿宋_GB2312" w:eastAsia="仿宋_GB2312"/>
                      <w:sz w:val="20"/>
                    </w:rPr>
                    <w:t>2.12调节水平方式：前后四角调节柱；</w:t>
                  </w:r>
                </w:p>
                <w:p>
                  <w:pPr>
                    <w:pStyle w:val="null3"/>
                    <w:jc w:val="both"/>
                  </w:pPr>
                  <w:r>
                    <w:rPr>
                      <w:rFonts w:ascii="仿宋_GB2312" w:hAnsi="仿宋_GB2312" w:cs="仿宋_GB2312" w:eastAsia="仿宋_GB2312"/>
                      <w:sz w:val="20"/>
                    </w:rPr>
                    <w:t>2.13校准方式：称量（外部砝码校准） 温度（专用温度设备，出厂已校准）；</w:t>
                  </w:r>
                </w:p>
                <w:p>
                  <w:pPr>
                    <w:pStyle w:val="null3"/>
                    <w:jc w:val="both"/>
                  </w:pPr>
                  <w:r>
                    <w:rPr>
                      <w:rFonts w:ascii="仿宋_GB2312" w:hAnsi="仿宋_GB2312" w:cs="仿宋_GB2312" w:eastAsia="仿宋_GB2312"/>
                      <w:sz w:val="20"/>
                    </w:rPr>
                    <w:t>2.14 十万分之一称量模块：</w:t>
                  </w:r>
                </w:p>
                <w:p>
                  <w:pPr>
                    <w:pStyle w:val="null3"/>
                    <w:jc w:val="both"/>
                  </w:pPr>
                  <w:r>
                    <w:rPr>
                      <w:rFonts w:ascii="仿宋_GB2312" w:hAnsi="仿宋_GB2312" w:cs="仿宋_GB2312" w:eastAsia="仿宋_GB2312"/>
                      <w:sz w:val="20"/>
                    </w:rPr>
                    <w:t>▲2.14.1最大称量值：≥102/225g；</w:t>
                  </w:r>
                </w:p>
                <w:p>
                  <w:pPr>
                    <w:pStyle w:val="null3"/>
                    <w:jc w:val="both"/>
                  </w:pPr>
                  <w:r>
                    <w:rPr>
                      <w:rFonts w:ascii="仿宋_GB2312" w:hAnsi="仿宋_GB2312" w:cs="仿宋_GB2312" w:eastAsia="仿宋_GB2312"/>
                      <w:sz w:val="20"/>
                    </w:rPr>
                    <w:t>2.14.2读数精度：0.01/0.1（mg）；</w:t>
                  </w:r>
                </w:p>
                <w:p>
                  <w:pPr>
                    <w:pStyle w:val="null3"/>
                    <w:jc w:val="both"/>
                  </w:pPr>
                  <w:r>
                    <w:rPr>
                      <w:rFonts w:ascii="仿宋_GB2312" w:hAnsi="仿宋_GB2312" w:cs="仿宋_GB2312" w:eastAsia="仿宋_GB2312"/>
                      <w:sz w:val="20"/>
                    </w:rPr>
                    <w:t>2.14.3重复性：0.02mg≤40000mg，0.05mg＞40000mg；</w:t>
                  </w:r>
                </w:p>
                <w:p>
                  <w:pPr>
                    <w:pStyle w:val="null3"/>
                    <w:jc w:val="both"/>
                  </w:pPr>
                  <w:r>
                    <w:rPr>
                      <w:rFonts w:ascii="仿宋_GB2312" w:hAnsi="仿宋_GB2312" w:cs="仿宋_GB2312" w:eastAsia="仿宋_GB2312"/>
                      <w:sz w:val="20"/>
                    </w:rPr>
                    <w:t>▲2.14.4线性：≤0.03/0.1mg；</w:t>
                  </w:r>
                </w:p>
                <w:p>
                  <w:pPr>
                    <w:pStyle w:val="null3"/>
                    <w:jc w:val="both"/>
                  </w:pPr>
                  <w:r>
                    <w:rPr>
                      <w:rFonts w:ascii="仿宋_GB2312" w:hAnsi="仿宋_GB2312" w:cs="仿宋_GB2312" w:eastAsia="仿宋_GB2312"/>
                      <w:sz w:val="20"/>
                    </w:rPr>
                    <w:t>▲2.14.5 采用全铝合金基座，具备高强度、抗静电功能；</w:t>
                  </w:r>
                </w:p>
                <w:p>
                  <w:pPr>
                    <w:pStyle w:val="null3"/>
                    <w:jc w:val="both"/>
                  </w:pPr>
                  <w:r>
                    <w:rPr>
                      <w:rFonts w:ascii="仿宋_GB2312" w:hAnsi="仿宋_GB2312" w:cs="仿宋_GB2312" w:eastAsia="仿宋_GB2312"/>
                      <w:sz w:val="20"/>
                    </w:rPr>
                    <w:t>2.15 万分之一称量模块：</w:t>
                  </w:r>
                </w:p>
                <w:p>
                  <w:pPr>
                    <w:pStyle w:val="null3"/>
                    <w:jc w:val="both"/>
                  </w:pPr>
                  <w:r>
                    <w:rPr>
                      <w:rFonts w:ascii="仿宋_GB2312" w:hAnsi="仿宋_GB2312" w:cs="仿宋_GB2312" w:eastAsia="仿宋_GB2312"/>
                      <w:sz w:val="20"/>
                    </w:rPr>
                    <w:t>2.15.1最大称量：≥120g；</w:t>
                  </w:r>
                </w:p>
                <w:p>
                  <w:pPr>
                    <w:pStyle w:val="null3"/>
                    <w:jc w:val="left"/>
                  </w:pPr>
                  <w:r>
                    <w:rPr>
                      <w:rFonts w:ascii="仿宋_GB2312" w:hAnsi="仿宋_GB2312" w:cs="仿宋_GB2312" w:eastAsia="仿宋_GB2312"/>
                      <w:sz w:val="20"/>
                    </w:rPr>
                    <w:t>2.15.2实际分度值d（读数精度）：≤0.1mg；</w:t>
                  </w:r>
                </w:p>
                <w:p>
                  <w:pPr>
                    <w:pStyle w:val="null3"/>
                    <w:jc w:val="left"/>
                  </w:pPr>
                  <w:r>
                    <w:rPr>
                      <w:rFonts w:ascii="仿宋_GB2312" w:hAnsi="仿宋_GB2312" w:cs="仿宋_GB2312" w:eastAsia="仿宋_GB2312"/>
                      <w:sz w:val="20"/>
                    </w:rPr>
                    <w:t>2.15.3 重复性：0.1mg；线性：0.2mg；                                                                                                             2.15.4通讯接口：RS232（RJ45接口）；</w:t>
                  </w:r>
                </w:p>
                <w:p>
                  <w:pPr>
                    <w:pStyle w:val="null3"/>
                    <w:jc w:val="left"/>
                  </w:pPr>
                  <w:r>
                    <w:rPr>
                      <w:rFonts w:ascii="仿宋_GB2312" w:hAnsi="仿宋_GB2312" w:cs="仿宋_GB2312" w:eastAsia="仿宋_GB2312"/>
                      <w:sz w:val="20"/>
                    </w:rPr>
                    <w:t>2.15.5秤盘尺寸：≥Φ80mm；                                                                                                                       2.15.6显示屏：荧光屏；</w:t>
                  </w:r>
                </w:p>
                <w:p>
                  <w:pPr>
                    <w:pStyle w:val="null3"/>
                    <w:jc w:val="left"/>
                  </w:pPr>
                  <w:r>
                    <w:rPr>
                      <w:rFonts w:ascii="仿宋_GB2312" w:hAnsi="仿宋_GB2312" w:cs="仿宋_GB2312" w:eastAsia="仿宋_GB2312"/>
                      <w:sz w:val="20"/>
                    </w:rPr>
                    <w:t>▲2.15.7 应用方法：单位转换，计数，百分比，配方，动物，密度，自动重复性测试，密码防盗。</w:t>
                  </w:r>
                </w:p>
                <w:p>
                  <w:pPr>
                    <w:pStyle w:val="null3"/>
                    <w:jc w:val="both"/>
                  </w:pPr>
                  <w:r>
                    <w:rPr>
                      <w:rFonts w:ascii="仿宋_GB2312" w:hAnsi="仿宋_GB2312" w:cs="仿宋_GB2312" w:eastAsia="仿宋_GB2312"/>
                      <w:sz w:val="20"/>
                    </w:rPr>
                    <w:t>3.配置：卡尔费休水分测定仪5台，滴定管5套、自动给排液器5套、水分电极5支、触摸屏水分快速测定仪1台，样品结果输出设备6台，十万分之一称量模块1台，万分之一称量模块5台。</w:t>
                  </w:r>
                </w:p>
                <w:p>
                  <w:pPr>
                    <w:pStyle w:val="null3"/>
                    <w:jc w:val="both"/>
                  </w:pPr>
                  <w:r>
                    <w:rPr>
                      <w:rFonts w:ascii="仿宋_GB2312" w:hAnsi="仿宋_GB2312" w:cs="仿宋_GB2312" w:eastAsia="仿宋_GB2312"/>
                      <w:sz w:val="20"/>
                    </w:rPr>
                    <w:t>二、自动溶出仪</w:t>
                  </w:r>
                </w:p>
                <w:p>
                  <w:pPr>
                    <w:pStyle w:val="null3"/>
                    <w:jc w:val="both"/>
                  </w:pPr>
                  <w:r>
                    <w:rPr>
                      <w:rFonts w:ascii="仿宋_GB2312" w:hAnsi="仿宋_GB2312" w:cs="仿宋_GB2312" w:eastAsia="仿宋_GB2312"/>
                      <w:sz w:val="20"/>
                    </w:rPr>
                    <w:t>1.用途：用于测定样品的溶出速率及教学。</w:t>
                  </w:r>
                </w:p>
                <w:p>
                  <w:pPr>
                    <w:pStyle w:val="null3"/>
                    <w:jc w:val="both"/>
                  </w:pPr>
                  <w:r>
                    <w:rPr>
                      <w:rFonts w:ascii="仿宋_GB2312" w:hAnsi="仿宋_GB2312" w:cs="仿宋_GB2312" w:eastAsia="仿宋_GB2312"/>
                      <w:sz w:val="20"/>
                    </w:rPr>
                    <w:t>2.具体要求：</w:t>
                  </w:r>
                </w:p>
                <w:p>
                  <w:pPr>
                    <w:pStyle w:val="null3"/>
                    <w:jc w:val="both"/>
                  </w:pPr>
                  <w:r>
                    <w:rPr>
                      <w:rFonts w:ascii="仿宋_GB2312" w:hAnsi="仿宋_GB2312" w:cs="仿宋_GB2312" w:eastAsia="仿宋_GB2312"/>
                      <w:sz w:val="20"/>
                    </w:rPr>
                    <w:t>2.1搅拌桨摆动幅度：≤0.5mm；</w:t>
                  </w:r>
                </w:p>
                <w:p>
                  <w:pPr>
                    <w:pStyle w:val="null3"/>
                    <w:jc w:val="both"/>
                  </w:pPr>
                  <w:r>
                    <w:rPr>
                      <w:rFonts w:ascii="仿宋_GB2312" w:hAnsi="仿宋_GB2312" w:cs="仿宋_GB2312" w:eastAsia="仿宋_GB2312"/>
                      <w:sz w:val="20"/>
                    </w:rPr>
                    <w:t>2.2转篮摆动幅度：≤1.0mm；</w:t>
                  </w:r>
                </w:p>
                <w:p>
                  <w:pPr>
                    <w:pStyle w:val="null3"/>
                    <w:jc w:val="both"/>
                  </w:pPr>
                  <w:r>
                    <w:rPr>
                      <w:rFonts w:ascii="仿宋_GB2312" w:hAnsi="仿宋_GB2312" w:cs="仿宋_GB2312" w:eastAsia="仿宋_GB2312"/>
                      <w:sz w:val="20"/>
                    </w:rPr>
                    <w:t>2.3转杆与溶出杯轴偏差：≤2.0mm；</w:t>
                  </w:r>
                </w:p>
                <w:p>
                  <w:pPr>
                    <w:pStyle w:val="null3"/>
                    <w:jc w:val="both"/>
                  </w:pPr>
                  <w:r>
                    <w:rPr>
                      <w:rFonts w:ascii="仿宋_GB2312" w:hAnsi="仿宋_GB2312" w:cs="仿宋_GB2312" w:eastAsia="仿宋_GB2312"/>
                      <w:sz w:val="20"/>
                    </w:rPr>
                    <w:t>2.4调速范围：25～250r/min；</w:t>
                  </w:r>
                </w:p>
                <w:p>
                  <w:pPr>
                    <w:pStyle w:val="null3"/>
                    <w:jc w:val="both"/>
                  </w:pPr>
                  <w:r>
                    <w:rPr>
                      <w:rFonts w:ascii="仿宋_GB2312" w:hAnsi="仿宋_GB2312" w:cs="仿宋_GB2312" w:eastAsia="仿宋_GB2312"/>
                      <w:sz w:val="20"/>
                    </w:rPr>
                    <w:t>2.5转速分辨率：1r/min；</w:t>
                  </w:r>
                </w:p>
                <w:p>
                  <w:pPr>
                    <w:pStyle w:val="null3"/>
                    <w:jc w:val="both"/>
                  </w:pPr>
                  <w:r>
                    <w:rPr>
                      <w:rFonts w:ascii="仿宋_GB2312" w:hAnsi="仿宋_GB2312" w:cs="仿宋_GB2312" w:eastAsia="仿宋_GB2312"/>
                      <w:sz w:val="20"/>
                    </w:rPr>
                    <w:t>2.6稳速误差：≤±4%；</w:t>
                  </w:r>
                </w:p>
                <w:p>
                  <w:pPr>
                    <w:pStyle w:val="null3"/>
                    <w:jc w:val="both"/>
                  </w:pPr>
                  <w:r>
                    <w:rPr>
                      <w:rFonts w:ascii="仿宋_GB2312" w:hAnsi="仿宋_GB2312" w:cs="仿宋_GB2312" w:eastAsia="仿宋_GB2312"/>
                      <w:sz w:val="20"/>
                    </w:rPr>
                    <w:t>2.7调温范围：5.0～45.0℃；</w:t>
                  </w:r>
                </w:p>
                <w:p>
                  <w:pPr>
                    <w:pStyle w:val="null3"/>
                    <w:jc w:val="both"/>
                  </w:pPr>
                  <w:r>
                    <w:rPr>
                      <w:rFonts w:ascii="仿宋_GB2312" w:hAnsi="仿宋_GB2312" w:cs="仿宋_GB2312" w:eastAsia="仿宋_GB2312"/>
                      <w:sz w:val="20"/>
                    </w:rPr>
                    <w:t>2.8温度分辨率：0.1℃；</w:t>
                  </w:r>
                </w:p>
                <w:p>
                  <w:pPr>
                    <w:pStyle w:val="null3"/>
                    <w:jc w:val="both"/>
                  </w:pPr>
                  <w:r>
                    <w:rPr>
                      <w:rFonts w:ascii="仿宋_GB2312" w:hAnsi="仿宋_GB2312" w:cs="仿宋_GB2312" w:eastAsia="仿宋_GB2312"/>
                      <w:sz w:val="20"/>
                    </w:rPr>
                    <w:t>2.9控温误差：≤±0.3℃；</w:t>
                  </w:r>
                </w:p>
                <w:p>
                  <w:pPr>
                    <w:pStyle w:val="null3"/>
                    <w:jc w:val="both"/>
                  </w:pPr>
                  <w:r>
                    <w:rPr>
                      <w:rFonts w:ascii="仿宋_GB2312" w:hAnsi="仿宋_GB2312" w:cs="仿宋_GB2312" w:eastAsia="仿宋_GB2312"/>
                      <w:sz w:val="20"/>
                    </w:rPr>
                    <w:t>2.10质量性均能符合《中国药典》（2025版）的要求；</w:t>
                  </w:r>
                </w:p>
                <w:p>
                  <w:pPr>
                    <w:pStyle w:val="null3"/>
                    <w:jc w:val="both"/>
                  </w:pPr>
                  <w:r>
                    <w:rPr>
                      <w:rFonts w:ascii="仿宋_GB2312" w:hAnsi="仿宋_GB2312" w:cs="仿宋_GB2312" w:eastAsia="仿宋_GB2312"/>
                      <w:sz w:val="20"/>
                    </w:rPr>
                    <w:t>2.11四角同轴定位系统；</w:t>
                  </w:r>
                </w:p>
                <w:p>
                  <w:pPr>
                    <w:pStyle w:val="null3"/>
                    <w:jc w:val="both"/>
                  </w:pPr>
                  <w:r>
                    <w:rPr>
                      <w:rFonts w:ascii="仿宋_GB2312" w:hAnsi="仿宋_GB2312" w:cs="仿宋_GB2312" w:eastAsia="仿宋_GB2312"/>
                      <w:sz w:val="20"/>
                    </w:rPr>
                    <w:t>▲2.12篮杆、桨杆均为整段一体式结构；</w:t>
                  </w:r>
                </w:p>
                <w:p>
                  <w:pPr>
                    <w:pStyle w:val="null3"/>
                    <w:jc w:val="both"/>
                  </w:pPr>
                  <w:r>
                    <w:rPr>
                      <w:rFonts w:ascii="仿宋_GB2312" w:hAnsi="仿宋_GB2312" w:cs="仿宋_GB2312" w:eastAsia="仿宋_GB2312"/>
                      <w:sz w:val="20"/>
                    </w:rPr>
                    <w:t>▲2.13超低、超高温报警及二次过热保护功能；</w:t>
                  </w:r>
                </w:p>
                <w:p>
                  <w:pPr>
                    <w:pStyle w:val="null3"/>
                    <w:jc w:val="both"/>
                  </w:pPr>
                  <w:r>
                    <w:rPr>
                      <w:rFonts w:ascii="仿宋_GB2312" w:hAnsi="仿宋_GB2312" w:cs="仿宋_GB2312" w:eastAsia="仿宋_GB2312"/>
                      <w:sz w:val="20"/>
                    </w:rPr>
                    <w:t>2.14程控取样次数：≤2880 次；</w:t>
                  </w:r>
                </w:p>
                <w:p>
                  <w:pPr>
                    <w:pStyle w:val="null3"/>
                    <w:jc w:val="both"/>
                  </w:pPr>
                  <w:r>
                    <w:rPr>
                      <w:rFonts w:ascii="仿宋_GB2312" w:hAnsi="仿宋_GB2312" w:cs="仿宋_GB2312" w:eastAsia="仿宋_GB2312"/>
                      <w:sz w:val="20"/>
                    </w:rPr>
                    <w:t>2.15数据传输间隔时间：30秒；</w:t>
                  </w:r>
                </w:p>
                <w:p>
                  <w:pPr>
                    <w:pStyle w:val="null3"/>
                    <w:jc w:val="both"/>
                  </w:pPr>
                  <w:r>
                    <w:rPr>
                      <w:rFonts w:ascii="仿宋_GB2312" w:hAnsi="仿宋_GB2312" w:cs="仿宋_GB2312" w:eastAsia="仿宋_GB2312"/>
                      <w:sz w:val="20"/>
                    </w:rPr>
                    <w:t>2.16工作噪声：≤60dB；</w:t>
                  </w:r>
                </w:p>
                <w:p>
                  <w:pPr>
                    <w:pStyle w:val="null3"/>
                    <w:jc w:val="both"/>
                  </w:pPr>
                  <w:r>
                    <w:rPr>
                      <w:rFonts w:ascii="仿宋_GB2312" w:hAnsi="仿宋_GB2312" w:cs="仿宋_GB2312" w:eastAsia="仿宋_GB2312"/>
                      <w:sz w:val="20"/>
                    </w:rPr>
                    <w:t>2.17试验装置：3组（自动同步翻转）；</w:t>
                  </w:r>
                </w:p>
                <w:p>
                  <w:pPr>
                    <w:pStyle w:val="null3"/>
                    <w:jc w:val="both"/>
                  </w:pPr>
                  <w:r>
                    <w:rPr>
                      <w:rFonts w:ascii="仿宋_GB2312" w:hAnsi="仿宋_GB2312" w:cs="仿宋_GB2312" w:eastAsia="仿宋_GB2312"/>
                      <w:sz w:val="20"/>
                    </w:rPr>
                    <w:t>2.18烧杯容积：≥5000ml；</w:t>
                  </w:r>
                </w:p>
                <w:p>
                  <w:pPr>
                    <w:pStyle w:val="null3"/>
                    <w:jc w:val="both"/>
                  </w:pPr>
                  <w:r>
                    <w:rPr>
                      <w:rFonts w:ascii="仿宋_GB2312" w:hAnsi="仿宋_GB2312" w:cs="仿宋_GB2312" w:eastAsia="仿宋_GB2312"/>
                      <w:sz w:val="20"/>
                    </w:rPr>
                    <w:t>2.19透明圆筒：内径≥52mm，高≥60mm；</w:t>
                  </w:r>
                </w:p>
                <w:p>
                  <w:pPr>
                    <w:pStyle w:val="null3"/>
                    <w:jc w:val="both"/>
                  </w:pPr>
                  <w:r>
                    <w:rPr>
                      <w:rFonts w:ascii="仿宋_GB2312" w:hAnsi="仿宋_GB2312" w:cs="仿宋_GB2312" w:eastAsia="仿宋_GB2312"/>
                      <w:sz w:val="20"/>
                    </w:rPr>
                    <w:t>2.20不锈钢圆板：2片，直径≥50mm，各≥39个4mm圆孔；</w:t>
                  </w:r>
                </w:p>
                <w:p>
                  <w:pPr>
                    <w:pStyle w:val="null3"/>
                    <w:jc w:val="both"/>
                  </w:pPr>
                  <w:r>
                    <w:rPr>
                      <w:rFonts w:ascii="仿宋_GB2312" w:hAnsi="仿宋_GB2312" w:cs="仿宋_GB2312" w:eastAsia="仿宋_GB2312"/>
                      <w:sz w:val="20"/>
                    </w:rPr>
                    <w:t>2.21翻转频率：默认10分钟/次；</w:t>
                  </w:r>
                </w:p>
                <w:p>
                  <w:pPr>
                    <w:pStyle w:val="null3"/>
                    <w:jc w:val="both"/>
                  </w:pPr>
                  <w:r>
                    <w:rPr>
                      <w:rFonts w:ascii="仿宋_GB2312" w:hAnsi="仿宋_GB2312" w:cs="仿宋_GB2312" w:eastAsia="仿宋_GB2312"/>
                      <w:sz w:val="20"/>
                    </w:rPr>
                    <w:t>2.22调温范围：室温～50℃；</w:t>
                  </w:r>
                </w:p>
                <w:p>
                  <w:pPr>
                    <w:pStyle w:val="null3"/>
                    <w:jc w:val="both"/>
                  </w:pPr>
                  <w:r>
                    <w:rPr>
                      <w:rFonts w:ascii="仿宋_GB2312" w:hAnsi="仿宋_GB2312" w:cs="仿宋_GB2312" w:eastAsia="仿宋_GB2312"/>
                      <w:sz w:val="20"/>
                    </w:rPr>
                    <w:t>2.23温度分辨率：0.1℃；</w:t>
                  </w:r>
                </w:p>
                <w:p>
                  <w:pPr>
                    <w:pStyle w:val="null3"/>
                    <w:jc w:val="both"/>
                  </w:pPr>
                  <w:r>
                    <w:rPr>
                      <w:rFonts w:ascii="仿宋_GB2312" w:hAnsi="仿宋_GB2312" w:cs="仿宋_GB2312" w:eastAsia="仿宋_GB2312"/>
                      <w:sz w:val="20"/>
                    </w:rPr>
                    <w:t>2.24控温精度：≤±0.3℃；</w:t>
                  </w:r>
                </w:p>
                <w:p>
                  <w:pPr>
                    <w:pStyle w:val="null3"/>
                    <w:jc w:val="both"/>
                  </w:pPr>
                  <w:r>
                    <w:rPr>
                      <w:rFonts w:ascii="仿宋_GB2312" w:hAnsi="仿宋_GB2312" w:cs="仿宋_GB2312" w:eastAsia="仿宋_GB2312"/>
                      <w:sz w:val="20"/>
                    </w:rPr>
                    <w:t>▲2.25内置三级用户权限管理、试验记录管理，通过设备接口，可打印或USB输出试验报告；</w:t>
                  </w:r>
                </w:p>
                <w:p>
                  <w:pPr>
                    <w:pStyle w:val="null3"/>
                    <w:jc w:val="both"/>
                  </w:pPr>
                  <w:r>
                    <w:rPr>
                      <w:rFonts w:ascii="仿宋_GB2312" w:hAnsi="仿宋_GB2312" w:cs="仿宋_GB2312" w:eastAsia="仿宋_GB2312"/>
                      <w:sz w:val="20"/>
                    </w:rPr>
                    <w:t>2.26高精度实时恒温控制，有双重过温保护、温度校准功能；</w:t>
                  </w:r>
                </w:p>
                <w:p>
                  <w:pPr>
                    <w:pStyle w:val="null3"/>
                    <w:jc w:val="both"/>
                  </w:pPr>
                  <w:r>
                    <w:rPr>
                      <w:rFonts w:ascii="仿宋_GB2312" w:hAnsi="仿宋_GB2312" w:cs="仿宋_GB2312" w:eastAsia="仿宋_GB2312"/>
                      <w:sz w:val="20"/>
                    </w:rPr>
                    <w:t>2.27 内部设有预约加热，用户可以设定系统指定时间开始加热；</w:t>
                  </w:r>
                </w:p>
                <w:p>
                  <w:pPr>
                    <w:pStyle w:val="null3"/>
                    <w:jc w:val="both"/>
                  </w:pPr>
                  <w:r>
                    <w:rPr>
                      <w:rFonts w:ascii="仿宋_GB2312" w:hAnsi="仿宋_GB2312" w:cs="仿宋_GB2312" w:eastAsia="仿宋_GB2312"/>
                      <w:sz w:val="20"/>
                    </w:rPr>
                    <w:t>2.28 使用水循环管路设计，专业医疗级快速接头；</w:t>
                  </w:r>
                </w:p>
                <w:p>
                  <w:pPr>
                    <w:pStyle w:val="null3"/>
                    <w:jc w:val="both"/>
                  </w:pPr>
                  <w:r>
                    <w:rPr>
                      <w:rFonts w:ascii="仿宋_GB2312" w:hAnsi="仿宋_GB2312" w:cs="仿宋_GB2312" w:eastAsia="仿宋_GB2312"/>
                      <w:sz w:val="20"/>
                    </w:rPr>
                    <w:t>2.29根据不同试验所需有三种时限选择；</w:t>
                  </w:r>
                </w:p>
                <w:p>
                  <w:pPr>
                    <w:pStyle w:val="null3"/>
                    <w:jc w:val="both"/>
                  </w:pPr>
                  <w:r>
                    <w:rPr>
                      <w:rFonts w:ascii="仿宋_GB2312" w:hAnsi="仿宋_GB2312" w:cs="仿宋_GB2312" w:eastAsia="仿宋_GB2312"/>
                      <w:sz w:val="20"/>
                    </w:rPr>
                    <w:t>2.30提供IQ/OQ认证文件。</w:t>
                  </w:r>
                </w:p>
                <w:p>
                  <w:pPr>
                    <w:pStyle w:val="null3"/>
                    <w:jc w:val="both"/>
                  </w:pPr>
                  <w:r>
                    <w:rPr>
                      <w:rFonts w:ascii="仿宋_GB2312" w:hAnsi="仿宋_GB2312" w:cs="仿宋_GB2312" w:eastAsia="仿宋_GB2312"/>
                      <w:sz w:val="20"/>
                    </w:rPr>
                    <w:t>3.配置：自动溶出仪5台，智能融变时限测试仪2台，专用吊篮4套。</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工业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其他，付款前，中标人须向采购人开具等额的增值税专用发票，项目最终验收合格后一次性支付合同款，达到付款条件起10个工作日内，支付合同总金额的100.0%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严格按照政府采购相关法律法规以及《财政部关于进一步加强政府采购需求和履约验收管理的指导意见》（财库【2016】205号）的要求，文件中的相关规定，合同条款要求及相关法律法规或行业规定等进行验收。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合格之日起不得少于3年，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2.保修期内，接到用户需求后，4小时响应，需赶赴现场处理的，须在8小时内赶赴现场，提供设备常规保养和维护的日程表，并对前2-3次的常规维护提供现场技术支持。 3. 设备安装调试完毕后，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注：1）因系统固化原因本项目采购标的及核心产品以3.3技术要求中为准； 2）根据《关于在政府采购活动中对有关美国企业采取相关措施的通知》（财库〔2026〕10号）规定，供应商不得提供该通知中所列46家美国企业（不包括在华美资企业）生产的产品，否则投标（响应）无效。 3）3.4商务要求不允许负偏离。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2025或2024年度经审计的财务报告复印件(包含审计报告和审计报告中所涉及的财务报表和报表附注），②也可提供截至响应文件递交截止日一年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 ）；②提供2026年1月1日至今已缴纳的至少一个月的纳税证明或完税证明，依法免税的单位应提供相关证明材料）；5.具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一年内银行出具的资信证明（复印件），③投标人注册时间截至响应文件递交截止日不足一年的, 也可提供加盖工商备案主管部门印章的公司章程复印件，④也可提供政府采购信用担保机构出具的《政府采购投标担保函》供应商需在项目电子化交易系统中按要求上传相应证明文件并进行电子签章。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商务应答表 投标文件其他格式.docx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1.投标产品的技术指标和功能中“★”号技术指标为实质性要求，不满足视为无效投标文件。 2.投标产品的技术指标和功能中，“▲”号技术要求条款响应得分=（供应商满足“▲”号技术要求条款的数量÷“▲”号技术要求条款的总数量【共10条】）×10分。 3.投标产品的技术指标和功能中非 “▲”号、“★”号技术指标得分=（供应商满足非 “▲”号、“★”号技术要求条款的数量÷非 “▲”号、“★”号技术要求条款的总数量【共 48条】）× 30分 注：1.以一级序号阿拉伯数字（如 “1.”“2.”“3.”…“1.1”“1.2”“1.3”…）为一项（标题除外）；阿拉伯数字序号下有多级序号的，以最小级阿拉伯数字序号为1项。 2.技术指标得分保留到小数点后两位。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提供投标人2023年01月01日（含）至投标截止时间（以合同签订时间为准）同类业绩，每提供1个得2分，最高得10分。注：提供合同复印件。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提供完整、可行的培训及售后服务方案包括但不限于①具体培训方式、培训时间、地点安排；②培训人员资质情况及培训内容③售后服务专职人员安排及承诺④备品、配件保障措施、售后巡查及维护安排。方案内容完全响应招标文件要求的得 10分；方案中每有一项内容缺失扣 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详见附件：产品技术响应表.docx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详见附件：本国产品说明、声明函.docx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详见附件：能源合同文本参考.docx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