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99979F">
      <w:pPr>
        <w:pStyle w:val="3"/>
        <w:keepNext w:val="0"/>
        <w:keepLines w:val="0"/>
        <w:numPr>
          <w:ilvl w:val="0"/>
          <w:numId w:val="0"/>
        </w:numPr>
        <w:ind w:left="0" w:leftChars="0" w:firstLine="0" w:firstLineChars="0"/>
        <w:jc w:val="center"/>
        <w:outlineLvl w:val="0"/>
        <w:rPr>
          <w:rFonts w:hint="eastAsia" w:ascii="仿宋" w:hAnsi="仿宋" w:eastAsia="仿宋" w:cs="仿宋"/>
          <w:color w:val="auto"/>
          <w:sz w:val="32"/>
          <w:szCs w:val="32"/>
          <w:highlight w:val="none"/>
        </w:rPr>
      </w:pPr>
      <w:bookmarkStart w:id="0" w:name="_Toc19302"/>
      <w:r>
        <w:rPr>
          <w:rFonts w:hint="eastAsia" w:ascii="宋体" w:hAnsi="宋体" w:eastAsia="宋体" w:cs="Times New Roman"/>
          <w:b/>
          <w:bCs/>
          <w:color w:val="000000"/>
          <w:sz w:val="32"/>
          <w:szCs w:val="32"/>
        </w:rPr>
        <w:t>合同主要条款</w:t>
      </w:r>
      <w:bookmarkEnd w:id="0"/>
    </w:p>
    <w:p w14:paraId="24AF4594">
      <w:pPr>
        <w:spacing w:line="360" w:lineRule="auto"/>
        <w:rPr>
          <w:rFonts w:hint="eastAsia" w:ascii="仿宋" w:hAnsi="仿宋" w:eastAsia="仿宋" w:cs="仿宋"/>
          <w:sz w:val="24"/>
          <w:szCs w:val="24"/>
          <w:lang w:val="en-US" w:eastAsia="zh-CN"/>
        </w:rPr>
      </w:pPr>
      <w:r>
        <w:rPr>
          <w:rFonts w:hint="eastAsia" w:ascii="仿宋" w:hAnsi="仿宋" w:eastAsia="仿宋" w:cs="仿宋"/>
          <w:sz w:val="24"/>
          <w:szCs w:val="24"/>
        </w:rPr>
        <w:t>甲方</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采购人）</w:t>
      </w:r>
      <w:r>
        <w:rPr>
          <w:rFonts w:hint="eastAsia" w:ascii="仿宋" w:hAnsi="仿宋" w:eastAsia="仿宋" w:cs="仿宋"/>
          <w:sz w:val="24"/>
          <w:szCs w:val="24"/>
        </w:rPr>
        <w:t>：</w:t>
      </w:r>
      <w:r>
        <w:rPr>
          <w:rFonts w:hint="eastAsia" w:ascii="仿宋" w:hAnsi="仿宋" w:eastAsia="仿宋" w:cs="仿宋"/>
          <w:sz w:val="24"/>
          <w:szCs w:val="24"/>
          <w:u w:val="single"/>
          <w:lang w:eastAsia="zh-CN"/>
        </w:rPr>
        <w:t>西安市雁塔区⼈⺠法院</w:t>
      </w:r>
    </w:p>
    <w:p w14:paraId="742ED2FB">
      <w:pPr>
        <w:spacing w:line="360" w:lineRule="auto"/>
        <w:rPr>
          <w:rFonts w:hint="default" w:ascii="仿宋" w:hAnsi="仿宋" w:eastAsia="仿宋" w:cs="仿宋"/>
          <w:sz w:val="24"/>
          <w:szCs w:val="24"/>
          <w:lang w:val="en-US"/>
        </w:rPr>
      </w:pPr>
      <w:r>
        <w:rPr>
          <w:rFonts w:hint="eastAsia" w:ascii="仿宋" w:hAnsi="仿宋" w:eastAsia="仿宋" w:cs="仿宋"/>
          <w:sz w:val="24"/>
          <w:szCs w:val="24"/>
        </w:rPr>
        <w:t>乙方：</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成交供应商）</w:t>
      </w:r>
      <w:r>
        <w:rPr>
          <w:rFonts w:hint="eastAsia" w:ascii="仿宋" w:hAnsi="仿宋" w:eastAsia="仿宋" w:cs="仿宋"/>
          <w:b w:val="0"/>
          <w:bCs w:val="0"/>
          <w:sz w:val="24"/>
          <w:szCs w:val="24"/>
          <w:u w:val="single"/>
          <w:lang w:val="en-US" w:eastAsia="zh-CN"/>
        </w:rPr>
        <w:t xml:space="preserve">                      </w:t>
      </w:r>
    </w:p>
    <w:p w14:paraId="469B8D59">
      <w:pPr>
        <w:widowControl/>
        <w:adjustRightInd w:val="0"/>
        <w:snapToGrid w:val="0"/>
        <w:spacing w:line="360" w:lineRule="auto"/>
        <w:ind w:right="0" w:rightChars="0" w:firstLine="480" w:firstLineChars="200"/>
        <w:jc w:val="left"/>
        <w:rPr>
          <w:rFonts w:hint="eastAsia" w:ascii="仿宋" w:hAnsi="仿宋" w:eastAsia="仿宋" w:cs="仿宋"/>
          <w:color w:val="auto"/>
          <w:kern w:val="0"/>
          <w:sz w:val="24"/>
          <w:szCs w:val="24"/>
          <w:highlight w:val="none"/>
          <w:u w:val="none" w:color="000000"/>
          <w:shd w:val="clear" w:color="auto" w:fill="auto"/>
        </w:rPr>
      </w:pPr>
      <w:bookmarkStart w:id="1" w:name="_Toc8932"/>
      <w:bookmarkStart w:id="2" w:name="_Toc244416560"/>
      <w:r>
        <w:rPr>
          <w:rFonts w:hint="eastAsia" w:ascii="仿宋" w:hAnsi="仿宋" w:eastAsia="仿宋" w:cs="仿宋"/>
          <w:sz w:val="24"/>
          <w:szCs w:val="24"/>
          <w:highlight w:val="none"/>
        </w:rPr>
        <w:t>依据《中华人民共和国</w:t>
      </w:r>
      <w:r>
        <w:rPr>
          <w:rFonts w:hint="eastAsia" w:ascii="仿宋" w:hAnsi="仿宋" w:eastAsia="仿宋" w:cs="仿宋"/>
          <w:sz w:val="24"/>
          <w:szCs w:val="24"/>
          <w:highlight w:val="none"/>
          <w:lang w:val="en-US" w:eastAsia="zh-CN"/>
        </w:rPr>
        <w:t>民法典</w:t>
      </w:r>
      <w:r>
        <w:rPr>
          <w:rFonts w:hint="eastAsia" w:ascii="仿宋" w:hAnsi="仿宋" w:eastAsia="仿宋" w:cs="仿宋"/>
          <w:sz w:val="24"/>
          <w:szCs w:val="24"/>
          <w:highlight w:val="none"/>
        </w:rPr>
        <w:t>》和《中华人民共和国政府采购法》，经双方协商按下述条款和条件签署本合同。</w:t>
      </w:r>
    </w:p>
    <w:p w14:paraId="5601D471">
      <w:pPr>
        <w:pStyle w:val="4"/>
        <w:keepNext/>
        <w:keepLines/>
        <w:pageBreakBefore w:val="0"/>
        <w:widowControl w:val="0"/>
        <w:kinsoku/>
        <w:wordWrap/>
        <w:overflowPunct/>
        <w:topLinePunct w:val="0"/>
        <w:autoSpaceDE/>
        <w:autoSpaceDN/>
        <w:bidi w:val="0"/>
        <w:adjustRightInd/>
        <w:snapToGrid/>
        <w:spacing w:before="100" w:after="100"/>
        <w:jc w:val="both"/>
        <w:textAlignment w:val="auto"/>
        <w:rPr>
          <w:rFonts w:hint="eastAsia"/>
        </w:rPr>
      </w:pPr>
      <w:r>
        <w:rPr>
          <w:rFonts w:hint="eastAsia"/>
        </w:rPr>
        <w:t>第一条、合同标的物内容及数量</w:t>
      </w:r>
      <w:bookmarkEnd w:id="1"/>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7"/>
        <w:gridCol w:w="3196"/>
        <w:gridCol w:w="2517"/>
        <w:gridCol w:w="1059"/>
        <w:gridCol w:w="919"/>
        <w:gridCol w:w="965"/>
      </w:tblGrid>
      <w:tr w14:paraId="3E7EA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77" w:type="dxa"/>
            <w:noWrap w:val="0"/>
            <w:vAlign w:val="center"/>
          </w:tcPr>
          <w:p w14:paraId="113C10C9">
            <w:pPr>
              <w:tabs>
                <w:tab w:val="left" w:pos="480"/>
              </w:tabs>
              <w:spacing w:line="360" w:lineRule="auto"/>
              <w:jc w:val="center"/>
              <w:rPr>
                <w:rFonts w:hint="eastAsia" w:ascii="仿宋" w:hAnsi="仿宋" w:eastAsia="仿宋" w:cs="仿宋"/>
                <w:color w:val="000000"/>
                <w:spacing w:val="-20"/>
                <w:kern w:val="0"/>
                <w:sz w:val="24"/>
                <w:szCs w:val="24"/>
              </w:rPr>
            </w:pPr>
            <w:r>
              <w:rPr>
                <w:rFonts w:hint="eastAsia" w:ascii="仿宋" w:hAnsi="仿宋" w:eastAsia="仿宋" w:cs="仿宋"/>
                <w:color w:val="000000"/>
                <w:spacing w:val="-20"/>
                <w:kern w:val="0"/>
                <w:sz w:val="24"/>
                <w:szCs w:val="24"/>
              </w:rPr>
              <w:t>序号</w:t>
            </w:r>
          </w:p>
        </w:tc>
        <w:tc>
          <w:tcPr>
            <w:tcW w:w="3196" w:type="dxa"/>
            <w:noWrap w:val="0"/>
            <w:vAlign w:val="center"/>
          </w:tcPr>
          <w:p w14:paraId="114A3455">
            <w:pPr>
              <w:tabs>
                <w:tab w:val="left" w:pos="480"/>
              </w:tabs>
              <w:spacing w:line="360" w:lineRule="auto"/>
              <w:jc w:val="center"/>
              <w:rPr>
                <w:rFonts w:hint="eastAsia" w:ascii="仿宋" w:hAnsi="仿宋" w:eastAsia="仿宋" w:cs="仿宋"/>
                <w:color w:val="000000"/>
                <w:spacing w:val="-20"/>
                <w:kern w:val="0"/>
                <w:sz w:val="24"/>
                <w:szCs w:val="24"/>
              </w:rPr>
            </w:pPr>
            <w:r>
              <w:rPr>
                <w:rFonts w:hint="eastAsia" w:ascii="仿宋" w:hAnsi="仿宋" w:eastAsia="仿宋" w:cs="仿宋"/>
                <w:color w:val="000000"/>
                <w:spacing w:val="-20"/>
                <w:kern w:val="0"/>
                <w:sz w:val="24"/>
                <w:szCs w:val="24"/>
              </w:rPr>
              <w:t>服务名称</w:t>
            </w:r>
          </w:p>
        </w:tc>
        <w:tc>
          <w:tcPr>
            <w:tcW w:w="2517" w:type="dxa"/>
            <w:noWrap w:val="0"/>
            <w:vAlign w:val="center"/>
          </w:tcPr>
          <w:p w14:paraId="5C63CE5A">
            <w:pPr>
              <w:tabs>
                <w:tab w:val="left" w:pos="480"/>
              </w:tabs>
              <w:spacing w:line="360" w:lineRule="auto"/>
              <w:jc w:val="center"/>
              <w:rPr>
                <w:rFonts w:hint="eastAsia" w:ascii="仿宋" w:hAnsi="仿宋" w:eastAsia="仿宋" w:cs="仿宋"/>
                <w:color w:val="000000"/>
                <w:spacing w:val="-20"/>
                <w:kern w:val="0"/>
                <w:sz w:val="24"/>
                <w:szCs w:val="24"/>
                <w:highlight w:val="none"/>
              </w:rPr>
            </w:pPr>
            <w:r>
              <w:rPr>
                <w:rFonts w:hint="eastAsia" w:ascii="仿宋" w:hAnsi="仿宋" w:eastAsia="仿宋" w:cs="仿宋"/>
                <w:color w:val="000000"/>
                <w:spacing w:val="-20"/>
                <w:kern w:val="0"/>
                <w:sz w:val="24"/>
                <w:szCs w:val="24"/>
                <w:highlight w:val="none"/>
              </w:rPr>
              <w:t>服务内容</w:t>
            </w:r>
          </w:p>
        </w:tc>
        <w:tc>
          <w:tcPr>
            <w:tcW w:w="1059" w:type="dxa"/>
            <w:noWrap w:val="0"/>
            <w:vAlign w:val="center"/>
          </w:tcPr>
          <w:p w14:paraId="42DA7ED2">
            <w:pPr>
              <w:tabs>
                <w:tab w:val="left" w:pos="480"/>
              </w:tabs>
              <w:spacing w:line="360" w:lineRule="auto"/>
              <w:jc w:val="center"/>
              <w:rPr>
                <w:rFonts w:hint="eastAsia" w:ascii="仿宋" w:hAnsi="仿宋" w:eastAsia="仿宋" w:cs="仿宋"/>
                <w:color w:val="000000"/>
                <w:spacing w:val="-20"/>
                <w:kern w:val="0"/>
                <w:sz w:val="24"/>
                <w:szCs w:val="24"/>
                <w:highlight w:val="none"/>
              </w:rPr>
            </w:pPr>
            <w:r>
              <w:rPr>
                <w:rFonts w:hint="eastAsia" w:ascii="仿宋" w:hAnsi="仿宋" w:eastAsia="仿宋" w:cs="仿宋"/>
                <w:color w:val="000000"/>
                <w:spacing w:val="-20"/>
                <w:kern w:val="0"/>
                <w:sz w:val="24"/>
                <w:szCs w:val="24"/>
                <w:highlight w:val="none"/>
                <w:lang w:val="en-US" w:eastAsia="zh-CN"/>
              </w:rPr>
              <w:t>综合</w:t>
            </w:r>
            <w:r>
              <w:rPr>
                <w:rFonts w:hint="eastAsia" w:ascii="仿宋" w:hAnsi="仿宋" w:eastAsia="仿宋" w:cs="仿宋"/>
                <w:color w:val="000000"/>
                <w:spacing w:val="-20"/>
                <w:kern w:val="0"/>
                <w:sz w:val="24"/>
                <w:szCs w:val="24"/>
                <w:highlight w:val="none"/>
              </w:rPr>
              <w:t>单价</w:t>
            </w:r>
          </w:p>
        </w:tc>
        <w:tc>
          <w:tcPr>
            <w:tcW w:w="919" w:type="dxa"/>
            <w:noWrap w:val="0"/>
            <w:vAlign w:val="center"/>
          </w:tcPr>
          <w:p w14:paraId="24C82A1E">
            <w:pPr>
              <w:tabs>
                <w:tab w:val="left" w:pos="480"/>
              </w:tabs>
              <w:spacing w:line="360" w:lineRule="auto"/>
              <w:jc w:val="center"/>
              <w:rPr>
                <w:rFonts w:hint="eastAsia" w:ascii="仿宋" w:hAnsi="仿宋" w:eastAsia="仿宋" w:cs="仿宋"/>
                <w:color w:val="000000"/>
                <w:spacing w:val="-20"/>
                <w:kern w:val="0"/>
                <w:sz w:val="24"/>
                <w:szCs w:val="24"/>
                <w:highlight w:val="none"/>
              </w:rPr>
            </w:pPr>
            <w:r>
              <w:rPr>
                <w:rFonts w:hint="eastAsia" w:ascii="仿宋" w:hAnsi="仿宋" w:eastAsia="仿宋" w:cs="仿宋"/>
                <w:color w:val="000000"/>
                <w:spacing w:val="-20"/>
                <w:kern w:val="0"/>
                <w:sz w:val="24"/>
                <w:szCs w:val="24"/>
                <w:highlight w:val="none"/>
              </w:rPr>
              <w:t>数量</w:t>
            </w:r>
          </w:p>
        </w:tc>
        <w:tc>
          <w:tcPr>
            <w:tcW w:w="965" w:type="dxa"/>
            <w:noWrap w:val="0"/>
            <w:vAlign w:val="center"/>
          </w:tcPr>
          <w:p w14:paraId="61C2D62F">
            <w:pPr>
              <w:tabs>
                <w:tab w:val="left" w:pos="480"/>
              </w:tabs>
              <w:spacing w:line="360" w:lineRule="auto"/>
              <w:jc w:val="center"/>
              <w:rPr>
                <w:rFonts w:hint="eastAsia" w:ascii="仿宋" w:hAnsi="仿宋" w:eastAsia="仿宋" w:cs="仿宋"/>
                <w:color w:val="000000"/>
                <w:spacing w:val="-20"/>
                <w:kern w:val="0"/>
                <w:sz w:val="24"/>
                <w:szCs w:val="24"/>
              </w:rPr>
            </w:pPr>
            <w:r>
              <w:rPr>
                <w:rFonts w:hint="eastAsia" w:ascii="仿宋" w:hAnsi="仿宋" w:eastAsia="仿宋" w:cs="仿宋"/>
                <w:color w:val="000000"/>
                <w:spacing w:val="-20"/>
                <w:kern w:val="0"/>
                <w:sz w:val="24"/>
                <w:szCs w:val="24"/>
              </w:rPr>
              <w:t>总价</w:t>
            </w:r>
          </w:p>
        </w:tc>
      </w:tr>
      <w:tr w14:paraId="3B308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7" w:type="dxa"/>
            <w:noWrap w:val="0"/>
            <w:vAlign w:val="center"/>
          </w:tcPr>
          <w:p w14:paraId="74387E67">
            <w:pPr>
              <w:tabs>
                <w:tab w:val="left" w:pos="480"/>
              </w:tabs>
              <w:spacing w:line="360" w:lineRule="auto"/>
              <w:jc w:val="center"/>
              <w:rPr>
                <w:rFonts w:hint="eastAsia" w:ascii="仿宋" w:hAnsi="仿宋" w:eastAsia="仿宋" w:cs="仿宋"/>
                <w:color w:val="000000"/>
                <w:spacing w:val="-20"/>
                <w:kern w:val="0"/>
                <w:sz w:val="24"/>
                <w:szCs w:val="24"/>
              </w:rPr>
            </w:pPr>
            <w:r>
              <w:rPr>
                <w:rFonts w:hint="eastAsia" w:ascii="仿宋" w:hAnsi="仿宋" w:eastAsia="仿宋" w:cs="仿宋"/>
                <w:color w:val="000000"/>
                <w:spacing w:val="-20"/>
                <w:kern w:val="0"/>
                <w:sz w:val="24"/>
                <w:szCs w:val="24"/>
              </w:rPr>
              <w:t>1</w:t>
            </w:r>
          </w:p>
        </w:tc>
        <w:tc>
          <w:tcPr>
            <w:tcW w:w="3196" w:type="dxa"/>
            <w:noWrap w:val="0"/>
            <w:vAlign w:val="center"/>
          </w:tcPr>
          <w:p w14:paraId="6F417784">
            <w:pPr>
              <w:tabs>
                <w:tab w:val="left" w:pos="480"/>
              </w:tabs>
              <w:spacing w:line="360" w:lineRule="auto"/>
              <w:jc w:val="center"/>
              <w:rPr>
                <w:rFonts w:hint="eastAsia" w:ascii="仿宋" w:hAnsi="仿宋" w:eastAsia="仿宋" w:cs="仿宋"/>
                <w:color w:val="000000"/>
                <w:spacing w:val="0"/>
                <w:kern w:val="0"/>
                <w:sz w:val="24"/>
                <w:szCs w:val="24"/>
              </w:rPr>
            </w:pPr>
            <w:r>
              <w:rPr>
                <w:rFonts w:hint="eastAsia" w:ascii="仿宋" w:hAnsi="仿宋" w:eastAsia="仿宋" w:cs="仿宋"/>
                <w:color w:val="000000"/>
                <w:spacing w:val="0"/>
                <w:kern w:val="0"/>
                <w:sz w:val="24"/>
                <w:szCs w:val="24"/>
              </w:rPr>
              <w:t>集约送达服务</w:t>
            </w:r>
          </w:p>
        </w:tc>
        <w:tc>
          <w:tcPr>
            <w:tcW w:w="2517" w:type="dxa"/>
            <w:noWrap w:val="0"/>
            <w:vAlign w:val="center"/>
          </w:tcPr>
          <w:p w14:paraId="1D9FE59C">
            <w:pPr>
              <w:tabs>
                <w:tab w:val="left" w:pos="480"/>
              </w:tabs>
              <w:spacing w:line="360" w:lineRule="auto"/>
              <w:jc w:val="center"/>
              <w:rPr>
                <w:rFonts w:hint="default" w:ascii="仿宋" w:hAnsi="仿宋" w:eastAsia="仿宋" w:cs="仿宋"/>
                <w:color w:val="000000"/>
                <w:spacing w:val="0"/>
                <w:kern w:val="0"/>
                <w:sz w:val="24"/>
                <w:szCs w:val="24"/>
                <w:lang w:val="en-US" w:eastAsia="zh-CN"/>
              </w:rPr>
            </w:pPr>
            <w:r>
              <w:rPr>
                <w:rFonts w:hint="eastAsia" w:ascii="仿宋" w:hAnsi="仿宋" w:eastAsia="仿宋" w:cs="仿宋"/>
                <w:color w:val="000000"/>
                <w:spacing w:val="0"/>
                <w:kern w:val="0"/>
                <w:sz w:val="24"/>
                <w:szCs w:val="24"/>
                <w:lang w:val="en-US" w:eastAsia="zh-CN"/>
              </w:rPr>
              <w:t>详见采购需求</w:t>
            </w:r>
          </w:p>
        </w:tc>
        <w:tc>
          <w:tcPr>
            <w:tcW w:w="1059" w:type="dxa"/>
            <w:noWrap w:val="0"/>
            <w:vAlign w:val="center"/>
          </w:tcPr>
          <w:p w14:paraId="41F817B4">
            <w:pPr>
              <w:tabs>
                <w:tab w:val="left" w:pos="480"/>
              </w:tabs>
              <w:spacing w:line="360" w:lineRule="auto"/>
              <w:jc w:val="center"/>
              <w:rPr>
                <w:rFonts w:hint="eastAsia" w:ascii="仿宋" w:hAnsi="仿宋" w:eastAsia="仿宋" w:cs="仿宋"/>
                <w:color w:val="000000"/>
                <w:spacing w:val="-20"/>
                <w:kern w:val="0"/>
                <w:sz w:val="24"/>
                <w:szCs w:val="24"/>
              </w:rPr>
            </w:pPr>
          </w:p>
        </w:tc>
        <w:tc>
          <w:tcPr>
            <w:tcW w:w="919" w:type="dxa"/>
            <w:noWrap w:val="0"/>
            <w:vAlign w:val="center"/>
          </w:tcPr>
          <w:p w14:paraId="3EB59FA6">
            <w:pPr>
              <w:tabs>
                <w:tab w:val="left" w:pos="480"/>
              </w:tabs>
              <w:spacing w:line="360" w:lineRule="auto"/>
              <w:jc w:val="center"/>
              <w:rPr>
                <w:rFonts w:hint="eastAsia" w:ascii="仿宋" w:hAnsi="仿宋" w:eastAsia="仿宋" w:cs="仿宋"/>
                <w:color w:val="000000"/>
                <w:spacing w:val="-20"/>
                <w:kern w:val="0"/>
                <w:sz w:val="24"/>
                <w:szCs w:val="24"/>
              </w:rPr>
            </w:pPr>
          </w:p>
        </w:tc>
        <w:tc>
          <w:tcPr>
            <w:tcW w:w="965" w:type="dxa"/>
            <w:noWrap w:val="0"/>
            <w:vAlign w:val="center"/>
          </w:tcPr>
          <w:p w14:paraId="7019AA70">
            <w:pPr>
              <w:tabs>
                <w:tab w:val="left" w:pos="480"/>
              </w:tabs>
              <w:spacing w:line="360" w:lineRule="auto"/>
              <w:jc w:val="center"/>
              <w:rPr>
                <w:rFonts w:hint="eastAsia" w:ascii="仿宋" w:hAnsi="仿宋" w:eastAsia="仿宋" w:cs="仿宋"/>
                <w:color w:val="000000"/>
                <w:spacing w:val="-20"/>
                <w:kern w:val="0"/>
                <w:sz w:val="24"/>
                <w:szCs w:val="24"/>
              </w:rPr>
            </w:pPr>
          </w:p>
        </w:tc>
      </w:tr>
      <w:tr w14:paraId="28DDA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7" w:type="dxa"/>
            <w:noWrap w:val="0"/>
            <w:vAlign w:val="center"/>
          </w:tcPr>
          <w:p w14:paraId="28FE3A92">
            <w:pPr>
              <w:tabs>
                <w:tab w:val="left" w:pos="480"/>
              </w:tabs>
              <w:spacing w:line="360" w:lineRule="auto"/>
              <w:jc w:val="center"/>
              <w:rPr>
                <w:rFonts w:hint="eastAsia" w:ascii="仿宋" w:hAnsi="仿宋" w:eastAsia="仿宋" w:cs="仿宋"/>
                <w:color w:val="000000"/>
                <w:spacing w:val="-20"/>
                <w:kern w:val="0"/>
                <w:sz w:val="24"/>
                <w:szCs w:val="24"/>
              </w:rPr>
            </w:pPr>
            <w:r>
              <w:rPr>
                <w:rFonts w:hint="eastAsia" w:ascii="仿宋" w:hAnsi="仿宋" w:eastAsia="仿宋" w:cs="仿宋"/>
                <w:color w:val="000000"/>
                <w:spacing w:val="-20"/>
                <w:kern w:val="0"/>
                <w:sz w:val="24"/>
                <w:szCs w:val="24"/>
              </w:rPr>
              <w:t>合计</w:t>
            </w:r>
          </w:p>
        </w:tc>
        <w:tc>
          <w:tcPr>
            <w:tcW w:w="8656" w:type="dxa"/>
            <w:gridSpan w:val="5"/>
            <w:noWrap w:val="0"/>
            <w:vAlign w:val="center"/>
          </w:tcPr>
          <w:p w14:paraId="22E6F8AE">
            <w:pPr>
              <w:tabs>
                <w:tab w:val="left" w:pos="480"/>
              </w:tabs>
              <w:spacing w:line="360" w:lineRule="auto"/>
              <w:jc w:val="center"/>
              <w:rPr>
                <w:rFonts w:hint="eastAsia" w:ascii="仿宋" w:hAnsi="仿宋" w:eastAsia="仿宋" w:cs="仿宋"/>
                <w:color w:val="000000"/>
                <w:spacing w:val="-20"/>
                <w:kern w:val="0"/>
                <w:sz w:val="24"/>
                <w:szCs w:val="24"/>
              </w:rPr>
            </w:pPr>
          </w:p>
        </w:tc>
      </w:tr>
    </w:tbl>
    <w:p w14:paraId="2ABD4D7C">
      <w:pPr>
        <w:pStyle w:val="4"/>
        <w:keepNext/>
        <w:keepLines/>
        <w:pageBreakBefore w:val="0"/>
        <w:widowControl w:val="0"/>
        <w:kinsoku/>
        <w:wordWrap/>
        <w:overflowPunct/>
        <w:topLinePunct w:val="0"/>
        <w:autoSpaceDE/>
        <w:autoSpaceDN/>
        <w:bidi w:val="0"/>
        <w:adjustRightInd/>
        <w:snapToGrid/>
        <w:spacing w:before="100" w:after="100"/>
        <w:jc w:val="both"/>
        <w:textAlignment w:val="auto"/>
        <w:rPr>
          <w:rFonts w:hint="eastAsia" w:cs="Times New Roman"/>
        </w:rPr>
      </w:pPr>
      <w:bookmarkStart w:id="3" w:name="_Toc29769"/>
      <w:r>
        <w:rPr>
          <w:rFonts w:hint="eastAsia" w:cs="Times New Roman"/>
        </w:rPr>
        <w:t>第二条、服务条件</w:t>
      </w:r>
      <w:bookmarkEnd w:id="3"/>
    </w:p>
    <w:p w14:paraId="3D99C72D">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rPr>
        <w:t>（一</w:t>
      </w:r>
      <w:r>
        <w:rPr>
          <w:rFonts w:hint="eastAsia" w:ascii="仿宋" w:hAnsi="仿宋" w:eastAsia="仿宋" w:cs="仿宋"/>
          <w:sz w:val="24"/>
          <w:szCs w:val="24"/>
          <w:highlight w:val="none"/>
        </w:rPr>
        <w:t>）服务地点：甲方指定地点。</w:t>
      </w:r>
    </w:p>
    <w:p w14:paraId="398088F2">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（二）服务期：一年，每案限价65元，按实际产生数量据实结算至预算金额使用完毕为止。</w:t>
      </w:r>
    </w:p>
    <w:bookmarkEnd w:id="2"/>
    <w:p w14:paraId="0A2FAAE9">
      <w:pPr>
        <w:pStyle w:val="4"/>
        <w:keepNext/>
        <w:keepLines/>
        <w:pageBreakBefore w:val="0"/>
        <w:widowControl w:val="0"/>
        <w:kinsoku/>
        <w:wordWrap/>
        <w:overflowPunct/>
        <w:topLinePunct w:val="0"/>
        <w:autoSpaceDE/>
        <w:autoSpaceDN/>
        <w:bidi w:val="0"/>
        <w:adjustRightInd/>
        <w:snapToGrid/>
        <w:spacing w:before="100" w:after="100"/>
        <w:jc w:val="both"/>
        <w:textAlignment w:val="auto"/>
        <w:rPr>
          <w:rFonts w:hint="eastAsia" w:cs="Times New Roman"/>
          <w:highlight w:val="none"/>
        </w:rPr>
      </w:pPr>
      <w:bookmarkStart w:id="4" w:name="_Toc244416561"/>
      <w:bookmarkStart w:id="5" w:name="_Toc28142"/>
      <w:r>
        <w:rPr>
          <w:rFonts w:hint="eastAsia" w:cs="Times New Roman"/>
          <w:highlight w:val="none"/>
        </w:rPr>
        <w:t>第三条、</w:t>
      </w:r>
      <w:bookmarkEnd w:id="4"/>
      <w:r>
        <w:rPr>
          <w:rFonts w:hint="eastAsia" w:cs="Times New Roman"/>
          <w:highlight w:val="none"/>
        </w:rPr>
        <w:t>合同价款、付款方式及比例</w:t>
      </w:r>
      <w:bookmarkEnd w:id="5"/>
      <w:bookmarkStart w:id="16" w:name="_GoBack"/>
      <w:bookmarkEnd w:id="16"/>
    </w:p>
    <w:p w14:paraId="23BAB8AD">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（一）合同价款</w:t>
      </w:r>
    </w:p>
    <w:p w14:paraId="43DFBD90">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合同</w:t>
      </w:r>
      <w:r>
        <w:rPr>
          <w:rFonts w:hint="eastAsia" w:ascii="仿宋" w:hAnsi="仿宋" w:eastAsia="仿宋" w:cs="仿宋"/>
          <w:sz w:val="24"/>
          <w:szCs w:val="24"/>
          <w:highlight w:val="none"/>
          <w:lang w:val="en-US" w:eastAsia="zh-CN"/>
        </w:rPr>
        <w:t>综合单价</w:t>
      </w:r>
      <w:r>
        <w:rPr>
          <w:rFonts w:hint="eastAsia" w:ascii="仿宋" w:hAnsi="仿宋" w:eastAsia="仿宋" w:cs="仿宋"/>
          <w:sz w:val="24"/>
          <w:szCs w:val="24"/>
          <w:highlight w:val="none"/>
        </w:rPr>
        <w:t>为人民币</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元</w:t>
      </w:r>
      <w:r>
        <w:rPr>
          <w:rFonts w:hint="eastAsia" w:ascii="仿宋" w:hAnsi="仿宋" w:eastAsia="仿宋" w:cs="仿宋"/>
          <w:sz w:val="24"/>
          <w:szCs w:val="24"/>
          <w:highlight w:val="none"/>
          <w:lang w:val="en-US" w:eastAsia="zh-CN"/>
        </w:rPr>
        <w:t>/件/案</w:t>
      </w:r>
      <w:r>
        <w:rPr>
          <w:rFonts w:hint="eastAsia" w:ascii="仿宋" w:hAnsi="仿宋" w:eastAsia="仿宋" w:cs="仿宋"/>
          <w:sz w:val="24"/>
          <w:szCs w:val="24"/>
          <w:highlight w:val="none"/>
        </w:rPr>
        <w:t>。合同</w:t>
      </w:r>
      <w:r>
        <w:rPr>
          <w:rFonts w:hint="eastAsia" w:ascii="仿宋" w:hAnsi="仿宋" w:eastAsia="仿宋" w:cs="仿宋"/>
          <w:sz w:val="24"/>
          <w:szCs w:val="24"/>
          <w:highlight w:val="none"/>
          <w:lang w:val="en-US" w:eastAsia="zh-CN"/>
        </w:rPr>
        <w:t>综合单价</w:t>
      </w:r>
      <w:r>
        <w:rPr>
          <w:rFonts w:hint="eastAsia" w:ascii="仿宋" w:hAnsi="仿宋" w:eastAsia="仿宋" w:cs="仿宋"/>
          <w:sz w:val="24"/>
          <w:szCs w:val="24"/>
          <w:highlight w:val="none"/>
        </w:rPr>
        <w:t>一次性包死，不受市场价格变化因素的影响。</w:t>
      </w:r>
    </w:p>
    <w:p w14:paraId="11F5B802">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（二）付款方式</w:t>
      </w:r>
    </w:p>
    <w:p w14:paraId="13CAD849">
      <w:pPr>
        <w:pStyle w:val="4"/>
        <w:keepNext/>
        <w:keepLines/>
        <w:pageBreakBefore w:val="0"/>
        <w:widowControl w:val="0"/>
        <w:kinsoku/>
        <w:wordWrap/>
        <w:overflowPunct/>
        <w:topLinePunct w:val="0"/>
        <w:autoSpaceDE/>
        <w:autoSpaceDN/>
        <w:bidi w:val="0"/>
        <w:adjustRightInd/>
        <w:snapToGrid/>
        <w:spacing w:before="100" w:after="100"/>
        <w:ind w:firstLine="480" w:firstLineChars="200"/>
        <w:jc w:val="both"/>
        <w:textAlignment w:val="auto"/>
        <w:rPr>
          <w:rFonts w:hint="eastAsia" w:ascii="仿宋" w:hAnsi="仿宋" w:eastAsia="仿宋" w:cs="仿宋"/>
          <w:b w:val="0"/>
          <w:bCs w:val="0"/>
          <w:kern w:val="2"/>
          <w:sz w:val="24"/>
          <w:szCs w:val="24"/>
          <w:highlight w:val="none"/>
          <w:lang w:val="en-US" w:eastAsia="zh-CN" w:bidi="ar-SA"/>
        </w:rPr>
      </w:pPr>
      <w:bookmarkStart w:id="6" w:name="_Toc5939"/>
      <w:r>
        <w:rPr>
          <w:rFonts w:hint="eastAsia" w:ascii="仿宋" w:hAnsi="仿宋" w:eastAsia="仿宋" w:cs="仿宋"/>
          <w:b w:val="0"/>
          <w:bCs w:val="0"/>
          <w:kern w:val="2"/>
          <w:sz w:val="24"/>
          <w:szCs w:val="24"/>
          <w:highlight w:val="none"/>
          <w:lang w:val="en-US" w:eastAsia="zh-CN" w:bidi="ar-SA"/>
        </w:rPr>
        <w:t>合同签订后预付合同总金额的60%，合同期过半后支付总金额的30%，合同结束后支付总金额10%。</w:t>
      </w:r>
    </w:p>
    <w:p w14:paraId="262BF08B">
      <w:pPr>
        <w:pStyle w:val="4"/>
        <w:keepNext/>
        <w:keepLines/>
        <w:pageBreakBefore w:val="0"/>
        <w:widowControl w:val="0"/>
        <w:kinsoku/>
        <w:wordWrap/>
        <w:overflowPunct/>
        <w:topLinePunct w:val="0"/>
        <w:autoSpaceDE/>
        <w:autoSpaceDN/>
        <w:bidi w:val="0"/>
        <w:adjustRightInd/>
        <w:snapToGrid/>
        <w:spacing w:before="100" w:after="100"/>
        <w:jc w:val="both"/>
        <w:textAlignment w:val="auto"/>
        <w:rPr>
          <w:rFonts w:hint="eastAsia" w:cs="Times New Roman"/>
          <w:highlight w:val="none"/>
        </w:rPr>
      </w:pPr>
      <w:r>
        <w:rPr>
          <w:rFonts w:hint="eastAsia" w:cs="Times New Roman"/>
          <w:highlight w:val="none"/>
        </w:rPr>
        <w:t>第四条、验收标准及方法</w:t>
      </w:r>
      <w:bookmarkEnd w:id="6"/>
    </w:p>
    <w:p w14:paraId="5AADE8DB">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（一）乙方完成并交付的工作成果需经甲方验收合格，则视为接受。如果在验收时甲方表明不接受乙方提交的工作成果并明示不接受的原因，乙方应当采取合理之措施进行修改，以达到合同规定的要求。</w:t>
      </w:r>
    </w:p>
    <w:p w14:paraId="3A207201">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（二）验收依据</w:t>
      </w:r>
    </w:p>
    <w:p w14:paraId="69B00238">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1、本合同及附件文本所约定的验收标准； </w:t>
      </w:r>
    </w:p>
    <w:p w14:paraId="250A7CFA">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lang w:val="en-US" w:eastAsia="zh-CN"/>
        </w:rPr>
        <w:t>单一来源谈判</w:t>
      </w:r>
      <w:r>
        <w:rPr>
          <w:rFonts w:hint="eastAsia" w:ascii="仿宋" w:hAnsi="仿宋" w:eastAsia="仿宋" w:cs="仿宋"/>
          <w:sz w:val="24"/>
          <w:szCs w:val="24"/>
        </w:rPr>
        <w:t>文件、</w:t>
      </w:r>
      <w:r>
        <w:rPr>
          <w:rFonts w:hint="eastAsia" w:ascii="仿宋" w:hAnsi="仿宋" w:eastAsia="仿宋" w:cs="仿宋"/>
          <w:sz w:val="24"/>
          <w:szCs w:val="24"/>
          <w:lang w:val="en-US" w:eastAsia="zh-CN"/>
        </w:rPr>
        <w:t>单一来源谈判</w:t>
      </w:r>
      <w:r>
        <w:rPr>
          <w:rFonts w:hint="eastAsia" w:ascii="仿宋" w:hAnsi="仿宋" w:eastAsia="仿宋" w:cs="仿宋"/>
          <w:sz w:val="24"/>
          <w:szCs w:val="24"/>
        </w:rPr>
        <w:t>响应文件、澄清表（函）；</w:t>
      </w:r>
    </w:p>
    <w:p w14:paraId="0CF5FEB0">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3、国家相应的标准、规范。</w:t>
      </w:r>
    </w:p>
    <w:p w14:paraId="163131D4">
      <w:pPr>
        <w:pStyle w:val="4"/>
        <w:keepNext/>
        <w:keepLines/>
        <w:pageBreakBefore w:val="0"/>
        <w:widowControl w:val="0"/>
        <w:kinsoku/>
        <w:wordWrap/>
        <w:overflowPunct/>
        <w:topLinePunct w:val="0"/>
        <w:autoSpaceDE/>
        <w:autoSpaceDN/>
        <w:bidi w:val="0"/>
        <w:adjustRightInd/>
        <w:snapToGrid/>
        <w:spacing w:before="100" w:after="100"/>
        <w:jc w:val="both"/>
        <w:textAlignment w:val="auto"/>
        <w:rPr>
          <w:rFonts w:hint="eastAsia" w:cs="Times New Roman"/>
        </w:rPr>
      </w:pPr>
      <w:bookmarkStart w:id="7" w:name="_Toc31160"/>
      <w:r>
        <w:rPr>
          <w:rFonts w:hint="eastAsia" w:cs="Times New Roman"/>
        </w:rPr>
        <w:t>第五条、质量保证</w:t>
      </w:r>
      <w:bookmarkEnd w:id="7"/>
    </w:p>
    <w:p w14:paraId="6AF281D4">
      <w:pPr>
        <w:tabs>
          <w:tab w:val="left" w:pos="48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sz w:val="24"/>
          <w:szCs w:val="24"/>
          <w:u w:val="single"/>
          <w:lang w:val="en-US" w:eastAsia="zh-CN"/>
        </w:rPr>
        <w:t xml:space="preserve">                               </w:t>
      </w:r>
      <w:r>
        <w:rPr>
          <w:rFonts w:hint="eastAsia" w:ascii="仿宋" w:hAnsi="仿宋" w:eastAsia="仿宋" w:cs="仿宋"/>
          <w:color w:val="auto"/>
          <w:sz w:val="24"/>
          <w:szCs w:val="24"/>
          <w:highlight w:val="none"/>
        </w:rPr>
        <w:t>。</w:t>
      </w:r>
    </w:p>
    <w:p w14:paraId="1CFA1FA5">
      <w:pPr>
        <w:pStyle w:val="4"/>
        <w:keepNext/>
        <w:keepLines/>
        <w:pageBreakBefore w:val="0"/>
        <w:widowControl w:val="0"/>
        <w:kinsoku/>
        <w:wordWrap/>
        <w:overflowPunct/>
        <w:topLinePunct w:val="0"/>
        <w:autoSpaceDE/>
        <w:autoSpaceDN/>
        <w:bidi w:val="0"/>
        <w:adjustRightInd/>
        <w:snapToGrid/>
        <w:spacing w:before="100" w:after="100"/>
        <w:jc w:val="both"/>
        <w:textAlignment w:val="auto"/>
        <w:rPr>
          <w:rFonts w:hint="eastAsia" w:cs="Times New Roman"/>
        </w:rPr>
      </w:pPr>
      <w:bookmarkStart w:id="8" w:name="_Toc5209"/>
      <w:r>
        <w:rPr>
          <w:rFonts w:hint="eastAsia" w:cs="Times New Roman"/>
        </w:rPr>
        <w:t>第六条、双方的权利和义务</w:t>
      </w:r>
      <w:bookmarkEnd w:id="8"/>
    </w:p>
    <w:p w14:paraId="52727C7A">
      <w:pPr>
        <w:tabs>
          <w:tab w:val="left" w:pos="480"/>
        </w:tabs>
        <w:spacing w:before="249" w:beforeLines="50" w:after="249" w:afterLines="50" w:line="360" w:lineRule="auto"/>
        <w:ind w:firstLine="480" w:firstLineChars="200"/>
        <w:outlineLvl w:val="1"/>
        <w:rPr>
          <w:rFonts w:hint="eastAsia" w:ascii="仿宋" w:hAnsi="仿宋" w:eastAsia="仿宋" w:cs="仿宋"/>
          <w:sz w:val="24"/>
          <w:szCs w:val="24"/>
        </w:rPr>
      </w:pPr>
      <w:bookmarkStart w:id="9" w:name="_Toc9815"/>
      <w:r>
        <w:rPr>
          <w:rFonts w:hint="eastAsia" w:ascii="仿宋" w:hAnsi="仿宋" w:eastAsia="仿宋" w:cs="仿宋"/>
          <w:sz w:val="24"/>
          <w:szCs w:val="24"/>
        </w:rPr>
        <w:t>（一）甲方的权利和义务</w:t>
      </w:r>
      <w:bookmarkEnd w:id="9"/>
    </w:p>
    <w:p w14:paraId="074FB7DA">
      <w:pPr>
        <w:tabs>
          <w:tab w:val="left" w:pos="48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1、乙方进行现场</w:t>
      </w:r>
      <w:r>
        <w:rPr>
          <w:rFonts w:hint="eastAsia" w:ascii="仿宋" w:hAnsi="仿宋" w:eastAsia="仿宋" w:cs="仿宋"/>
          <w:sz w:val="24"/>
          <w:szCs w:val="24"/>
          <w:lang w:val="en-US" w:eastAsia="zh-CN"/>
        </w:rPr>
        <w:t>配送</w:t>
      </w:r>
      <w:r>
        <w:rPr>
          <w:rFonts w:hint="eastAsia" w:ascii="仿宋" w:hAnsi="仿宋" w:eastAsia="仿宋" w:cs="仿宋"/>
          <w:sz w:val="24"/>
          <w:szCs w:val="24"/>
        </w:rPr>
        <w:t>时，甲方为乙方工作提供便利。</w:t>
      </w:r>
    </w:p>
    <w:p w14:paraId="26D573B8">
      <w:pPr>
        <w:tabs>
          <w:tab w:val="left" w:pos="48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2、在甲方安全规定允许的前提下，为乙方的人员能够顺利到达</w:t>
      </w:r>
      <w:r>
        <w:rPr>
          <w:rFonts w:hint="eastAsia" w:ascii="仿宋" w:hAnsi="仿宋" w:eastAsia="仿宋" w:cs="仿宋"/>
          <w:sz w:val="24"/>
          <w:szCs w:val="24"/>
          <w:lang w:val="en-US" w:eastAsia="zh-CN"/>
        </w:rPr>
        <w:t>配送</w:t>
      </w:r>
      <w:r>
        <w:rPr>
          <w:rFonts w:hint="eastAsia" w:ascii="仿宋" w:hAnsi="仿宋" w:eastAsia="仿宋" w:cs="仿宋"/>
          <w:sz w:val="24"/>
          <w:szCs w:val="24"/>
        </w:rPr>
        <w:t>现场提供方便。</w:t>
      </w:r>
    </w:p>
    <w:p w14:paraId="6FE22E68">
      <w:pPr>
        <w:tabs>
          <w:tab w:val="left" w:pos="48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3、甲方按照乙方的指导进行非现场维护操作。</w:t>
      </w:r>
    </w:p>
    <w:p w14:paraId="78D600A2">
      <w:pPr>
        <w:tabs>
          <w:tab w:val="left" w:pos="48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4、甲方及时将本合同下维保范围内出现的故障情况通知乙方，乙方负责做好故障有关资料的记录工作。</w:t>
      </w:r>
    </w:p>
    <w:p w14:paraId="612D93C0">
      <w:pPr>
        <w:tabs>
          <w:tab w:val="left" w:pos="48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5、应乙方</w:t>
      </w:r>
      <w:r>
        <w:rPr>
          <w:rFonts w:hint="eastAsia" w:ascii="仿宋" w:hAnsi="仿宋" w:eastAsia="仿宋" w:cs="仿宋"/>
          <w:sz w:val="24"/>
          <w:szCs w:val="24"/>
          <w:lang w:val="en-US" w:eastAsia="zh-CN"/>
        </w:rPr>
        <w:t>配送</w:t>
      </w:r>
      <w:r>
        <w:rPr>
          <w:rFonts w:hint="eastAsia" w:ascii="仿宋" w:hAnsi="仿宋" w:eastAsia="仿宋" w:cs="仿宋"/>
          <w:sz w:val="24"/>
          <w:szCs w:val="24"/>
        </w:rPr>
        <w:t>要求，甲方需提供所需</w:t>
      </w:r>
      <w:r>
        <w:rPr>
          <w:rFonts w:hint="eastAsia" w:ascii="仿宋" w:hAnsi="仿宋" w:eastAsia="仿宋" w:cs="仿宋"/>
          <w:sz w:val="24"/>
          <w:szCs w:val="24"/>
          <w:lang w:val="en-US" w:eastAsia="zh-CN"/>
        </w:rPr>
        <w:t>配送</w:t>
      </w:r>
      <w:r>
        <w:rPr>
          <w:rFonts w:hint="eastAsia" w:ascii="仿宋" w:hAnsi="仿宋" w:eastAsia="仿宋" w:cs="仿宋"/>
          <w:sz w:val="24"/>
          <w:szCs w:val="24"/>
        </w:rPr>
        <w:t>服务的地点。</w:t>
      </w:r>
    </w:p>
    <w:p w14:paraId="2AD68EC9">
      <w:pPr>
        <w:tabs>
          <w:tab w:val="left" w:pos="48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6、甲方有权对乙方的工作态度、技术水平进行监督和评判并提出相应的要求，乙方也会由独立的服务质量监督人员对甲方予以不定期的回访。</w:t>
      </w:r>
    </w:p>
    <w:p w14:paraId="55C7EBB8">
      <w:pPr>
        <w:tabs>
          <w:tab w:val="left" w:pos="480"/>
        </w:tabs>
        <w:spacing w:line="360" w:lineRule="auto"/>
        <w:ind w:firstLine="480" w:firstLineChars="200"/>
        <w:rPr>
          <w:rFonts w:hint="eastAsia" w:ascii="仿宋" w:hAnsi="仿宋" w:eastAsia="仿宋" w:cs="仿宋"/>
          <w:bCs/>
          <w:sz w:val="24"/>
          <w:szCs w:val="24"/>
        </w:rPr>
      </w:pPr>
      <w:r>
        <w:rPr>
          <w:rFonts w:hint="eastAsia" w:ascii="仿宋" w:hAnsi="仿宋" w:eastAsia="仿宋" w:cs="仿宋"/>
          <w:bCs/>
          <w:sz w:val="24"/>
          <w:szCs w:val="24"/>
        </w:rPr>
        <w:t>7、甲方有权不定时、不定范围开展书面或口头的满意度调查，并有权向乙方反馈调查情况，乙方应听取甲方反馈的意见；形成书面调查表并加盖有部门以上印章的，可以作为扣除款项的依据。</w:t>
      </w:r>
    </w:p>
    <w:p w14:paraId="2D6EC602">
      <w:pPr>
        <w:tabs>
          <w:tab w:val="left" w:pos="480"/>
        </w:tabs>
        <w:spacing w:line="360" w:lineRule="auto"/>
        <w:ind w:firstLine="480" w:firstLineChars="200"/>
        <w:rPr>
          <w:rFonts w:hint="eastAsia" w:ascii="仿宋" w:hAnsi="仿宋" w:eastAsia="仿宋" w:cs="仿宋"/>
          <w:sz w:val="24"/>
          <w:szCs w:val="24"/>
        </w:rPr>
      </w:pPr>
      <w:r>
        <w:rPr>
          <w:rFonts w:hint="eastAsia" w:ascii="仿宋" w:hAnsi="仿宋" w:eastAsia="仿宋" w:cs="仿宋"/>
          <w:bCs/>
          <w:sz w:val="24"/>
          <w:szCs w:val="24"/>
        </w:rPr>
        <w:t>8、</w:t>
      </w:r>
      <w:r>
        <w:rPr>
          <w:rFonts w:hint="eastAsia" w:ascii="仿宋" w:hAnsi="仿宋" w:eastAsia="仿宋" w:cs="仿宋"/>
          <w:sz w:val="24"/>
          <w:szCs w:val="24"/>
        </w:rPr>
        <w:t>在项目实施过程中，如甲方发现某项目组成员不能满足工作要求，甲方有权要求乙方进行人员调整。</w:t>
      </w:r>
    </w:p>
    <w:p w14:paraId="487F71F3">
      <w:pPr>
        <w:tabs>
          <w:tab w:val="left" w:pos="480"/>
        </w:tabs>
        <w:spacing w:line="360" w:lineRule="auto"/>
        <w:ind w:firstLine="480" w:firstLineChars="200"/>
        <w:rPr>
          <w:rFonts w:hint="eastAsia" w:ascii="仿宋" w:hAnsi="仿宋" w:eastAsia="仿宋" w:cs="仿宋"/>
          <w:b/>
          <w:sz w:val="24"/>
          <w:szCs w:val="24"/>
        </w:rPr>
      </w:pPr>
      <w:r>
        <w:rPr>
          <w:rFonts w:hint="eastAsia" w:ascii="仿宋" w:hAnsi="仿宋" w:eastAsia="仿宋" w:cs="仿宋"/>
          <w:sz w:val="24"/>
          <w:szCs w:val="24"/>
        </w:rPr>
        <w:t>9、在项目实施过程中发生的人身及财产损失由乙方负责，甲方不承担任何责任。</w:t>
      </w:r>
    </w:p>
    <w:p w14:paraId="0F7F0B73">
      <w:pPr>
        <w:tabs>
          <w:tab w:val="left" w:pos="480"/>
        </w:tabs>
        <w:spacing w:before="249" w:beforeLines="50" w:after="249" w:afterLines="50" w:line="360" w:lineRule="auto"/>
        <w:ind w:firstLine="480" w:firstLineChars="200"/>
        <w:outlineLvl w:val="1"/>
        <w:rPr>
          <w:rFonts w:hint="eastAsia" w:ascii="仿宋" w:hAnsi="仿宋" w:eastAsia="仿宋" w:cs="仿宋"/>
          <w:sz w:val="24"/>
          <w:szCs w:val="24"/>
        </w:rPr>
      </w:pPr>
      <w:bookmarkStart w:id="10" w:name="_Toc4456"/>
      <w:r>
        <w:rPr>
          <w:rFonts w:hint="eastAsia" w:ascii="仿宋" w:hAnsi="仿宋" w:eastAsia="仿宋" w:cs="仿宋"/>
          <w:sz w:val="24"/>
          <w:szCs w:val="24"/>
        </w:rPr>
        <w:t>（二）乙方的权利和义务</w:t>
      </w:r>
      <w:bookmarkEnd w:id="10"/>
    </w:p>
    <w:p w14:paraId="25B261B2">
      <w:pPr>
        <w:tabs>
          <w:tab w:val="left" w:pos="48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1、乙方确保提供</w:t>
      </w:r>
      <w:r>
        <w:rPr>
          <w:rFonts w:hint="eastAsia" w:ascii="仿宋" w:hAnsi="仿宋" w:eastAsia="仿宋" w:cs="仿宋"/>
          <w:sz w:val="24"/>
          <w:szCs w:val="24"/>
          <w:lang w:val="en-US" w:eastAsia="zh-CN"/>
        </w:rPr>
        <w:t>配送</w:t>
      </w:r>
      <w:r>
        <w:rPr>
          <w:rFonts w:hint="eastAsia" w:ascii="仿宋" w:hAnsi="仿宋" w:eastAsia="仿宋" w:cs="仿宋"/>
          <w:sz w:val="24"/>
          <w:szCs w:val="24"/>
        </w:rPr>
        <w:t>服务的</w:t>
      </w:r>
      <w:r>
        <w:rPr>
          <w:rFonts w:hint="eastAsia" w:ascii="仿宋" w:hAnsi="仿宋" w:eastAsia="仿宋" w:cs="仿宋"/>
          <w:sz w:val="24"/>
          <w:szCs w:val="24"/>
          <w:lang w:val="en-US" w:eastAsia="zh-CN"/>
        </w:rPr>
        <w:t>顺利进行，</w:t>
      </w:r>
      <w:r>
        <w:rPr>
          <w:rFonts w:hint="eastAsia" w:ascii="仿宋" w:hAnsi="仿宋" w:eastAsia="仿宋" w:cs="仿宋"/>
          <w:sz w:val="24"/>
          <w:szCs w:val="24"/>
        </w:rPr>
        <w:t>全面满足甲方要求。</w:t>
      </w:r>
    </w:p>
    <w:p w14:paraId="02BF1808">
      <w:pPr>
        <w:tabs>
          <w:tab w:val="left" w:pos="48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2、乙方为甲方提供定期巡检，做好预防性维护。</w:t>
      </w:r>
    </w:p>
    <w:p w14:paraId="3AD359D7">
      <w:pPr>
        <w:tabs>
          <w:tab w:val="left" w:pos="48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3、乙方进入甲方</w:t>
      </w:r>
      <w:r>
        <w:rPr>
          <w:rFonts w:hint="eastAsia" w:ascii="仿宋" w:hAnsi="仿宋" w:eastAsia="仿宋" w:cs="仿宋"/>
          <w:sz w:val="24"/>
          <w:szCs w:val="24"/>
          <w:lang w:val="en-US" w:eastAsia="zh-CN"/>
        </w:rPr>
        <w:t>办公地点</w:t>
      </w:r>
      <w:r>
        <w:rPr>
          <w:rFonts w:hint="eastAsia" w:ascii="仿宋" w:hAnsi="仿宋" w:eastAsia="仿宋" w:cs="仿宋"/>
          <w:sz w:val="24"/>
          <w:szCs w:val="24"/>
        </w:rPr>
        <w:t>，必须持有甲方签发的通行证，同时遵守甲方</w:t>
      </w:r>
      <w:r>
        <w:rPr>
          <w:rFonts w:hint="eastAsia" w:ascii="仿宋" w:hAnsi="仿宋" w:eastAsia="仿宋" w:cs="仿宋"/>
          <w:sz w:val="24"/>
          <w:szCs w:val="24"/>
          <w:lang w:val="en-US" w:eastAsia="zh-CN"/>
        </w:rPr>
        <w:t>办公地点</w:t>
      </w:r>
      <w:r>
        <w:rPr>
          <w:rFonts w:hint="eastAsia" w:ascii="仿宋" w:hAnsi="仿宋" w:eastAsia="仿宋" w:cs="仿宋"/>
          <w:sz w:val="24"/>
          <w:szCs w:val="24"/>
        </w:rPr>
        <w:t>的各种规定。</w:t>
      </w:r>
    </w:p>
    <w:p w14:paraId="16C5E7D0">
      <w:pPr>
        <w:tabs>
          <w:tab w:val="left" w:pos="48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4、乙方保证在甲方现场的工作人员严格按照甲方现场管理要求和工作纪律行事。</w:t>
      </w:r>
    </w:p>
    <w:p w14:paraId="1FD4610A">
      <w:pPr>
        <w:tabs>
          <w:tab w:val="left" w:pos="48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5</w:t>
      </w:r>
      <w:r>
        <w:rPr>
          <w:rFonts w:hint="eastAsia" w:ascii="仿宋" w:hAnsi="仿宋" w:eastAsia="仿宋" w:cs="仿宋"/>
          <w:sz w:val="24"/>
          <w:szCs w:val="24"/>
        </w:rPr>
        <w:t>、因乙方问题造成甲方的</w:t>
      </w:r>
      <w:r>
        <w:rPr>
          <w:rFonts w:hint="eastAsia" w:ascii="仿宋" w:hAnsi="仿宋" w:eastAsia="仿宋" w:cs="仿宋"/>
          <w:sz w:val="24"/>
          <w:szCs w:val="24"/>
          <w:lang w:val="en-US" w:eastAsia="zh-CN"/>
        </w:rPr>
        <w:t>物品</w:t>
      </w:r>
      <w:r>
        <w:rPr>
          <w:rFonts w:hint="eastAsia" w:ascii="仿宋" w:hAnsi="仿宋" w:eastAsia="仿宋" w:cs="仿宋"/>
          <w:sz w:val="24"/>
          <w:szCs w:val="24"/>
        </w:rPr>
        <w:t>受到损坏，乙方应负责赔偿甲方因此所遭受的全部损失。</w:t>
      </w:r>
    </w:p>
    <w:p w14:paraId="35260C1C">
      <w:pPr>
        <w:tabs>
          <w:tab w:val="left" w:pos="48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6</w:t>
      </w:r>
      <w:r>
        <w:rPr>
          <w:rFonts w:hint="eastAsia" w:ascii="仿宋" w:hAnsi="仿宋" w:eastAsia="仿宋" w:cs="仿宋"/>
          <w:sz w:val="24"/>
          <w:szCs w:val="24"/>
        </w:rPr>
        <w:t>、乙方应按甲方要求如期向甲方交付相关文档，如定期的巡检报告服务季度报告、现场服务单等。</w:t>
      </w:r>
    </w:p>
    <w:p w14:paraId="7ECCF5ED">
      <w:pPr>
        <w:tabs>
          <w:tab w:val="left" w:pos="48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7</w:t>
      </w:r>
      <w:r>
        <w:rPr>
          <w:rFonts w:hint="eastAsia" w:ascii="仿宋" w:hAnsi="仿宋" w:eastAsia="仿宋" w:cs="仿宋"/>
          <w:sz w:val="24"/>
          <w:szCs w:val="24"/>
        </w:rPr>
        <w:t>、乙方在服务过程中发现非本合同服务范围内的问题导致</w:t>
      </w:r>
      <w:r>
        <w:rPr>
          <w:rFonts w:hint="eastAsia" w:ascii="仿宋" w:hAnsi="仿宋" w:eastAsia="仿宋" w:cs="仿宋"/>
          <w:sz w:val="24"/>
          <w:szCs w:val="24"/>
          <w:lang w:val="en-US" w:eastAsia="zh-CN"/>
        </w:rPr>
        <w:t>配送失败</w:t>
      </w:r>
      <w:r>
        <w:rPr>
          <w:rFonts w:hint="eastAsia" w:ascii="仿宋" w:hAnsi="仿宋" w:eastAsia="仿宋" w:cs="仿宋"/>
          <w:sz w:val="24"/>
          <w:szCs w:val="24"/>
        </w:rPr>
        <w:t>，应及时向甲方汇报，在获得甲方的许可和费用确认后另行处理。</w:t>
      </w:r>
    </w:p>
    <w:p w14:paraId="5BE9136B">
      <w:pPr>
        <w:spacing w:line="360" w:lineRule="auto"/>
        <w:ind w:firstLine="480" w:firstLineChars="200"/>
        <w:rPr>
          <w:rFonts w:hint="eastAsia" w:ascii="仿宋" w:hAnsi="仿宋" w:eastAsia="仿宋" w:cs="仿宋"/>
          <w:sz w:val="24"/>
          <w:szCs w:val="24"/>
        </w:rPr>
      </w:pPr>
      <w:r>
        <w:rPr>
          <w:rFonts w:hint="eastAsia" w:ascii="仿宋" w:hAnsi="仿宋" w:eastAsia="仿宋" w:cs="仿宋"/>
          <w:bCs/>
          <w:sz w:val="24"/>
          <w:szCs w:val="24"/>
          <w:lang w:val="en-US" w:eastAsia="zh-CN"/>
        </w:rPr>
        <w:t>8</w:t>
      </w:r>
      <w:r>
        <w:rPr>
          <w:rFonts w:hint="eastAsia" w:ascii="仿宋" w:hAnsi="仿宋" w:eastAsia="仿宋" w:cs="仿宋"/>
          <w:bCs/>
          <w:sz w:val="24"/>
          <w:szCs w:val="24"/>
        </w:rPr>
        <w:t>、</w:t>
      </w:r>
      <w:r>
        <w:rPr>
          <w:rFonts w:hint="eastAsia" w:ascii="仿宋" w:hAnsi="仿宋" w:eastAsia="仿宋" w:cs="仿宋"/>
          <w:sz w:val="24"/>
          <w:szCs w:val="24"/>
        </w:rPr>
        <w:t>在项目实施过程中，乙方项目组成员未经甲方许可不得随意变动。乙方项目组成员如需变动，需向甲方提出书面申请，经甲方书面同意方可变动。</w:t>
      </w:r>
    </w:p>
    <w:p w14:paraId="66086D70">
      <w:pPr>
        <w:pStyle w:val="4"/>
        <w:keepNext/>
        <w:keepLines/>
        <w:pageBreakBefore w:val="0"/>
        <w:widowControl w:val="0"/>
        <w:kinsoku/>
        <w:wordWrap/>
        <w:overflowPunct/>
        <w:topLinePunct w:val="0"/>
        <w:autoSpaceDE/>
        <w:autoSpaceDN/>
        <w:bidi w:val="0"/>
        <w:adjustRightInd/>
        <w:snapToGrid/>
        <w:spacing w:before="100" w:after="100"/>
        <w:jc w:val="both"/>
        <w:textAlignment w:val="auto"/>
        <w:rPr>
          <w:rFonts w:hint="eastAsia" w:cs="Times New Roman"/>
        </w:rPr>
      </w:pPr>
      <w:bookmarkStart w:id="11" w:name="_Toc22791"/>
      <w:r>
        <w:rPr>
          <w:rFonts w:hint="eastAsia" w:cs="Times New Roman"/>
        </w:rPr>
        <w:t>第七条、保密责任</w:t>
      </w:r>
      <w:bookmarkEnd w:id="11"/>
    </w:p>
    <w:p w14:paraId="1872C2DD">
      <w:pPr>
        <w:tabs>
          <w:tab w:val="left" w:pos="48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（一）乙方应遵守国家有关保密的法律法规和行业规定，并对甲方提供的资料负有保密义务。未经甲方同意，不得将在甲方处获得的信息资料带离甲方指定的工作场所或泄露给其他单位和个人。</w:t>
      </w:r>
    </w:p>
    <w:p w14:paraId="23929BF2">
      <w:pPr>
        <w:tabs>
          <w:tab w:val="left" w:pos="48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（二）甲方保护乙方的知识产权，但依据相关法定职责对外公开的除外。</w:t>
      </w:r>
    </w:p>
    <w:p w14:paraId="7A494E0B">
      <w:pPr>
        <w:pStyle w:val="4"/>
        <w:keepNext/>
        <w:keepLines/>
        <w:pageBreakBefore w:val="0"/>
        <w:widowControl w:val="0"/>
        <w:kinsoku/>
        <w:wordWrap/>
        <w:overflowPunct/>
        <w:topLinePunct w:val="0"/>
        <w:autoSpaceDE/>
        <w:autoSpaceDN/>
        <w:bidi w:val="0"/>
        <w:adjustRightInd/>
        <w:snapToGrid/>
        <w:spacing w:before="100" w:after="100"/>
        <w:jc w:val="both"/>
        <w:textAlignment w:val="auto"/>
        <w:rPr>
          <w:rFonts w:hint="eastAsia" w:cs="Times New Roman"/>
        </w:rPr>
      </w:pPr>
      <w:bookmarkStart w:id="12" w:name="_Toc25573"/>
      <w:r>
        <w:rPr>
          <w:rFonts w:hint="eastAsia" w:cs="Times New Roman"/>
        </w:rPr>
        <w:t>第八条、违约情形及责任</w:t>
      </w:r>
      <w:bookmarkEnd w:id="12"/>
    </w:p>
    <w:p w14:paraId="73DF49D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sz w:val="24"/>
          <w:szCs w:val="24"/>
          <w:lang w:val="en-US" w:eastAsia="zh-CN"/>
        </w:rPr>
      </w:pPr>
      <w:r>
        <w:rPr>
          <w:rFonts w:hint="eastAsia" w:ascii="仿宋" w:hAnsi="仿宋" w:eastAsia="仿宋" w:cs="仿宋"/>
          <w:sz w:val="24"/>
          <w:szCs w:val="24"/>
        </w:rPr>
        <w:t>（一）</w:t>
      </w:r>
      <w:r>
        <w:rPr>
          <w:rFonts w:hint="default" w:ascii="仿宋" w:hAnsi="仿宋" w:eastAsia="仿宋" w:cs="仿宋"/>
          <w:sz w:val="24"/>
          <w:szCs w:val="24"/>
          <w:lang w:val="en-US" w:eastAsia="zh-CN"/>
        </w:rPr>
        <w:t>除不可抗力外，如果乙方没有按照本合同约定的期限、地点和方式履行，那么甲方可要求乙方支付违约金，违约金按每迟延履行一日的应提供而未提供服务价格的0.5%计算，最高限额为本合同总价的5%;迟延履行的违约金计算数额达到前述最高限额之日起，甲方有权在要求乙方支付违约金的同时，书面通知乙方解除本合同;</w:t>
      </w:r>
    </w:p>
    <w:p w14:paraId="4AA8EEC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（二）</w:t>
      </w:r>
      <w:r>
        <w:rPr>
          <w:rFonts w:hint="default" w:ascii="仿宋" w:hAnsi="仿宋" w:eastAsia="仿宋" w:cs="仿宋"/>
          <w:sz w:val="24"/>
          <w:szCs w:val="24"/>
          <w:lang w:val="en-US" w:eastAsia="zh-CN"/>
        </w:rPr>
        <w:t>除不可抗力外，如果甲方没有按照本合同约定的付款方式付款，那么乙方可要求甲方支付违约金，违约金按每迟延付款一日的应付而未付款的0.5%计算，最高限额为本合同总价的5%;迟延付款的违约金计算数额达到前述最高限额之日起乙方有权在要求甲方支付违约金的同时，书面通知甲方解除本合同；</w:t>
      </w:r>
    </w:p>
    <w:p w14:paraId="001629F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（三）</w:t>
      </w:r>
      <w:r>
        <w:rPr>
          <w:rFonts w:hint="default" w:ascii="仿宋" w:hAnsi="仿宋" w:eastAsia="仿宋" w:cs="仿宋"/>
          <w:sz w:val="24"/>
          <w:szCs w:val="24"/>
          <w:lang w:val="en-US" w:eastAsia="zh-CN"/>
        </w:rPr>
        <w:t>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来影响对方当事人在合同签订、履行过程中的行为)或者欺诈行为(即: 以谎报事实或隐瞒真相的方法来影响对方当事人在合同签订、履行过程中的行为)的，对方当事人可以书面通知违约方解除本合同；</w:t>
      </w:r>
    </w:p>
    <w:p w14:paraId="78279BB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（四）</w:t>
      </w:r>
      <w:r>
        <w:rPr>
          <w:rFonts w:hint="default" w:ascii="仿宋" w:hAnsi="仿宋" w:eastAsia="仿宋" w:cs="仿宋"/>
          <w:sz w:val="24"/>
          <w:szCs w:val="24"/>
          <w:lang w:val="en-US" w:eastAsia="zh-CN"/>
        </w:rPr>
        <w:t>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w:t>
      </w:r>
    </w:p>
    <w:p w14:paraId="562D70E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（五）</w:t>
      </w:r>
      <w:r>
        <w:rPr>
          <w:rFonts w:hint="default" w:ascii="仿宋" w:hAnsi="仿宋" w:eastAsia="仿宋" w:cs="仿宋"/>
          <w:sz w:val="24"/>
          <w:szCs w:val="24"/>
          <w:lang w:val="en-US" w:eastAsia="zh-CN"/>
        </w:rPr>
        <w:t>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w:t>
      </w:r>
    </w:p>
    <w:p w14:paraId="34EC039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（六）</w:t>
      </w:r>
      <w:r>
        <w:rPr>
          <w:rFonts w:hint="default" w:ascii="仿宋" w:hAnsi="仿宋" w:eastAsia="仿宋" w:cs="仿宋"/>
          <w:sz w:val="24"/>
          <w:szCs w:val="24"/>
          <w:lang w:val="en-US" w:eastAsia="zh-CN"/>
        </w:rPr>
        <w:t>如果出现政府采购监督管理部门在处理投诉事项期间，书面通知甲方暂停采购活动的情形，或者询问或质疑事项可能影响成交结果的，导致甲方中止履行合同的情形，均不视为甲方违约</w:t>
      </w:r>
      <w:r>
        <w:rPr>
          <w:rFonts w:hint="eastAsia" w:ascii="仿宋" w:hAnsi="仿宋" w:eastAsia="仿宋" w:cs="仿宋"/>
          <w:sz w:val="24"/>
          <w:szCs w:val="24"/>
        </w:rPr>
        <w:t>。</w:t>
      </w:r>
    </w:p>
    <w:p w14:paraId="6473D664">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（七）其他违约行为，按照国家有关法规和条例承担法律责任。</w:t>
      </w:r>
    </w:p>
    <w:p w14:paraId="6FE96F0F">
      <w:pPr>
        <w:pStyle w:val="4"/>
        <w:keepNext/>
        <w:keepLines/>
        <w:pageBreakBefore w:val="0"/>
        <w:widowControl w:val="0"/>
        <w:kinsoku/>
        <w:wordWrap/>
        <w:overflowPunct/>
        <w:topLinePunct w:val="0"/>
        <w:autoSpaceDE/>
        <w:autoSpaceDN/>
        <w:bidi w:val="0"/>
        <w:adjustRightInd/>
        <w:snapToGrid/>
        <w:spacing w:before="100" w:after="100"/>
        <w:jc w:val="both"/>
        <w:textAlignment w:val="auto"/>
        <w:rPr>
          <w:rFonts w:hint="eastAsia" w:cs="Times New Roman"/>
        </w:rPr>
      </w:pPr>
      <w:bookmarkStart w:id="13" w:name="_Toc27017"/>
      <w:r>
        <w:rPr>
          <w:rFonts w:hint="eastAsia" w:cs="Times New Roman"/>
        </w:rPr>
        <w:t>第九条、合同解除</w:t>
      </w:r>
      <w:bookmarkEnd w:id="13"/>
    </w:p>
    <w:p w14:paraId="0AC7D8EC">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（一）如果乙方有下述任何一种违约行为或《合同条款》中规定的其它违约行为，在不妨碍甲方采取其它救济手段的情况下，甲方可以向乙方发出书面违约通知，全部或部分地解除合同。</w:t>
      </w:r>
    </w:p>
    <w:p w14:paraId="7A5C2AF4">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1、乙方未能按合同规定的期限交付和/或提供相关的服务及资料；</w:t>
      </w:r>
    </w:p>
    <w:p w14:paraId="0189F824">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2、乙方未能使规划方案达到相应合同附件规定的保证指标；</w:t>
      </w:r>
    </w:p>
    <w:p w14:paraId="70A48DDD">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3、乙方未能履行合同项下任何其它义务，并且在收到甲方违约通知后未能按通知所规定的期限对其违约行为作出补救；</w:t>
      </w:r>
    </w:p>
    <w:p w14:paraId="7FA983AD">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4、乙方在项目实施过程中未经甲方书面同意将项目的全部或部分转让、转包或分包给第三方公司或个人。</w:t>
      </w:r>
    </w:p>
    <w:p w14:paraId="79B4949E">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（二）如果一方破产或发生资不抵债的情况,合同另一方有权在任何时候发出书面通知解除合同。此种情况下合同的解除不妨碍或影响行使任何可能的其它救济手段。</w:t>
      </w:r>
    </w:p>
    <w:p w14:paraId="4A415796">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（三）如果甲方认定乙方在竞标或执行合同中有腐败或欺诈行为, 甲方有权在任何时候发出书面通知解除合同。 </w:t>
      </w:r>
    </w:p>
    <w:p w14:paraId="20C8F501">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1、“腐败行为”系指在招标、采购和合同执行等过程中，为谋求利益、影响相关人员而提供、给予、接受或索取任何有价物的行为。</w:t>
      </w:r>
    </w:p>
    <w:p w14:paraId="35188F1F">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欺诈行为”系指为了影响招标、采购和合同执行等过程而隐瞒事实，从而给甲方造成损害的行为，其中包括供应商之间的串通行为，其旨在使投标价成为人为的、无竞争的价格，并使甲方无法从自由公开的竞争中受益。</w:t>
      </w:r>
    </w:p>
    <w:p w14:paraId="6F84EB5A">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（四）如果甲方行使解除合同的权利，甲方有权停付合同款，并有权将在执行合同中预付给乙方的款项索回，并有权要求乙方赔偿由此产生的直接经济损失。</w:t>
      </w:r>
    </w:p>
    <w:p w14:paraId="043CFC1A">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五）若（二）和（三）考虑的情况确实发生，甲方有权从乙方手中将与“项目”有关的工作接管并收归己有，乙方应给甲方提供全权处理并提供一切合理的方便，甲方对这种终止合同直接或间接引起的对乙方的任何索赔不承担责任。</w:t>
      </w:r>
    </w:p>
    <w:p w14:paraId="1B18C322">
      <w:pPr>
        <w:pStyle w:val="4"/>
        <w:keepNext/>
        <w:keepLines/>
        <w:pageBreakBefore w:val="0"/>
        <w:widowControl w:val="0"/>
        <w:kinsoku/>
        <w:wordWrap/>
        <w:overflowPunct/>
        <w:topLinePunct w:val="0"/>
        <w:autoSpaceDE/>
        <w:autoSpaceDN/>
        <w:bidi w:val="0"/>
        <w:adjustRightInd/>
        <w:snapToGrid/>
        <w:spacing w:before="100" w:after="100"/>
        <w:jc w:val="both"/>
        <w:textAlignment w:val="auto"/>
        <w:rPr>
          <w:rFonts w:hint="eastAsia" w:cs="Times New Roman"/>
        </w:rPr>
      </w:pPr>
      <w:bookmarkStart w:id="14" w:name="_Toc17305"/>
      <w:r>
        <w:rPr>
          <w:rFonts w:hint="eastAsia" w:cs="Times New Roman"/>
        </w:rPr>
        <w:t>第十条、争议解决方式</w:t>
      </w:r>
      <w:bookmarkEnd w:id="14"/>
    </w:p>
    <w:p w14:paraId="04569A8D">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因履行本合同发生的争议，由甲方和乙方协商解决，协商不成的，任何一方均可向甲方住所地人民法院提起诉讼，通过诉讼途径解决。</w:t>
      </w:r>
    </w:p>
    <w:p w14:paraId="328DFC6B">
      <w:pPr>
        <w:pStyle w:val="4"/>
        <w:keepNext/>
        <w:keepLines/>
        <w:pageBreakBefore w:val="0"/>
        <w:widowControl w:val="0"/>
        <w:kinsoku/>
        <w:wordWrap/>
        <w:overflowPunct/>
        <w:topLinePunct w:val="0"/>
        <w:autoSpaceDE/>
        <w:autoSpaceDN/>
        <w:bidi w:val="0"/>
        <w:adjustRightInd/>
        <w:snapToGrid/>
        <w:spacing w:before="100" w:after="100"/>
        <w:jc w:val="both"/>
        <w:textAlignment w:val="auto"/>
        <w:rPr>
          <w:rFonts w:hint="eastAsia" w:cs="Times New Roman"/>
        </w:rPr>
      </w:pPr>
      <w:bookmarkStart w:id="15" w:name="_Toc7009"/>
      <w:r>
        <w:rPr>
          <w:rFonts w:hint="eastAsia" w:cs="Times New Roman"/>
        </w:rPr>
        <w:t>第十一条、合同组成及生效</w:t>
      </w:r>
      <w:bookmarkEnd w:id="15"/>
    </w:p>
    <w:p w14:paraId="0DF294B1">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（一）合同组成</w:t>
      </w:r>
    </w:p>
    <w:p w14:paraId="23F7D032">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1、甲方与乙方签署的合同中的所有条款；</w:t>
      </w:r>
    </w:p>
    <w:p w14:paraId="3EFC469E">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2、成交通知书；</w:t>
      </w:r>
    </w:p>
    <w:p w14:paraId="6737A0AD">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z w:val="24"/>
          <w:szCs w:val="24"/>
          <w:lang w:val="en-US" w:eastAsia="zh-CN"/>
        </w:rPr>
        <w:t>单一来源谈判</w:t>
      </w:r>
      <w:r>
        <w:rPr>
          <w:rFonts w:hint="eastAsia" w:ascii="仿宋" w:hAnsi="仿宋" w:eastAsia="仿宋" w:cs="仿宋"/>
          <w:sz w:val="24"/>
          <w:szCs w:val="24"/>
        </w:rPr>
        <w:t>文件及澄清（如有）</w:t>
      </w:r>
    </w:p>
    <w:p w14:paraId="1C28CED0">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w:t>
      </w:r>
      <w:r>
        <w:rPr>
          <w:rFonts w:hint="eastAsia" w:ascii="仿宋" w:hAnsi="仿宋" w:eastAsia="仿宋" w:cs="仿宋"/>
          <w:sz w:val="24"/>
          <w:szCs w:val="24"/>
          <w:lang w:val="en-US" w:eastAsia="zh-CN"/>
        </w:rPr>
        <w:t>单一来源谈判</w:t>
      </w:r>
      <w:r>
        <w:rPr>
          <w:rFonts w:hint="eastAsia" w:ascii="仿宋" w:hAnsi="仿宋" w:eastAsia="仿宋" w:cs="仿宋"/>
          <w:sz w:val="24"/>
          <w:szCs w:val="24"/>
        </w:rPr>
        <w:t>响应文件及澄清（如有）</w:t>
      </w:r>
    </w:p>
    <w:p w14:paraId="36262076">
      <w:pPr>
        <w:tabs>
          <w:tab w:val="left" w:pos="480"/>
        </w:tabs>
        <w:spacing w:after="249" w:afterLines="50"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（二）本合同一式</w:t>
      </w:r>
      <w:r>
        <w:rPr>
          <w:rFonts w:hint="eastAsia" w:ascii="仿宋" w:hAnsi="仿宋" w:eastAsia="仿宋" w:cs="仿宋"/>
          <w:b/>
          <w:sz w:val="24"/>
          <w:szCs w:val="24"/>
          <w:u w:val="single"/>
          <w:lang w:val="en-US" w:eastAsia="zh-CN"/>
        </w:rPr>
        <w:t xml:space="preserve">    </w:t>
      </w:r>
      <w:r>
        <w:rPr>
          <w:rFonts w:hint="eastAsia" w:ascii="仿宋" w:hAnsi="仿宋" w:eastAsia="仿宋" w:cs="仿宋"/>
          <w:sz w:val="24"/>
          <w:szCs w:val="24"/>
        </w:rPr>
        <w:t>份，甲方持</w:t>
      </w:r>
      <w:r>
        <w:rPr>
          <w:rFonts w:hint="eastAsia" w:ascii="仿宋" w:hAnsi="仿宋" w:eastAsia="仿宋" w:cs="仿宋"/>
          <w:b/>
          <w:sz w:val="24"/>
          <w:szCs w:val="24"/>
          <w:u w:val="single"/>
          <w:lang w:val="en-US" w:eastAsia="zh-CN"/>
        </w:rPr>
        <w:t xml:space="preserve">   </w:t>
      </w:r>
      <w:r>
        <w:rPr>
          <w:rFonts w:hint="eastAsia" w:ascii="仿宋" w:hAnsi="仿宋" w:eastAsia="仿宋" w:cs="仿宋"/>
          <w:sz w:val="24"/>
          <w:szCs w:val="24"/>
        </w:rPr>
        <w:t>份，乙方持</w:t>
      </w:r>
      <w:r>
        <w:rPr>
          <w:rFonts w:hint="eastAsia" w:ascii="仿宋" w:hAnsi="仿宋" w:eastAsia="仿宋" w:cs="仿宋"/>
          <w:b/>
          <w:sz w:val="24"/>
          <w:szCs w:val="24"/>
          <w:u w:val="single"/>
          <w:lang w:val="en-US" w:eastAsia="zh-CN"/>
        </w:rPr>
        <w:t xml:space="preserve">   </w:t>
      </w:r>
      <w:r>
        <w:rPr>
          <w:rFonts w:hint="eastAsia" w:ascii="仿宋" w:hAnsi="仿宋" w:eastAsia="仿宋" w:cs="仿宋"/>
          <w:sz w:val="24"/>
          <w:szCs w:val="24"/>
        </w:rPr>
        <w:t>份，甲乙双方签字盖章后生效。</w:t>
      </w:r>
    </w:p>
    <w:p w14:paraId="0F6136D2">
      <w:pPr>
        <w:tabs>
          <w:tab w:val="left" w:pos="480"/>
        </w:tabs>
        <w:spacing w:after="249" w:afterLines="50"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以下无正文</w:t>
      </w:r>
      <w:r>
        <w:rPr>
          <w:rFonts w:hint="eastAsia" w:ascii="仿宋" w:hAnsi="仿宋" w:eastAsia="仿宋" w:cs="仿宋"/>
          <w:sz w:val="24"/>
          <w:szCs w:val="24"/>
          <w:lang w:eastAsia="zh-CN"/>
        </w:rPr>
        <w:t>）</w:t>
      </w:r>
    </w:p>
    <w:tbl>
      <w:tblPr>
        <w:tblStyle w:val="6"/>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400"/>
        <w:gridCol w:w="4680"/>
      </w:tblGrid>
      <w:tr w14:paraId="06E79E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2" w:hRule="exact"/>
          <w:jc w:val="center"/>
        </w:trPr>
        <w:tc>
          <w:tcPr>
            <w:tcW w:w="4400" w:type="dxa"/>
            <w:tcBorders>
              <w:tl2br w:val="nil"/>
              <w:tr2bl w:val="nil"/>
            </w:tcBorders>
            <w:noWrap w:val="0"/>
            <w:tcMar>
              <w:left w:w="0" w:type="dxa"/>
              <w:right w:w="0" w:type="dxa"/>
            </w:tcMar>
            <w:vAlign w:val="center"/>
          </w:tcPr>
          <w:p w14:paraId="337FE8FC">
            <w:pPr>
              <w:autoSpaceDE w:val="0"/>
              <w:autoSpaceDN w:val="0"/>
              <w:adjustRightInd w:val="0"/>
              <w:spacing w:line="360" w:lineRule="auto"/>
              <w:rPr>
                <w:rFonts w:hint="eastAsia" w:ascii="仿宋" w:hAnsi="仿宋" w:eastAsia="仿宋" w:cs="仿宋"/>
                <w:b/>
                <w:kern w:val="0"/>
                <w:sz w:val="24"/>
                <w:szCs w:val="24"/>
                <w:lang w:eastAsia="zh-CN"/>
              </w:rPr>
            </w:pPr>
            <w:r>
              <w:rPr>
                <w:rFonts w:hint="eastAsia" w:ascii="仿宋" w:hAnsi="仿宋" w:eastAsia="仿宋" w:cs="仿宋"/>
                <w:b/>
                <w:kern w:val="0"/>
                <w:sz w:val="24"/>
                <w:szCs w:val="24"/>
              </w:rPr>
              <w:t>甲方：</w:t>
            </w:r>
            <w:r>
              <w:rPr>
                <w:rFonts w:hint="eastAsia" w:ascii="仿宋" w:hAnsi="仿宋" w:eastAsia="仿宋" w:cs="仿宋"/>
                <w:b/>
                <w:kern w:val="0"/>
                <w:sz w:val="24"/>
                <w:szCs w:val="24"/>
                <w:lang w:eastAsia="zh-CN"/>
              </w:rPr>
              <w:t>西安市雁塔区⼈⺠法院</w:t>
            </w:r>
          </w:p>
          <w:p w14:paraId="6883EFA9">
            <w:pPr>
              <w:autoSpaceDE w:val="0"/>
              <w:autoSpaceDN w:val="0"/>
              <w:adjustRightInd w:val="0"/>
              <w:spacing w:line="360" w:lineRule="auto"/>
              <w:ind w:firstLine="2880" w:firstLineChars="1200"/>
              <w:rPr>
                <w:rFonts w:hint="eastAsia" w:ascii="仿宋" w:hAnsi="仿宋" w:eastAsia="仿宋" w:cs="仿宋"/>
                <w:b/>
                <w:kern w:val="0"/>
                <w:sz w:val="24"/>
                <w:szCs w:val="24"/>
              </w:rPr>
            </w:pPr>
            <w:r>
              <w:rPr>
                <w:rFonts w:hint="eastAsia" w:ascii="仿宋" w:hAnsi="仿宋" w:eastAsia="仿宋" w:cs="仿宋"/>
                <w:color w:val="000000"/>
                <w:kern w:val="0"/>
                <w:sz w:val="24"/>
                <w:szCs w:val="24"/>
              </w:rPr>
              <w:t>（盖章）</w:t>
            </w:r>
          </w:p>
        </w:tc>
        <w:tc>
          <w:tcPr>
            <w:tcW w:w="4680" w:type="dxa"/>
            <w:tcBorders>
              <w:tl2br w:val="nil"/>
              <w:tr2bl w:val="nil"/>
            </w:tcBorders>
            <w:noWrap w:val="0"/>
            <w:tcMar>
              <w:left w:w="0" w:type="dxa"/>
              <w:right w:w="0" w:type="dxa"/>
            </w:tcMar>
            <w:vAlign w:val="center"/>
          </w:tcPr>
          <w:p w14:paraId="03D53DEF">
            <w:pPr>
              <w:autoSpaceDE w:val="0"/>
              <w:autoSpaceDN w:val="0"/>
              <w:adjustRightInd w:val="0"/>
              <w:spacing w:line="360" w:lineRule="auto"/>
              <w:rPr>
                <w:rFonts w:hint="eastAsia" w:ascii="仿宋" w:hAnsi="仿宋" w:eastAsia="仿宋" w:cs="仿宋"/>
                <w:b/>
                <w:kern w:val="0"/>
                <w:sz w:val="24"/>
                <w:szCs w:val="24"/>
                <w:u w:val="none"/>
              </w:rPr>
            </w:pPr>
            <w:r>
              <w:rPr>
                <w:rFonts w:hint="eastAsia" w:ascii="仿宋" w:hAnsi="仿宋" w:eastAsia="仿宋" w:cs="仿宋"/>
                <w:b/>
                <w:kern w:val="0"/>
                <w:sz w:val="24"/>
                <w:szCs w:val="24"/>
              </w:rPr>
              <w:t>乙方：</w:t>
            </w:r>
            <w:r>
              <w:rPr>
                <w:rFonts w:hint="eastAsia" w:ascii="仿宋" w:hAnsi="仿宋" w:eastAsia="仿宋" w:cs="仿宋"/>
                <w:b w:val="0"/>
                <w:bCs w:val="0"/>
                <w:sz w:val="24"/>
                <w:szCs w:val="24"/>
                <w:u w:val="none"/>
                <w:lang w:val="en-US" w:eastAsia="zh-CN"/>
              </w:rPr>
              <w:t xml:space="preserve">   </w:t>
            </w:r>
          </w:p>
          <w:p w14:paraId="7CB822FA">
            <w:pPr>
              <w:autoSpaceDE w:val="0"/>
              <w:autoSpaceDN w:val="0"/>
              <w:adjustRightInd w:val="0"/>
              <w:spacing w:line="360" w:lineRule="auto"/>
              <w:ind w:firstLine="3360" w:firstLineChars="1400"/>
              <w:rPr>
                <w:rFonts w:hint="eastAsia" w:ascii="仿宋" w:hAnsi="仿宋" w:eastAsia="仿宋" w:cs="仿宋"/>
                <w:b/>
                <w:kern w:val="0"/>
                <w:sz w:val="24"/>
                <w:szCs w:val="24"/>
              </w:rPr>
            </w:pPr>
            <w:r>
              <w:rPr>
                <w:rFonts w:hint="eastAsia" w:ascii="仿宋" w:hAnsi="仿宋" w:eastAsia="仿宋" w:cs="仿宋"/>
                <w:color w:val="000000"/>
                <w:kern w:val="0"/>
                <w:sz w:val="24"/>
                <w:szCs w:val="24"/>
              </w:rPr>
              <w:t>（盖章）</w:t>
            </w:r>
          </w:p>
        </w:tc>
      </w:tr>
      <w:tr w14:paraId="0ADB77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4400" w:type="dxa"/>
            <w:tcBorders>
              <w:tl2br w:val="nil"/>
              <w:tr2bl w:val="nil"/>
            </w:tcBorders>
            <w:noWrap w:val="0"/>
            <w:vAlign w:val="center"/>
          </w:tcPr>
          <w:p w14:paraId="639FF627">
            <w:pPr>
              <w:autoSpaceDE w:val="0"/>
              <w:autoSpaceDN w:val="0"/>
              <w:adjustRightInd w:val="0"/>
              <w:spacing w:line="360" w:lineRule="auto"/>
              <w:rPr>
                <w:rFonts w:hint="eastAsia" w:ascii="仿宋" w:hAnsi="仿宋" w:eastAsia="仿宋" w:cs="仿宋"/>
                <w:color w:val="000000"/>
                <w:kern w:val="0"/>
                <w:sz w:val="24"/>
                <w:szCs w:val="24"/>
                <w:lang w:eastAsia="zh-CN"/>
              </w:rPr>
            </w:pPr>
            <w:r>
              <w:rPr>
                <w:rFonts w:hint="eastAsia" w:ascii="仿宋" w:hAnsi="仿宋" w:eastAsia="仿宋" w:cs="仿宋"/>
                <w:color w:val="000000"/>
                <w:kern w:val="0"/>
                <w:sz w:val="24"/>
                <w:szCs w:val="24"/>
              </w:rPr>
              <w:t>地址：</w:t>
            </w:r>
          </w:p>
        </w:tc>
        <w:tc>
          <w:tcPr>
            <w:tcW w:w="4680" w:type="dxa"/>
            <w:tcBorders>
              <w:tl2br w:val="nil"/>
              <w:tr2bl w:val="nil"/>
            </w:tcBorders>
            <w:noWrap w:val="0"/>
            <w:vAlign w:val="center"/>
          </w:tcPr>
          <w:p w14:paraId="62130E6C">
            <w:pPr>
              <w:autoSpaceDE w:val="0"/>
              <w:autoSpaceDN w:val="0"/>
              <w:adjustRightInd w:val="0"/>
              <w:spacing w:line="360" w:lineRule="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地址：</w:t>
            </w:r>
          </w:p>
        </w:tc>
      </w:tr>
      <w:tr w14:paraId="5D6469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4400" w:type="dxa"/>
            <w:tcBorders>
              <w:tl2br w:val="nil"/>
              <w:tr2bl w:val="nil"/>
            </w:tcBorders>
            <w:noWrap w:val="0"/>
            <w:vAlign w:val="center"/>
          </w:tcPr>
          <w:p w14:paraId="5C724670">
            <w:pPr>
              <w:autoSpaceDE w:val="0"/>
              <w:autoSpaceDN w:val="0"/>
              <w:adjustRightInd w:val="0"/>
              <w:spacing w:line="360" w:lineRule="auto"/>
              <w:rPr>
                <w:rFonts w:hint="eastAsia" w:ascii="仿宋" w:hAnsi="仿宋" w:eastAsia="仿宋" w:cs="仿宋"/>
                <w:color w:val="000000"/>
                <w:kern w:val="0"/>
                <w:sz w:val="24"/>
                <w:szCs w:val="24"/>
                <w:lang w:eastAsia="zh-CN"/>
              </w:rPr>
            </w:pPr>
            <w:r>
              <w:rPr>
                <w:rFonts w:hint="eastAsia" w:ascii="仿宋" w:hAnsi="仿宋" w:eastAsia="仿宋" w:cs="仿宋"/>
                <w:color w:val="000000"/>
                <w:kern w:val="0"/>
                <w:sz w:val="24"/>
                <w:szCs w:val="24"/>
              </w:rPr>
              <w:t>邮编：</w:t>
            </w:r>
          </w:p>
        </w:tc>
        <w:tc>
          <w:tcPr>
            <w:tcW w:w="4680" w:type="dxa"/>
            <w:tcBorders>
              <w:tl2br w:val="nil"/>
              <w:tr2bl w:val="nil"/>
            </w:tcBorders>
            <w:noWrap w:val="0"/>
            <w:vAlign w:val="center"/>
          </w:tcPr>
          <w:p w14:paraId="4D93F4AE">
            <w:pPr>
              <w:autoSpaceDE w:val="0"/>
              <w:autoSpaceDN w:val="0"/>
              <w:adjustRightInd w:val="0"/>
              <w:spacing w:line="360" w:lineRule="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邮编：</w:t>
            </w:r>
          </w:p>
        </w:tc>
      </w:tr>
      <w:tr w14:paraId="17A26C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77" w:hRule="exact"/>
          <w:jc w:val="center"/>
        </w:trPr>
        <w:tc>
          <w:tcPr>
            <w:tcW w:w="4400" w:type="dxa"/>
            <w:tcBorders>
              <w:tl2br w:val="nil"/>
              <w:tr2bl w:val="nil"/>
            </w:tcBorders>
            <w:noWrap w:val="0"/>
            <w:vAlign w:val="center"/>
          </w:tcPr>
          <w:p w14:paraId="7DC4FA01">
            <w:pPr>
              <w:autoSpaceDE w:val="0"/>
              <w:autoSpaceDN w:val="0"/>
              <w:adjustRightInd w:val="0"/>
              <w:spacing w:line="360" w:lineRule="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lang w:eastAsia="zh-CN"/>
              </w:rPr>
              <w:t>负责人</w:t>
            </w:r>
            <w:r>
              <w:rPr>
                <w:rFonts w:hint="eastAsia" w:ascii="仿宋" w:hAnsi="仿宋" w:eastAsia="仿宋" w:cs="仿宋"/>
                <w:color w:val="000000"/>
                <w:kern w:val="0"/>
                <w:sz w:val="24"/>
                <w:szCs w:val="24"/>
              </w:rPr>
              <w:t>：</w:t>
            </w:r>
          </w:p>
        </w:tc>
        <w:tc>
          <w:tcPr>
            <w:tcW w:w="4680" w:type="dxa"/>
            <w:tcBorders>
              <w:tl2br w:val="nil"/>
              <w:tr2bl w:val="nil"/>
            </w:tcBorders>
            <w:noWrap w:val="0"/>
            <w:vAlign w:val="center"/>
          </w:tcPr>
          <w:p w14:paraId="7F54959D">
            <w:pPr>
              <w:autoSpaceDE w:val="0"/>
              <w:autoSpaceDN w:val="0"/>
              <w:adjustRightInd w:val="0"/>
              <w:spacing w:line="360" w:lineRule="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lang w:eastAsia="zh-CN"/>
              </w:rPr>
              <w:t>负责人</w:t>
            </w:r>
            <w:r>
              <w:rPr>
                <w:rFonts w:hint="eastAsia" w:ascii="仿宋" w:hAnsi="仿宋" w:eastAsia="仿宋" w:cs="仿宋"/>
                <w:color w:val="000000"/>
                <w:kern w:val="0"/>
                <w:sz w:val="24"/>
                <w:szCs w:val="24"/>
              </w:rPr>
              <w:t>：</w:t>
            </w:r>
          </w:p>
        </w:tc>
      </w:tr>
      <w:tr w14:paraId="29873F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77" w:hRule="exact"/>
          <w:jc w:val="center"/>
        </w:trPr>
        <w:tc>
          <w:tcPr>
            <w:tcW w:w="4400" w:type="dxa"/>
            <w:tcBorders>
              <w:tl2br w:val="nil"/>
              <w:tr2bl w:val="nil"/>
            </w:tcBorders>
            <w:noWrap w:val="0"/>
            <w:vAlign w:val="center"/>
          </w:tcPr>
          <w:p w14:paraId="24D561E8">
            <w:pPr>
              <w:autoSpaceDE w:val="0"/>
              <w:autoSpaceDN w:val="0"/>
              <w:adjustRightInd w:val="0"/>
              <w:spacing w:line="360" w:lineRule="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被授权代表：（签字）</w:t>
            </w:r>
          </w:p>
        </w:tc>
        <w:tc>
          <w:tcPr>
            <w:tcW w:w="4680" w:type="dxa"/>
            <w:tcBorders>
              <w:tl2br w:val="nil"/>
              <w:tr2bl w:val="nil"/>
            </w:tcBorders>
            <w:noWrap w:val="0"/>
            <w:vAlign w:val="center"/>
          </w:tcPr>
          <w:p w14:paraId="53E924E1">
            <w:pPr>
              <w:autoSpaceDE w:val="0"/>
              <w:autoSpaceDN w:val="0"/>
              <w:adjustRightInd w:val="0"/>
              <w:spacing w:line="360" w:lineRule="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被授权代表：（签字）</w:t>
            </w:r>
          </w:p>
        </w:tc>
      </w:tr>
      <w:tr w14:paraId="707B9C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8" w:hRule="atLeast"/>
          <w:jc w:val="center"/>
        </w:trPr>
        <w:tc>
          <w:tcPr>
            <w:tcW w:w="4400" w:type="dxa"/>
            <w:tcBorders>
              <w:tl2br w:val="nil"/>
              <w:tr2bl w:val="nil"/>
            </w:tcBorders>
            <w:noWrap w:val="0"/>
            <w:vAlign w:val="center"/>
          </w:tcPr>
          <w:p w14:paraId="2BBA95C6">
            <w:pPr>
              <w:autoSpaceDE w:val="0"/>
              <w:autoSpaceDN w:val="0"/>
              <w:adjustRightInd w:val="0"/>
              <w:spacing w:line="360" w:lineRule="auto"/>
              <w:jc w:val="both"/>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日期：           年    月    日</w:t>
            </w:r>
          </w:p>
        </w:tc>
        <w:tc>
          <w:tcPr>
            <w:tcW w:w="4680" w:type="dxa"/>
            <w:tcBorders>
              <w:tl2br w:val="nil"/>
              <w:tr2bl w:val="nil"/>
            </w:tcBorders>
            <w:noWrap w:val="0"/>
            <w:vAlign w:val="center"/>
          </w:tcPr>
          <w:p w14:paraId="16BEA5EE">
            <w:pPr>
              <w:autoSpaceDE w:val="0"/>
              <w:autoSpaceDN w:val="0"/>
              <w:adjustRightInd w:val="0"/>
              <w:spacing w:line="360" w:lineRule="auto"/>
              <w:jc w:val="both"/>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日期：     年    月    日</w:t>
            </w:r>
          </w:p>
        </w:tc>
      </w:tr>
    </w:tbl>
    <w:p w14:paraId="3A07DCB8"/>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2366783"/>
    <w:rsid w:val="12366783"/>
    <w:rsid w:val="28FC45CF"/>
    <w:rsid w:val="2C9342C4"/>
    <w:rsid w:val="32A454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120" w:beforeLines="0" w:after="120" w:afterLines="0" w:line="360" w:lineRule="auto"/>
      <w:jc w:val="center"/>
      <w:outlineLvl w:val="0"/>
    </w:pPr>
    <w:rPr>
      <w:b/>
      <w:bCs/>
      <w:kern w:val="44"/>
      <w:sz w:val="30"/>
      <w:szCs w:val="44"/>
    </w:rPr>
  </w:style>
  <w:style w:type="paragraph" w:styleId="4">
    <w:name w:val="heading 2"/>
    <w:basedOn w:val="1"/>
    <w:next w:val="5"/>
    <w:qFormat/>
    <w:uiPriority w:val="0"/>
    <w:pPr>
      <w:keepNext/>
      <w:keepLines/>
      <w:spacing w:before="120" w:beforeLines="0" w:after="120" w:afterLines="0" w:line="360" w:lineRule="auto"/>
      <w:jc w:val="center"/>
      <w:outlineLvl w:val="1"/>
    </w:pPr>
    <w:rPr>
      <w:rFonts w:ascii="Arial" w:hAnsi="Arial"/>
      <w:b/>
      <w:bCs/>
      <w:sz w:val="28"/>
      <w:szCs w:val="32"/>
    </w:rPr>
  </w:style>
  <w:style w:type="paragraph" w:styleId="2">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3181</Words>
  <Characters>3197</Characters>
  <Lines>0</Lines>
  <Paragraphs>0</Paragraphs>
  <TotalTime>0</TotalTime>
  <ScaleCrop>false</ScaleCrop>
  <LinksUpToDate>false</LinksUpToDate>
  <CharactersWithSpaces>3308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2025-06-09T04:19:00Z</dcterms:created>
  <dc:creator>宝贝</dc:creator>
  <cp:lastModifiedBy>Cx330</cp:lastModifiedBy>
  <dcterms:modified xsi:type="dcterms:W3CDTF">2026-06-11T06:05:45Z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156EA17BA4AC4613BD635403E82ADC6E_13</vt:lpwstr>
  </property>
  <property fmtid="{D5CDD505-2E9C-101B-9397-08002B2CF9AE}" pid="4" name="KSOTemplateDocerSaveRecord">
    <vt:lpwstr>eyJoZGlkIjoiZWExOGI5Yjk1MDg4NWE4NzZlYjI4NDg5NWQ4MGNhMmIiLCJ1c2VySWQiOiIzODMzMzQ2ODAifQ==</vt:lpwstr>
  </property>
</Properties>
</file>