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版本号：ZCTH2026-06-05820260611001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集约送达服务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ZCTH2026-06-058</w:t>
      </w:r>
      <w:r>
        <w:br/>
      </w:r>
      <w:r>
        <w:br/>
      </w:r>
      <w:r>
        <w:br/>
      </w:r>
    </w:p>
    <w:p>
      <w:pPr>
        <w:pStyle w:val="null3"/>
        <w:jc w:val="center"/>
        <w:outlineLvl w:val="5"/>
      </w:pPr>
      <w:r>
        <w:rPr>
          <w:rFonts w:ascii="仿宋_GB2312" w:hAnsi="仿宋_GB2312" w:cs="仿宋_GB2312" w:eastAsia="仿宋_GB2312"/>
          <w:sz w:val="15"/>
          <w:b/>
        </w:rPr>
        <w:t>西安市雁塔区人民法院[156]</w:t>
      </w:r>
    </w:p>
    <w:p>
      <w:pPr>
        <w:pStyle w:val="null3"/>
        <w:jc w:val="center"/>
        <w:outlineLvl w:val="5"/>
      </w:pPr>
      <w:r>
        <w:rPr>
          <w:rFonts w:ascii="仿宋_GB2312" w:hAnsi="仿宋_GB2312" w:cs="仿宋_GB2312" w:eastAsia="仿宋_GB2312"/>
          <w:sz w:val="15"/>
          <w:b/>
        </w:rPr>
        <w:t>陕西中诚天和项目管理有限公司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集约送达服务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ZCTH2026-06-058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集约送达服务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集约送达服务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1、营业执照：具有独⽴承担⺠事责任能⼒的法⼈、其他组织或⾃然⼈，提供合法有效的统⼀社会信⽤代码营业执照（事业单位提供事业单位法⼈证书，⾃然⼈提供⾝份证明）</w:t>
      </w:r>
    </w:p>
    <w:p>
      <w:pPr>
        <w:pStyle w:val="null3"/>
      </w:pPr>
      <w:r>
        <w:rPr>
          <w:rFonts w:ascii="仿宋_GB2312" w:hAnsi="仿宋_GB2312" w:cs="仿宋_GB2312" w:eastAsia="仿宋_GB2312"/>
        </w:rPr>
        <w:t>2、负责⼈授权委托书：负责⼈参加投标的，须出⽰⾝份证；负责⼈授权他⼈参加投标的，须提供负责⼈授权委托书、被授权⼈⾝份证</w:t>
      </w:r>
    </w:p>
    <w:p>
      <w:pPr>
        <w:pStyle w:val="null3"/>
      </w:pPr>
      <w:r>
        <w:rPr>
          <w:rFonts w:ascii="仿宋_GB2312" w:hAnsi="仿宋_GB2312" w:cs="仿宋_GB2312" w:eastAsia="仿宋_GB2312"/>
        </w:rPr>
        <w:t>3、财务状况报告：提供2024年度或2025年度经审计完整的财务审计报告（成⽴时间⾄提交响应⽂件截⽌时间不⾜⼀年的可提供成⽴后任意时段的资产负债表），或其开标前三个⽉内银⾏出具的资信证明，或财政部⻔认可的政府采购专业担保机构出具的投标担保函</w:t>
      </w:r>
    </w:p>
    <w:p>
      <w:pPr>
        <w:pStyle w:val="null3"/>
      </w:pPr>
      <w:r>
        <w:rPr>
          <w:rFonts w:ascii="仿宋_GB2312" w:hAnsi="仿宋_GB2312" w:cs="仿宋_GB2312" w:eastAsia="仿宋_GB2312"/>
        </w:rPr>
        <w:t>4、税收缴纳证明：提供响应⽂件截⽌时间前⼀年内⾄少⼀个⽉已缴纳的纳税证明或完税证明（任意税种）；依法免税的供应商应提供相关⽂件证明</w:t>
      </w:r>
    </w:p>
    <w:p>
      <w:pPr>
        <w:pStyle w:val="null3"/>
      </w:pPr>
      <w:r>
        <w:rPr>
          <w:rFonts w:ascii="仿宋_GB2312" w:hAnsi="仿宋_GB2312" w:cs="仿宋_GB2312" w:eastAsia="仿宋_GB2312"/>
        </w:rPr>
        <w:t>5、社会保障资⾦缴纳证明：提供响应⽂件截⽌时间前⼀年内⾄少⼀个⽉已缴纳的社会保障资⾦的凭据（专⽤收据或社会保险缴纳清单）；依法不需要缴纳社会保障资⾦的供应商应提供相关⽂件证明</w:t>
      </w:r>
    </w:p>
    <w:p>
      <w:pPr>
        <w:pStyle w:val="null3"/>
      </w:pPr>
      <w:r>
        <w:rPr>
          <w:rFonts w:ascii="仿宋_GB2312" w:hAnsi="仿宋_GB2312" w:cs="仿宋_GB2312" w:eastAsia="仿宋_GB2312"/>
        </w:rPr>
        <w:t>6、书⾯承诺：提供具有履⾏本合同所必需的设备和专业技术能⼒的声明、参加政府采购活动前3年内在经营活动中没有重⼤违法记录的书⾯承诺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029-81882499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西安市雁塔区人民法院[156]经办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知规定，由成交供应商支付代理服务费。2、支付方式：成交供应商应在领取通知书的同时，支付本项目代理服务费。收款账户如下：收款单位：陕西中诚天和项目管理有限公司； 开户银行：中国建设银行股份有限公司西安高新自贸区支行； 银行账号：61050110066700001164。注：代理服务费不足陆仟元按陆仟元整收取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ind w:firstLine="562"/>
              <w:jc w:val="both"/>
            </w:pPr>
            <w:r>
              <w:rPr>
                <w:rFonts w:ascii="仿宋_GB2312" w:hAnsi="仿宋_GB2312" w:cs="仿宋_GB2312" w:eastAsia="仿宋_GB2312"/>
                <w:sz w:val="24"/>
                <w:b/>
              </w:rPr>
              <w:t>二、项目内容</w:t>
            </w:r>
          </w:p>
          <w:p>
            <w:pPr>
              <w:pStyle w:val="null3"/>
              <w:ind w:firstLine="480"/>
              <w:jc w:val="both"/>
            </w:pPr>
            <w:r>
              <w:rPr>
                <w:rFonts w:ascii="仿宋_GB2312" w:hAnsi="仿宋_GB2312" w:cs="仿宋_GB2312" w:eastAsia="仿宋_GB2312"/>
                <w:sz w:val="24"/>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项目预算（最高限价）：人民币4，500，000.00元，单价最高限价：65.00元/案。</w:t>
            </w:r>
          </w:p>
          <w:p>
            <w:pPr>
              <w:pStyle w:val="null3"/>
              <w:ind w:firstLine="562"/>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1.送达审核。集约送达中心在接收到送达任务后要认真审核，重点关注送达环节及备注情况，合理分配线上、线下送达，不符合要求及时退回并说明理由。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2.电子送达。按照《陕西省高级人民法院关于电子送达与集中送达的若干规定（试行）》进行电子送达。使用送达平台送达文书和诉讼活动总量应符合人民法院诉讼服务质效评估体系指标要求。</w:t>
            </w:r>
          </w:p>
          <w:p>
            <w:pPr>
              <w:pStyle w:val="null3"/>
              <w:ind w:firstLine="480"/>
              <w:jc w:val="both"/>
            </w:pPr>
            <w:r>
              <w:rPr>
                <w:rFonts w:ascii="仿宋_GB2312" w:hAnsi="仿宋_GB2312" w:cs="仿宋_GB2312" w:eastAsia="仿宋_GB2312"/>
                <w:sz w:val="24"/>
              </w:rPr>
              <w:t>3.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ind w:firstLine="480"/>
              <w:jc w:val="both"/>
            </w:pPr>
            <w:r>
              <w:rPr>
                <w:rFonts w:ascii="仿宋_GB2312" w:hAnsi="仿宋_GB2312" w:cs="仿宋_GB2312" w:eastAsia="仿宋_GB2312"/>
                <w:sz w:val="24"/>
              </w:rPr>
              <w:t>4.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ind w:firstLine="480"/>
              <w:jc w:val="both"/>
            </w:pPr>
            <w:r>
              <w:rPr>
                <w:rFonts w:ascii="仿宋_GB2312" w:hAnsi="仿宋_GB2312" w:cs="仿宋_GB2312" w:eastAsia="仿宋_GB2312"/>
                <w:sz w:val="24"/>
              </w:rPr>
              <w:t>6.数据整理。做好集约送达中心各项数据汇总、统计、分析，定期通报集约送达平台运行情况。</w:t>
            </w:r>
          </w:p>
          <w:p>
            <w:pPr>
              <w:pStyle w:val="null3"/>
              <w:ind w:firstLine="480"/>
              <w:jc w:val="both"/>
            </w:pPr>
            <w:r>
              <w:rPr>
                <w:rFonts w:ascii="仿宋_GB2312" w:hAnsi="仿宋_GB2312" w:cs="仿宋_GB2312" w:eastAsia="仿宋_GB2312"/>
                <w:sz w:val="24"/>
              </w:rPr>
              <w:t>7.其他事项。服从采购方管理，积极主动承办采购方交办的其他工作。</w:t>
            </w:r>
          </w:p>
          <w:p>
            <w:pPr>
              <w:pStyle w:val="null3"/>
              <w:ind w:firstLine="562"/>
              <w:jc w:val="both"/>
            </w:pPr>
            <w:r>
              <w:rPr>
                <w:rFonts w:ascii="仿宋_GB2312" w:hAnsi="仿宋_GB2312" w:cs="仿宋_GB2312" w:eastAsia="仿宋_GB2312"/>
                <w:sz w:val="24"/>
                <w:b/>
              </w:rPr>
              <w:t>四、项目指标</w:t>
            </w:r>
          </w:p>
          <w:p>
            <w:pPr>
              <w:pStyle w:val="null3"/>
              <w:ind w:firstLine="480"/>
              <w:jc w:val="both"/>
            </w:pPr>
            <w:r>
              <w:rPr>
                <w:rFonts w:ascii="仿宋_GB2312" w:hAnsi="仿宋_GB2312" w:cs="仿宋_GB2312" w:eastAsia="仿宋_GB2312"/>
                <w:sz w:val="24"/>
              </w:rPr>
              <w:t>1.使用送达平台送达文书和诉讼活动通知的总量与受理案件总量比不低于200%，每一次送达任务中每个受送达人的文书数量都计算在内。</w:t>
            </w:r>
          </w:p>
          <w:p>
            <w:pPr>
              <w:pStyle w:val="null3"/>
              <w:ind w:firstLine="480"/>
              <w:jc w:val="both"/>
            </w:pPr>
            <w:r>
              <w:rPr>
                <w:rFonts w:ascii="仿宋_GB2312" w:hAnsi="仿宋_GB2312" w:cs="仿宋_GB2312" w:eastAsia="仿宋_GB2312"/>
                <w:sz w:val="24"/>
              </w:rPr>
              <w:t>2.使用邮政集约送达的案件数量与邮寄送达案件数量比不低于80%。</w:t>
            </w:r>
          </w:p>
          <w:p>
            <w:pPr>
              <w:pStyle w:val="null3"/>
              <w:ind w:firstLine="480"/>
              <w:jc w:val="both"/>
            </w:pPr>
            <w:r>
              <w:rPr>
                <w:rFonts w:ascii="仿宋_GB2312" w:hAnsi="仿宋_GB2312" w:cs="仿宋_GB2312" w:eastAsia="仿宋_GB2312"/>
                <w:sz w:val="24"/>
              </w:rPr>
              <w:t>3.电子送达成功率。电子送达成功率（符合线上送达任务）每月不低于70%，每低于1个点扣减当月服务费用2元/案件。</w:t>
            </w:r>
          </w:p>
          <w:p>
            <w:pPr>
              <w:pStyle w:val="null3"/>
              <w:ind w:firstLine="480"/>
              <w:jc w:val="both"/>
            </w:pPr>
            <w:r>
              <w:rPr>
                <w:rFonts w:ascii="仿宋_GB2312" w:hAnsi="仿宋_GB2312" w:cs="仿宋_GB2312" w:eastAsia="仿宋_GB2312"/>
                <w:sz w:val="24"/>
              </w:rPr>
              <w:t>4.邮寄妥投率。在提供的收件人姓名、电话、地址准确的情况下，邮件妥投率达100%。</w:t>
            </w:r>
          </w:p>
          <w:p>
            <w:pPr>
              <w:pStyle w:val="null3"/>
              <w:ind w:firstLine="480"/>
              <w:jc w:val="both"/>
            </w:pPr>
            <w:r>
              <w:rPr>
                <w:rFonts w:ascii="仿宋_GB2312" w:hAnsi="仿宋_GB2312" w:cs="仿宋_GB2312" w:eastAsia="仿宋_GB2312"/>
                <w:sz w:val="24"/>
              </w:rPr>
              <w:t>5.开展集约送达后，供应商应确保民事、行政、国家赔偿和执行案件各类文书通过集约送达平台（特殊情况须经采购方允许方可）流转，严禁出现未经集约送达平台直接邮寄（导致双向收费）。</w:t>
            </w:r>
          </w:p>
          <w:p>
            <w:pPr>
              <w:pStyle w:val="null3"/>
              <w:ind w:firstLine="562"/>
              <w:jc w:val="left"/>
            </w:pPr>
            <w:r>
              <w:rPr>
                <w:rFonts w:ascii="仿宋_GB2312" w:hAnsi="仿宋_GB2312" w:cs="仿宋_GB2312" w:eastAsia="仿宋_GB2312"/>
                <w:sz w:val="24"/>
                <w:b/>
              </w:rPr>
              <w:t>五、保密要求</w:t>
            </w:r>
          </w:p>
          <w:p>
            <w:pPr>
              <w:pStyle w:val="null3"/>
              <w:ind w:firstLine="480"/>
              <w:jc w:val="both"/>
            </w:pPr>
            <w:r>
              <w:rPr>
                <w:rFonts w:ascii="仿宋_GB2312" w:hAnsi="仿宋_GB2312" w:cs="仿宋_GB2312" w:eastAsia="仿宋_GB2312"/>
                <w:sz w:val="24"/>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供应商对集约送达工作人员工作中因供应商一方涉及的安全保密问题承担责任。</w:t>
            </w:r>
          </w:p>
          <w:p>
            <w:pPr>
              <w:pStyle w:val="null3"/>
              <w:ind w:firstLine="562"/>
              <w:jc w:val="left"/>
            </w:pPr>
            <w:r>
              <w:rPr>
                <w:rFonts w:ascii="仿宋_GB2312" w:hAnsi="仿宋_GB2312" w:cs="仿宋_GB2312" w:eastAsia="仿宋_GB2312"/>
                <w:sz w:val="24"/>
                <w:b/>
              </w:rPr>
              <w:t>六、技术要求</w:t>
            </w:r>
          </w:p>
          <w:p>
            <w:pPr>
              <w:pStyle w:val="null3"/>
              <w:ind w:firstLine="480"/>
              <w:jc w:val="both"/>
            </w:pPr>
            <w:r>
              <w:rPr>
                <w:rFonts w:ascii="仿宋_GB2312" w:hAnsi="仿宋_GB2312" w:cs="仿宋_GB2312" w:eastAsia="仿宋_GB2312"/>
                <w:sz w:val="24"/>
              </w:rPr>
              <w:t>1.计算机、送达平台等软硬件保障。服务提供商需按照送达业务量配置包括但不限于计算机终端、票据打印机、高拍仪、扫描仪、条码枪、程控电话录音平台、送达平台软件等软硬件设备，完全满足最高法院和中级法院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480"/>
              <w:jc w:val="both"/>
            </w:pPr>
            <w:r>
              <w:rPr>
                <w:rFonts w:ascii="仿宋_GB2312" w:hAnsi="仿宋_GB2312" w:cs="仿宋_GB2312" w:eastAsia="仿宋_GB2312"/>
                <w:sz w:val="24"/>
              </w:rPr>
              <w:t>2.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ind w:firstLine="480"/>
              <w:jc w:val="both"/>
            </w:pPr>
            <w:r>
              <w:rPr>
                <w:rFonts w:ascii="仿宋_GB2312" w:hAnsi="仿宋_GB2312" w:cs="仿宋_GB2312" w:eastAsia="仿宋_GB2312"/>
                <w:sz w:val="24"/>
              </w:rPr>
              <w:t>3.集中送达配套保障。因开展送达业务产生的计算机、打印一体机、专用设备、打印纸张和耗材、电话（含来电显示）等费用由服务提供商承担。</w:t>
            </w:r>
          </w:p>
          <w:p>
            <w:pPr>
              <w:pStyle w:val="null3"/>
              <w:ind w:firstLine="480"/>
              <w:jc w:val="both"/>
            </w:pPr>
            <w:r>
              <w:rPr>
                <w:rFonts w:ascii="仿宋_GB2312" w:hAnsi="仿宋_GB2312" w:cs="仿宋_GB2312" w:eastAsia="仿宋_GB2312"/>
                <w:sz w:val="24"/>
              </w:rPr>
              <w:t>4.信息安全保障。集中送达中心工作场地接入法院内网，需落实严格的网络信息安全防护措施，禁止使用U盘、光盘等存储媒介在不同网系之间拷贝数据，禁止使用照相器材拍摄办公计算机屏幕信息，服务提供商落实定期巡检制度。</w:t>
            </w:r>
          </w:p>
          <w:p>
            <w:pPr>
              <w:pStyle w:val="null3"/>
              <w:ind w:firstLine="562"/>
              <w:jc w:val="left"/>
            </w:pPr>
            <w:r>
              <w:rPr>
                <w:rFonts w:ascii="仿宋_GB2312" w:hAnsi="仿宋_GB2312" w:cs="仿宋_GB2312" w:eastAsia="仿宋_GB2312"/>
                <w:sz w:val="24"/>
                <w:b/>
              </w:rPr>
              <w:t>七、付款方式</w:t>
            </w:r>
          </w:p>
          <w:p>
            <w:pPr>
              <w:pStyle w:val="null3"/>
              <w:ind w:firstLine="480"/>
              <w:jc w:val="both"/>
            </w:pPr>
            <w:r>
              <w:rPr>
                <w:rFonts w:ascii="仿宋_GB2312" w:hAnsi="仿宋_GB2312" w:cs="仿宋_GB2312" w:eastAsia="仿宋_GB2312"/>
                <w:sz w:val="24"/>
              </w:rPr>
              <w:t>合同签订后支付合同总金额的60%作为预付款；服务满六个月后支付合同总金额的30%；项目整体完毕并经采购人验收完成后支付剩余合同款项。</w:t>
            </w:r>
          </w:p>
          <w:p>
            <w:pPr>
              <w:pStyle w:val="null3"/>
              <w:ind w:firstLine="562"/>
              <w:jc w:val="left"/>
            </w:pPr>
            <w:r>
              <w:rPr>
                <w:rFonts w:ascii="仿宋_GB2312" w:hAnsi="仿宋_GB2312" w:cs="仿宋_GB2312" w:eastAsia="仿宋_GB2312"/>
                <w:sz w:val="24"/>
                <w:b/>
              </w:rPr>
              <w:t>八、服务期</w:t>
            </w:r>
          </w:p>
          <w:p>
            <w:pPr>
              <w:pStyle w:val="null3"/>
              <w:ind w:firstLine="480"/>
              <w:jc w:val="both"/>
            </w:pPr>
            <w:r>
              <w:rPr>
                <w:rFonts w:ascii="仿宋_GB2312" w:hAnsi="仿宋_GB2312" w:cs="仿宋_GB2312" w:eastAsia="仿宋_GB2312"/>
                <w:sz w:val="24"/>
              </w:rPr>
              <w:t>一年，每案限价65元，按实际产生数量据实结算至预算金额使用完毕为止。</w:t>
            </w:r>
          </w:p>
          <w:p>
            <w:pPr>
              <w:pStyle w:val="null3"/>
              <w:ind w:firstLine="42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一年，每案限价65元，按实际产生数量据实结算至预算金额使用完毕为止。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进度款，服务满六个⽉后，达到付款条件起10个工作日内，支付合同总金额的30.0%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进度款，项⽬整体完毕并经采购⼈验收完成后，达到付款条件起10个工作日内，支付合同总金额的10.0%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⼄⽅完成并交付的⼯作成果需经甲⽅验收合格，则视为接受。如果在验收时甲⽅表明不接受⼄⽅提交的⼯作成果并明⽰不接受的原因，⼄⽅应当采取合理之措施进⾏修改，以达到合同规定的要求。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中华⼈⺠共和国⺠法典》、《中华⼈⺠共和国政府采购法》的相关条款和合同约定，成交供应商未全⾯履⾏合同义务或者发⽣违约，采购⼈会同采购代理机构有权终⽌合同，依法向成交供应商进⾏经济索赔，并报请政府采购监督管理机关进⾏相应的⾏政处罚。采购⼈违约的，应当赔偿给成交供应商造成的经济损失。合同执⾏中发⽣争议的，当事⼈双⽅应协商解决，协商达不成⼀致时，可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2.供应商需要在线提交所有通过电子化交易平台实施的政府采购项目的响应文件。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具有独⽴承担⺠事责任能⼒的法⼈、其他组织或⾃然⼈，提供合法有效的统⼀社会信⽤代码营业执照（事业单位提供事业单位法⼈证书，⾃然⼈提供⾝份证明）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负责⼈授权委托书</w:t>
            </w:r>
          </w:p>
        </w:tc>
        <w:tc>
          <w:tcPr>
            <w:tcW w:type="dxa" w:w="3322"/>
          </w:tcPr>
          <w:p>
            <w:pPr>
              <w:pStyle w:val="null3"/>
            </w:pPr>
            <w:r>
              <w:rPr>
                <w:rFonts w:ascii="仿宋_GB2312" w:hAnsi="仿宋_GB2312" w:cs="仿宋_GB2312" w:eastAsia="仿宋_GB2312"/>
              </w:rPr>
              <w:t>负责⼈参加投标的，须出⽰⾝份证；负责⼈授权他⼈参加投标的，须提供负责⼈授权委托书、被授权⼈⾝份证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完整的财务审计报告（成⽴时间⾄提交响应⽂件截⽌时间不⾜⼀年的可提供成⽴后任意时段的资产负债表），或其开标前三个⽉内银⾏出具的资信证明，或财政部⻔认可的政府采购专业担保机构出具的投标担保函</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提供响应⽂件截⽌时间前⼀年内⾄少⼀个⽉已缴纳的纳税证明或完税证明（任意税种）；依法免税的供应商应提供相关⽂件证明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提供响应⽂件截⽌时间前⼀年内⾄少⼀个⽉已缴纳的社会保障资⾦的凭据（专⽤收据或社会保险缴纳清单）；依法不需要缴纳社会保障资⾦的供应商应提供相关⽂件证明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书⾯承诺</w:t>
            </w:r>
          </w:p>
        </w:tc>
        <w:tc>
          <w:tcPr>
            <w:tcW w:type="dxa" w:w="3322"/>
          </w:tcPr>
          <w:p>
            <w:pPr>
              <w:pStyle w:val="null3"/>
            </w:pPr>
            <w:r>
              <w:rPr>
                <w:rFonts w:ascii="仿宋_GB2312" w:hAnsi="仿宋_GB2312" w:cs="仿宋_GB2312" w:eastAsia="仿宋_GB2312"/>
              </w:rPr>
              <w:t>提供具有履⾏本合同所必需的设备和专业技术能⼒的声明、参加政府采购活动前3年内在经营活动中没有重⼤违法记录的书⾯承诺</w:t>
            </w:r>
          </w:p>
        </w:tc>
        <w:tc>
          <w:tcPr>
            <w:tcW w:type="dxa" w:w="1661"/>
          </w:tcPr>
          <w:p>
            <w:pPr>
              <w:pStyle w:val="null3"/>
            </w:pPr>
            <w:r>
              <w:rPr>
                <w:rFonts w:ascii="仿宋_GB2312" w:hAnsi="仿宋_GB2312" w:cs="仿宋_GB2312" w:eastAsia="仿宋_GB2312"/>
              </w:rPr>
              <w:t>供应商资质证明文件.docx 供应商承诺书.docx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响应方案说明.docx 商务应答表 服务方案 服务内容及服务要求应答表 其他证明材料.docx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 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服务方案 其他证明材料.docx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