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版本号：YSGS-2026ZB041020260610003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灞桥区2026年中央水利发展资金农村供水工程维修养护项目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YSGS-2026ZB0410</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灞桥区2026年中央水利发展资金农村供水工程维修养护项目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YSGS-2026ZB0410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灞桥区2026年中央水利发展资金农村供水工程维修养护项目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农村集中供水工程及其配套设施修缮，供水设备及配件等更换，供水管材管件购置与更换。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采购包1（灞桥区2026年中央水利发展资金农村供水工程维修养护项目）：属于专门面向中小企业采购。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电⼦化交易系统中按要求上传相应证明⽂件并进⾏电⼦签章；</w:t>
      </w:r>
    </w:p>
    <w:p>
      <w:pPr>
        <w:pStyle w:val="null3"/>
      </w:pPr>
      <w:r>
        <w:rPr>
          <w:rFonts w:ascii="仿宋_GB2312" w:hAnsi="仿宋_GB2312" w:cs="仿宋_GB2312" w:eastAsia="仿宋_GB2312"/>
        </w:rPr>
        <w:t>2、财务报告：提供2025年度经审计的财务报告（成立时间至提交投标文件截止时间不足一年的可提供成立后任意时段的资产负债表），或提交开标日期前六个月内银行出具的资信证明，或信用担保机构出具的投标担保函;供应商需在项⽬电⼦化交易系统中按要求上传相应证明⽂件并进⾏电⼦签章；</w:t>
      </w:r>
    </w:p>
    <w:p>
      <w:pPr>
        <w:pStyle w:val="null3"/>
      </w:pPr>
      <w:r>
        <w:rPr>
          <w:rFonts w:ascii="仿宋_GB2312" w:hAnsi="仿宋_GB2312" w:cs="仿宋_GB2312" w:eastAsia="仿宋_GB2312"/>
        </w:rPr>
        <w:t>3、纳税证明或完税证明：提供投标截止之日前近六个月内至少一个月的纳税证明或完税证明（任意税种），依法免税的单位应提供相关证明材料；供应商需在项⽬电⼦化交易系统中按要求上传相应证明⽂件并进⾏电⼦签章；</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依法不需要缴纳社会保障资金的单位应提供相关证明材料；供应商需在项⽬电⼦化交易系统中按要求上传相应证明⽂件并进⾏电⼦签章；</w:t>
      </w:r>
    </w:p>
    <w:p>
      <w:pPr>
        <w:pStyle w:val="null3"/>
      </w:pPr>
      <w:r>
        <w:rPr>
          <w:rFonts w:ascii="仿宋_GB2312" w:hAnsi="仿宋_GB2312" w:cs="仿宋_GB2312" w:eastAsia="仿宋_GB2312"/>
        </w:rPr>
        <w:t>5、设备及专业技术能力的声明：提供具有履行本合同所必需的设备和专业技术能力的声明；供应商需在项⽬电⼦化交易系统中按要求上传相应证明⽂件并进⾏电⼦签章；</w:t>
      </w:r>
    </w:p>
    <w:p>
      <w:pPr>
        <w:pStyle w:val="null3"/>
      </w:pPr>
      <w:r>
        <w:rPr>
          <w:rFonts w:ascii="仿宋_GB2312" w:hAnsi="仿宋_GB2312" w:cs="仿宋_GB2312" w:eastAsia="仿宋_GB2312"/>
        </w:rPr>
        <w:t>6、3年内在经营活动中没有重大违法记录的书面声明：出具参加政府采购活动前3年内在经营活动中没有重大违法记录的书面声明；供应商需在项⽬电⼦化交易系统中按要求上传相应证明⽂件并进⾏电⼦签章；</w:t>
      </w:r>
    </w:p>
    <w:p>
      <w:pPr>
        <w:pStyle w:val="null3"/>
      </w:pPr>
      <w:r>
        <w:rPr>
          <w:rFonts w:ascii="仿宋_GB2312" w:hAnsi="仿宋_GB2312" w:cs="仿宋_GB2312" w:eastAsia="仿宋_GB2312"/>
        </w:rPr>
        <w:t>7、授权委托书：被授权人参与磋商的需提供法定代表人身份证明书及授权委托书；法定代表人或负责人直接参与磋商的，须出具法定代表人身份证明书；供应商需在项⽬电⼦化交易系统中按要求上传相应证明⽂件并进⾏电⼦签章；</w:t>
      </w:r>
    </w:p>
    <w:p>
      <w:pPr>
        <w:pStyle w:val="null3"/>
      </w:pPr>
      <w:r>
        <w:rPr>
          <w:rFonts w:ascii="仿宋_GB2312" w:hAnsi="仿宋_GB2312" w:cs="仿宋_GB2312" w:eastAsia="仿宋_GB2312"/>
        </w:rPr>
        <w:t>8、供应商资质：供应商须具备建设行政主管部门颁发的水利水电工程施工总承包三级及以上资质，并具备有效的安全生产许可证；供应商需在项⽬电⼦化交易系统中按要求上传相应证明⽂件并进⾏电⼦签章；</w:t>
      </w:r>
    </w:p>
    <w:p>
      <w:pPr>
        <w:pStyle w:val="null3"/>
      </w:pPr>
      <w:r>
        <w:rPr>
          <w:rFonts w:ascii="仿宋_GB2312" w:hAnsi="仿宋_GB2312" w:cs="仿宋_GB2312" w:eastAsia="仿宋_GB2312"/>
        </w:rPr>
        <w:t>9、拟派项目经理：拟派项目经理须具备有效的水利水电工程专业二级（含二级）以上建造师注册证，具备水行政主管部门颁发的安全生产考核合格证（B证），且在本单位注册，无在建工程（提供承诺书）；供应商需在项⽬电⼦化交易系统中按要求上传相应证明⽂件并进⾏电⼦签章；</w:t>
      </w:r>
    </w:p>
    <w:p>
      <w:pPr>
        <w:pStyle w:val="null3"/>
      </w:pPr>
      <w:r>
        <w:rPr>
          <w:rFonts w:ascii="仿宋_GB2312" w:hAnsi="仿宋_GB2312" w:cs="仿宋_GB2312" w:eastAsia="仿宋_GB2312"/>
        </w:rPr>
        <w:t>10、供应商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磋商当天代理公司核查为准，供应商无需提供；处罚期限届满的除外，如相关失信记录已失效，供应商需提供相关证明资料)；</w:t>
      </w:r>
    </w:p>
    <w:p>
      <w:pPr>
        <w:pStyle w:val="null3"/>
      </w:pPr>
      <w:r>
        <w:rPr>
          <w:rFonts w:ascii="仿宋_GB2312" w:hAnsi="仿宋_GB2312" w:cs="仿宋_GB2312" w:eastAsia="仿宋_GB2312"/>
        </w:rPr>
        <w:t>11、联合体：本项目不接受联合体投标；供应商需在项⽬电⼦化交易系统中按要求上传相应证明⽂件并进⾏电⼦签章。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王怡娜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13679110650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白琪琪、刘敏、张乐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13363975680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采购包1：782,672.00元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和改革委员会办公厅关于招标代理服务收费有关问题的通知》（发改办价格〔2003〕857号）文件中工程类收费标准收取，由中标（成交）供应商向采购代理机构支付。 名称:陕西衍森项目管理有限公司 开户银行:平安银行股份有限公司西安分行 银行账号:15122099180091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联系人：白琪琪</w:t>
      </w:r>
    </w:p>
    <w:p>
      <w:pPr>
        <w:pStyle w:val="null3"/>
      </w:pPr>
      <w:r>
        <w:rPr>
          <w:rFonts w:ascii="仿宋_GB2312" w:hAnsi="仿宋_GB2312" w:cs="仿宋_GB2312" w:eastAsia="仿宋_GB2312"/>
        </w:rPr>
        <w:t>联系电话：13363975680</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782,672.00</w:t>
      </w:r>
    </w:p>
    <w:p>
      <w:pPr>
        <w:pStyle w:val="null3"/>
      </w:pPr>
      <w:r>
        <w:rPr>
          <w:rFonts w:ascii="仿宋_GB2312" w:hAnsi="仿宋_GB2312" w:cs="仿宋_GB2312" w:eastAsia="仿宋_GB2312"/>
        </w:rPr>
        <w:t>采购包最高限价（元）: 782,672.00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灞桥区2026年中央水利发展资金农村供水工程维修养护项目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782,672.00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标的名称：灞桥区2026年中央水利发展资金农村供水工程维修养护项目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灞桥区</w:t>
            </w:r>
            <w:r>
              <w:rPr>
                <w:rFonts w:ascii="仿宋_GB2312" w:hAnsi="仿宋_GB2312" w:cs="仿宋_GB2312" w:eastAsia="仿宋_GB2312"/>
                <w:sz w:val="24"/>
              </w:rPr>
              <w:t>2026年度中央水利发展资金农村饮水工程维修养护项目涉及全区6个街道办及其下属25个行政村，28个自然村涉及28处供水工程，巩固和保障41159人人的饮水安全问题。</w:t>
            </w:r>
          </w:p>
          <w:p>
            <w:pPr>
              <w:pStyle w:val="null3"/>
              <w:spacing w:before="315"/>
              <w:ind w:left="420" w:firstLine="482"/>
              <w:jc w:val="both"/>
            </w:pPr>
            <w:r>
              <w:rPr>
                <w:rFonts w:ascii="仿宋_GB2312" w:hAnsi="仿宋_GB2312" w:cs="仿宋_GB2312" w:eastAsia="仿宋_GB2312"/>
                <w:sz w:val="24"/>
                <w:b/>
              </w:rPr>
              <w:t>二、工程内容和施工地点、计划</w:t>
            </w:r>
            <w:r>
              <w:rPr>
                <w:rFonts w:ascii="仿宋_GB2312" w:hAnsi="仿宋_GB2312" w:cs="仿宋_GB2312" w:eastAsia="仿宋_GB2312"/>
                <w:sz w:val="24"/>
                <w:b/>
              </w:rPr>
              <w:t>工期、缺陷责任期、质量保修期</w:t>
            </w:r>
          </w:p>
          <w:p>
            <w:pPr>
              <w:pStyle w:val="null3"/>
              <w:ind w:firstLine="480"/>
              <w:jc w:val="both"/>
            </w:pPr>
            <w:r>
              <w:rPr>
                <w:rFonts w:ascii="仿宋_GB2312" w:hAnsi="仿宋_GB2312" w:cs="仿宋_GB2312" w:eastAsia="仿宋_GB2312"/>
                <w:sz w:val="24"/>
              </w:rPr>
              <w:t>（一）工程内容</w:t>
            </w:r>
          </w:p>
          <w:p>
            <w:pPr>
              <w:pStyle w:val="null3"/>
              <w:ind w:firstLine="480"/>
              <w:jc w:val="both"/>
            </w:pPr>
            <w:r>
              <w:rPr>
                <w:rFonts w:ascii="仿宋_GB2312" w:hAnsi="仿宋_GB2312" w:cs="仿宋_GB2312" w:eastAsia="仿宋_GB2312"/>
                <w:sz w:val="24"/>
              </w:rPr>
              <w:t>主要建设内容：农村集中供水工程及其配套设施修缮，供水设备及配件等更换，供水管材管件购置与更换。</w:t>
            </w:r>
          </w:p>
          <w:p>
            <w:pPr>
              <w:pStyle w:val="null3"/>
              <w:ind w:firstLine="480"/>
              <w:jc w:val="both"/>
            </w:pPr>
            <w:r>
              <w:rPr>
                <w:rFonts w:ascii="仿宋_GB2312" w:hAnsi="仿宋_GB2312" w:cs="仿宋_GB2312" w:eastAsia="仿宋_GB2312"/>
                <w:sz w:val="24"/>
              </w:rPr>
              <w:t>主要任务为：</w:t>
            </w:r>
            <w:r>
              <w:rPr>
                <w:rFonts w:ascii="仿宋_GB2312" w:hAnsi="仿宋_GB2312" w:cs="仿宋_GB2312" w:eastAsia="仿宋_GB2312"/>
                <w:sz w:val="24"/>
              </w:rPr>
              <w:t>水泵更换</w:t>
            </w:r>
            <w:r>
              <w:rPr>
                <w:rFonts w:ascii="仿宋_GB2312" w:hAnsi="仿宋_GB2312" w:cs="仿宋_GB2312" w:eastAsia="仿宋_GB2312"/>
                <w:sz w:val="24"/>
              </w:rPr>
              <w:t>33台套，电缆更换1330m，启动柜/水泵智能保护器及配电柜安装19套，更换泵管851m，安装50g次氯酸钠消毒设备6台，新建管网工程432米等。</w:t>
            </w:r>
          </w:p>
          <w:p>
            <w:pPr>
              <w:pStyle w:val="null3"/>
              <w:ind w:firstLine="480"/>
              <w:jc w:val="both"/>
            </w:pPr>
            <w:r>
              <w:rPr>
                <w:rFonts w:ascii="仿宋_GB2312" w:hAnsi="仿宋_GB2312" w:cs="仿宋_GB2312" w:eastAsia="仿宋_GB2312"/>
                <w:sz w:val="24"/>
              </w:rPr>
              <w:t>（二）工程地点：采购人指定地点。</w:t>
            </w:r>
          </w:p>
          <w:p>
            <w:pPr>
              <w:pStyle w:val="null3"/>
              <w:ind w:firstLine="480"/>
              <w:jc w:val="both"/>
            </w:pPr>
            <w:r>
              <w:rPr>
                <w:rFonts w:ascii="仿宋_GB2312" w:hAnsi="仿宋_GB2312" w:cs="仿宋_GB2312" w:eastAsia="仿宋_GB2312"/>
                <w:sz w:val="24"/>
              </w:rPr>
              <w:t>（三）计划工期</w:t>
            </w:r>
            <w:r>
              <w:rPr>
                <w:rFonts w:ascii="仿宋_GB2312" w:hAnsi="仿宋_GB2312" w:cs="仿宋_GB2312" w:eastAsia="仿宋_GB2312"/>
                <w:sz w:val="24"/>
              </w:rPr>
              <w:t>：</w:t>
            </w:r>
            <w:r>
              <w:rPr>
                <w:rFonts w:ascii="仿宋_GB2312" w:hAnsi="仿宋_GB2312" w:cs="仿宋_GB2312" w:eastAsia="仿宋_GB2312"/>
                <w:sz w:val="24"/>
              </w:rPr>
              <w:t>自合同签订之日起</w:t>
            </w:r>
            <w:r>
              <w:rPr>
                <w:rFonts w:ascii="仿宋_GB2312" w:hAnsi="仿宋_GB2312" w:cs="仿宋_GB2312" w:eastAsia="仿宋_GB2312"/>
                <w:sz w:val="24"/>
              </w:rPr>
              <w:t>45天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（四）缺陷责任期：</w:t>
            </w:r>
            <w:r>
              <w:rPr>
                <w:rFonts w:ascii="仿宋_GB2312" w:hAnsi="仿宋_GB2312" w:cs="仿宋_GB2312" w:eastAsia="仿宋_GB2312"/>
                <w:sz w:val="24"/>
              </w:rPr>
              <w:t>1年。</w:t>
            </w:r>
          </w:p>
          <w:p>
            <w:pPr>
              <w:pStyle w:val="null3"/>
              <w:ind w:firstLine="480"/>
              <w:jc w:val="both"/>
            </w:pPr>
            <w:r>
              <w:rPr>
                <w:rFonts w:ascii="仿宋_GB2312" w:hAnsi="仿宋_GB2312" w:cs="仿宋_GB2312" w:eastAsia="仿宋_GB2312"/>
                <w:sz w:val="24"/>
              </w:rPr>
              <w:t>（五）质量保修期：</w:t>
            </w:r>
            <w:r>
              <w:rPr>
                <w:rFonts w:ascii="仿宋_GB2312" w:hAnsi="仿宋_GB2312" w:cs="仿宋_GB2312" w:eastAsia="仿宋_GB2312"/>
                <w:sz w:val="24"/>
              </w:rPr>
              <w:t>1年。</w:t>
            </w:r>
          </w:p>
          <w:p>
            <w:pPr>
              <w:pStyle w:val="null3"/>
              <w:spacing w:before="315"/>
              <w:ind w:firstLine="482"/>
              <w:jc w:val="both"/>
            </w:pPr>
            <w:r>
              <w:rPr>
                <w:rFonts w:ascii="仿宋_GB2312" w:hAnsi="仿宋_GB2312" w:cs="仿宋_GB2312" w:eastAsia="仿宋_GB2312"/>
                <w:sz w:val="24"/>
                <w:b/>
              </w:rPr>
              <w:t xml:space="preserve">  三</w:t>
            </w:r>
            <w:r>
              <w:rPr>
                <w:rFonts w:ascii="仿宋_GB2312" w:hAnsi="仿宋_GB2312" w:cs="仿宋_GB2312" w:eastAsia="仿宋_GB2312"/>
                <w:sz w:val="24"/>
                <w:b/>
              </w:rPr>
              <w:t>、施工要求</w:t>
            </w:r>
          </w:p>
          <w:p>
            <w:pPr>
              <w:pStyle w:val="null3"/>
              <w:ind w:firstLine="480"/>
              <w:jc w:val="both"/>
            </w:pPr>
            <w:r>
              <w:rPr>
                <w:rFonts w:ascii="仿宋_GB2312" w:hAnsi="仿宋_GB2312" w:cs="仿宋_GB2312" w:eastAsia="仿宋_GB2312"/>
                <w:sz w:val="24"/>
              </w:rPr>
              <w:t>在施工期间，中标供应商必须注意人员安全，加强安全措施，并对施工人员进行安全教育。施工人员必须持证上岗。</w:t>
            </w:r>
          </w:p>
          <w:p>
            <w:pPr>
              <w:pStyle w:val="null3"/>
              <w:spacing w:before="315"/>
              <w:ind w:left="420" w:firstLine="482"/>
              <w:jc w:val="both"/>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商务要求（如合同</w:t>
            </w:r>
            <w:r>
              <w:rPr>
                <w:rFonts w:ascii="仿宋_GB2312" w:hAnsi="仿宋_GB2312" w:cs="仿宋_GB2312" w:eastAsia="仿宋_GB2312"/>
                <w:sz w:val="24"/>
                <w:b/>
              </w:rPr>
              <w:t>价款及结算方式</w:t>
            </w:r>
            <w:r>
              <w:rPr>
                <w:rFonts w:ascii="仿宋_GB2312" w:hAnsi="仿宋_GB2312" w:cs="仿宋_GB2312" w:eastAsia="仿宋_GB2312"/>
                <w:sz w:val="24"/>
                <w:b/>
              </w:rPr>
              <w:t>等）</w:t>
            </w:r>
          </w:p>
          <w:p>
            <w:pPr>
              <w:pStyle w:val="null3"/>
              <w:ind w:firstLine="480"/>
              <w:jc w:val="both"/>
            </w:pPr>
            <w:r>
              <w:rPr>
                <w:rFonts w:ascii="仿宋_GB2312" w:hAnsi="仿宋_GB2312" w:cs="仿宋_GB2312" w:eastAsia="仿宋_GB2312"/>
                <w:sz w:val="24"/>
              </w:rPr>
              <w:t>1.合同价款签订：本项目签订</w:t>
            </w:r>
            <w:r>
              <w:rPr>
                <w:rFonts w:ascii="仿宋_GB2312" w:hAnsi="仿宋_GB2312" w:cs="仿宋_GB2312" w:eastAsia="仿宋_GB2312"/>
                <w:sz w:val="24"/>
              </w:rPr>
              <w:t>总价</w:t>
            </w:r>
            <w:r>
              <w:rPr>
                <w:rFonts w:ascii="仿宋_GB2312" w:hAnsi="仿宋_GB2312" w:cs="仿宋_GB2312" w:eastAsia="仿宋_GB2312"/>
                <w:sz w:val="24"/>
              </w:rPr>
              <w:t>合同。</w:t>
            </w:r>
          </w:p>
          <w:p>
            <w:pPr>
              <w:pStyle w:val="null3"/>
              <w:ind w:firstLine="480"/>
              <w:jc w:val="both"/>
            </w:pPr>
            <w:r>
              <w:rPr>
                <w:rFonts w:ascii="仿宋_GB2312" w:hAnsi="仿宋_GB2312" w:cs="仿宋_GB2312" w:eastAsia="仿宋_GB2312"/>
                <w:sz w:val="24"/>
              </w:rPr>
              <w:t>2.付款方式：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合同签订后，支付合同总价的</w:t>
            </w:r>
            <w:r>
              <w:rPr>
                <w:rFonts w:ascii="仿宋_GB2312" w:hAnsi="仿宋_GB2312" w:cs="仿宋_GB2312" w:eastAsia="仿宋_GB2312"/>
                <w:sz w:val="24"/>
              </w:rPr>
              <w:t>40%；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合同</w:t>
            </w:r>
            <w:r>
              <w:rPr>
                <w:rFonts w:ascii="仿宋_GB2312" w:hAnsi="仿宋_GB2312" w:cs="仿宋_GB2312" w:eastAsia="仿宋_GB2312"/>
                <w:sz w:val="24"/>
              </w:rPr>
              <w:t>工程完工后，支付至合同总价的</w:t>
            </w:r>
            <w:r>
              <w:rPr>
                <w:rFonts w:ascii="仿宋_GB2312" w:hAnsi="仿宋_GB2312" w:cs="仿宋_GB2312" w:eastAsia="仿宋_GB2312"/>
                <w:sz w:val="24"/>
              </w:rPr>
              <w:t>97%；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施工结算经审定后，支付至结算金额的</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 xml:space="preserve">  五</w:t>
            </w:r>
            <w:r>
              <w:rPr>
                <w:rFonts w:ascii="仿宋_GB2312" w:hAnsi="仿宋_GB2312" w:cs="仿宋_GB2312" w:eastAsia="仿宋_GB2312"/>
                <w:sz w:val="24"/>
                <w:b/>
              </w:rPr>
              <w:t>、</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对供应商的业绩要求。</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2023年1月1日起至今类似业绩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)质量验收标准或规范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1）《生活饮用水卫生标准》（GB5749-2022）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2）《村镇供水工程技术规范》(GB/T 43824-2024)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《村镇供水工程技术规范》</w:t>
            </w:r>
            <w:r>
              <w:rPr>
                <w:rFonts w:ascii="仿宋_GB2312" w:hAnsi="仿宋_GB2312" w:cs="仿宋_GB2312" w:eastAsia="仿宋_GB2312"/>
                <w:sz w:val="24"/>
              </w:rPr>
              <w:t>(SL 310-2019)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4）《饮用水水源保护区划分技术规范》(HJ 338-2018)</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5）《饮用水水源保护区标志技术要求》（HJ/T 433-2008）</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6）《地表水环境质量标准》（GB3838-2002）《地下水质量标准》(GB/T 14848-2017)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7）《水利建设项目经济评价规范》（SL72-2013）</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8）《生产建设项目水土保持技术标准》(GB 50433—2018)</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9）《水环境监测规范》（SL219-2013）</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10）《机井工程技术标准》(GB/T50625-2023)</w:t>
            </w:r>
          </w:p>
          <w:p>
            <w:pPr>
              <w:pStyle w:val="null3"/>
              <w:ind w:firstLine="480"/>
              <w:jc w:val="both"/>
            </w:pPr>
            <w:r>
              <w:rPr>
                <w:rFonts w:ascii="仿宋_GB2312" w:hAnsi="仿宋_GB2312" w:cs="仿宋_GB2312" w:eastAsia="仿宋_GB2312"/>
                <w:sz w:val="24"/>
              </w:rPr>
              <w:t>（三）违约责任</w:t>
            </w:r>
          </w:p>
          <w:p>
            <w:pPr>
              <w:pStyle w:val="null3"/>
              <w:spacing w:before="315"/>
              <w:ind w:left="420"/>
              <w:jc w:val="both"/>
            </w:pPr>
            <w:r>
              <w:rPr>
                <w:rFonts w:ascii="仿宋_GB2312" w:hAnsi="仿宋_GB2312" w:cs="仿宋_GB2312" w:eastAsia="仿宋_GB2312"/>
                <w:sz w:val="24"/>
              </w:rPr>
              <w:t>供应商在履行合同过程中，出现了合同条款内的违约条件，应按照合同约定承担相应的违约责任。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详见附件“工程量清单”。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（1）《生活饮用水卫生标准》（GB5749-2022） （2）《村镇供水工程技术规范》(GB/T 43824-2024) （3）《村镇供水工程技术规范》(SL 310-2019) （4）《饮用水水源保护区划分技术规范》(HJ 338-2018) （5）《饮用水水源保护区标志技术要求》（HJ/T 433-2008） （6）《地表水环境质量标准》（GB3838-2002）《地下水质量标准》(GB/T 14848-2017) （7）《水利建设项目经济评价规范》（SL72-2013） （8）《生产建设项目水土保持技术标准》(GB 50433—2018) （9）《水环境监测规范》（SL219-2013） （10）《机井工程技术标准》(GB/T50625-2023)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依据磋商文件及合同要求执行。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2025年度经审计的财务报告（成立时间至提交投标文件截止时间不足一年的可提供成立后任意时段的资产负债表），或提交开标日期前六个月内银行出具的资信证明，或信用担保机构出具的投标担保函；其他组织和自然人提供提供银行出具的资信证明或财务报表或承诺书； 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供应商需在项目电子化交易系统中按要求填写《响应函》完成承诺、按要求填写供应商关联关系声明函并进行电子签章。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提交开标日期前六个月内银行出具的资信证明，或信用担保机构出具的投标担保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提供投标截止之日前近六个月内至少一个月的纳税证明或完税证明（任意税种），依法免税的单位应提供相关证明材料；供应商需在项⽬电⼦化交易系统中按要求上传相应证明⽂件并进⾏电⼦签章；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依法不需要缴纳社会保障资金的单位应提供相关证明材料；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设备及专业技术能力的声明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3年内在经营活动中没有重大违法记录的书面声明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需提供法定代表人身份证明书及授权委托书；法定代表人或负责人直接参与磋商的，须出具法定代表人身份证明书；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供应商须具备建设行政主管部门颁发的水利水电工程施工总承包三级及以上资质，并具备有效的安全生产许可证；供应商需在项⽬电⼦化交易系统中按要求上传相应证明⽂件并进⾏电⼦签章；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承诺书）；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磋商当天代理公司核查为准，供应商无需提供；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供应商企业关联关系声明函.docx 项目管理机构.docx 供应商承诺书.docx 强制优先采购产品承诺函 响应文件封面 施工技术方案.docx 供应商应提交的相关资格证明材料.docx 残疾人福利性单位声明函 报价函 标的清单 技术、服务条款响应偏离表.docx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供应商企业关联关系声明函.docx 项目管理机构.docx 供应商承诺书.docx 强制优先采购产品承诺函 响应文件封面 施工技术方案.docx 供应商应提交的相关资格证明材料.docx 残疾人福利性单位声明函 报价函 标的清单 技术、服务条款响应偏离表.docx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 ）报价不得超出最高限价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商务条款响应偏离表.docx 技术、服务条款响应偏离表.docx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供应商企业关联关系声明函.docx 项目管理机构.docx 供应商承诺书.docx 强制优先采购产品承诺函 响应文件封面 施工技术方案.docx 供应商应提交的相关资格证明材料.docx 残疾人福利性单位声明函 报价函 标的清单 技术、服务条款响应偏离表.docx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施工方案专门针对本项目编制，符合项目实际情况及实施要求，内容详尽且涵盖角度全面，合理性和可行性强，能够保障项目顺利实施的，得(7-10]分; 符合项目实际情况及实施要求，内容较详尽且涵盖角度较全面，有一定的合理性和可行性的，得(4-7]分; 基本符合项目实际情况及实施要求，但方案涵盖角度不全面且实施有难度的，得[0-4]分。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确保工期措施内容专门针对本项目编制，符合项目实际情况及实施要求，内容详尽且涵盖角度全面，合理性和可行性强，能够保障工程质量的，得(4-6]分; 符合项目实际情况及实施要求，内容较详尽且涵盖角度基本全面，有一定的合理性和可行性的，得(2-4]分; 基本符合项目实际情况及实施要求，但涵盖角度不全面得[0-2]分。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确保安全生产的措施内容专门针对本项目编制，符合项目实际情况及实施要求，内容详尽且涵盖角度全面，合理性和可行性强，能够保障项目安全实施的，得(4-6]分; 符合项目实际情况及实施要求，内容较详尽且涵盖角度基本全面，有一定的合理性和可行性的，得(2-4]分; 基本符合项目实际情况及实施要求，但涵盖角度不全面得[0-2]分。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措施内容专门针对本项目编制，符合项目实际情况及实施要求，内容详尽且涵盖角度全面，合理性和可行性强，能够保障项目文明施工及施工过程中的环境保护，得(4-6]分; 符合项目实际情况及实施要求，内容较详尽且涵盖角度基本全面，有一定的合理性和可行性的，得(2-4]分; 基本符合项目实际情况及实施要求，但涵盖角度不够全面得[0-2]分。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工期的，得(4-6]分；符合项目实际情况及实施要求，内容较详尽且涵盖角度基本全面，有一定的合理性和可行性的，得(2-4]分; 基本符合项目实际情况及实施要求，但涵盖角度不全面得[0-2]分。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项目部组成科学合理、人员表配置充足，有详细的人员配置清单，针对性强，能够很好的满足项目需求，得(2-4]分； 项目部组成人员缺乏科学合理性，人员配置清单不全，内容简单笼统得[0-2]分。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投入计划专门针对本项目编制，符合项目实际情况及实施要求，机械及材料投入合理可行，能够保障项目顺利实施的，得(4-6]分; 符合项目实际情况及实施要求，机械及材料投入有一定的合理性和可行性的，得(2-4]分; 基本符合项目实际情况及实施要求，但涵盖不全面且实施有难度的，得[0-2]分。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施工总平面布置图、施工进度表或施工网络图</w:t>
            </w:r>
          </w:p>
        </w:tc>
        <w:tc>
          <w:tcPr>
            <w:tcW w:type="dxa" w:w="2492"/>
          </w:tcPr>
          <w:p>
            <w:pPr>
              <w:pStyle w:val="null3"/>
            </w:pPr>
            <w:r>
              <w:rPr>
                <w:rFonts w:ascii="仿宋_GB2312" w:hAnsi="仿宋_GB2312" w:cs="仿宋_GB2312" w:eastAsia="仿宋_GB2312"/>
              </w:rPr>
              <w:t>总工期满足采购文件要求、施工有总平面布置图，进度计划有网络图（或横道图），节点工期控制全面合理，计(3-5]分；总工期基本满足采购文件要求、施工有总平面布置图，进度计划有网络图（或横道图），节点工期控制较合理，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安排计划科学全面、措施详细具体、针对性强计(4-6]分； 安排计划科学全面、措施较详细具体、针对性较强计分(2-4]； 安排计划内容简单笼统计[0-2]分。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应用的技术、产品、工艺、材料等先进科学、可行性高计(2-4]分； 应用的技术、产品、工艺、材料等科学性、可行性缺乏计[0-2]分。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承诺方案专门针对本项目编制，符合项目实际情况及实施要求，内容详尽且涵盖角度全面，合理性和可行性强，保障充分，得(3-5]分; 基本符合项目实际情况及实施要求，内容较详细，涵盖角度较全面，基本合理可行的，得(0-3]分。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近三年（2023年1月1日至今）项目类似业绩，每承担过1个类似项目得2分，最高得6分（类似业绩合同协议书或中标通知书复印件并加盖公章，合同以签订日期为准，中标通知书以落款时间为准）。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 最终二次报价）】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详见附件：供应商企业关联关系声明函.docx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详见附件：施工技术方案.docx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