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版本号：ZCXG-ZB-202605120260630001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2026年义务教育薄弱环节改善与能力提升东仪路小学电路及围墙改造项目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ZCXG-ZB-2026051</w:t>
      </w:r>
      <w:r>
        <w:br/>
      </w:r>
      <w:r>
        <w:br/>
      </w:r>
      <w:r>
        <w:br/>
      </w:r>
    </w:p>
    <w:p>
      <w:pPr>
        <w:pStyle w:val="null3"/>
        <w:jc w:val="center"/>
        <w:outlineLvl w:val="2"/>
      </w:pPr>
      <w:r>
        <w:rPr>
          <w:rFonts w:ascii="仿宋_GB2312" w:hAnsi="仿宋_GB2312" w:cs="仿宋_GB2312" w:eastAsia="仿宋_GB2312"/>
          <w:sz w:val="28"/>
          <w:b/>
        </w:rPr>
        <w:t>西安市雁塔区东仪路小学</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西安市雁塔区东仪路小学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2026年义务教育薄弱环节改善与能力提升东仪路小学电路及围墙改造项目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2026年义务教育薄弱环节改善与能力提升东仪路小学电路及围墙改造项目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2026年义务教育薄弱环节改善与能力提升东仪路小学电路及围墙改造项目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采购包1（2026年义务教育薄弱环节改善与能力提升东仪路小学电路及围墙改造项目）：属于专门面向中小企业采购。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西安市雁塔区东仪路小学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029-89195183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采购包1：435,993.56元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西安市雁塔区东仪路小学</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西安市雁塔区东仪路小学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西安市雁塔区东仪路小学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435,993.56</w:t>
      </w:r>
    </w:p>
    <w:p>
      <w:pPr>
        <w:pStyle w:val="null3"/>
      </w:pPr>
      <w:r>
        <w:rPr>
          <w:rFonts w:ascii="仿宋_GB2312" w:hAnsi="仿宋_GB2312" w:cs="仿宋_GB2312" w:eastAsia="仿宋_GB2312"/>
        </w:rPr>
        <w:t>采购包最高限价（元）: 435,993.56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2026年义务教育薄弱环节改善与能力提升东仪路小学电路及围墙改造项目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435,993.56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标的名称：2026年义务教育薄弱环节改善与能力提升东仪路小学电路及围墙改造项目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2026年义务教育薄弱环节改善与能力提升东仪路小学电路及围墙改造项目位于西安市东仪路小学，项目主要工作内容：拆除路面和花坛、围墙改造、移监控、移大门、移大棚及岗亭、垃圾清运、电路改造、高压电力检修井砌筑等。</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依据</w:t>
            </w:r>
            <w:r>
              <w:rPr>
                <w:rFonts w:ascii="仿宋_GB2312" w:hAnsi="仿宋_GB2312" w:cs="仿宋_GB2312" w:eastAsia="仿宋_GB2312"/>
                <w:sz w:val="28"/>
              </w:rPr>
              <w:t>《</w:t>
            </w: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陕西省建设工程费用规则</w:t>
            </w:r>
            <w:r>
              <w:rPr>
                <w:rFonts w:ascii="仿宋_GB2312" w:hAnsi="仿宋_GB2312" w:cs="仿宋_GB2312" w:eastAsia="仿宋_GB2312"/>
                <w:sz w:val="28"/>
              </w:rPr>
              <w:t>》</w:t>
            </w:r>
            <w:r>
              <w:rPr>
                <w:rFonts w:ascii="仿宋_GB2312" w:hAnsi="仿宋_GB2312" w:cs="仿宋_GB2312" w:eastAsia="仿宋_GB2312"/>
                <w:sz w:val="28"/>
              </w:rPr>
              <w:t>(2025)、《陕西省房屋建筑与装饰工程基价表》(20</w:t>
            </w:r>
            <w:r>
              <w:rPr>
                <w:rFonts w:ascii="仿宋_GB2312" w:hAnsi="仿宋_GB2312" w:cs="仿宋_GB2312" w:eastAsia="仿宋_GB2312"/>
                <w:sz w:val="28"/>
              </w:rPr>
              <w:t>25</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《陕西省市政工程基价表》（</w:t>
            </w:r>
            <w:r>
              <w:rPr>
                <w:rFonts w:ascii="仿宋_GB2312" w:hAnsi="仿宋_GB2312" w:cs="仿宋_GB2312" w:eastAsia="仿宋_GB2312"/>
                <w:sz w:val="28"/>
              </w:rPr>
              <w:t>2025）、《陕西省市政工程消耗量定额》（2025）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等。</w:t>
            </w:r>
          </w:p>
          <w:p>
            <w:pPr>
              <w:pStyle w:val="null3"/>
              <w:ind w:firstLine="560"/>
              <w:jc w:val="both"/>
            </w:pPr>
            <w:r>
              <w:rPr>
                <w:rFonts w:ascii="仿宋_GB2312" w:hAnsi="仿宋_GB2312" w:cs="仿宋_GB2312" w:eastAsia="仿宋_GB2312"/>
                <w:sz w:val="28"/>
              </w:rPr>
              <w:t>2、常规</w:t>
            </w:r>
            <w:r>
              <w:rPr>
                <w:rFonts w:ascii="仿宋_GB2312" w:hAnsi="仿宋_GB2312" w:cs="仿宋_GB2312" w:eastAsia="仿宋_GB2312"/>
                <w:sz w:val="28"/>
              </w:rPr>
              <w:t>施工组织设计及施工方法</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与建设工程项目有关的标准、规范、图集、技术资料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材料价根据</w:t>
            </w:r>
            <w:r>
              <w:rPr>
                <w:rFonts w:ascii="仿宋_GB2312" w:hAnsi="仿宋_GB2312" w:cs="仿宋_GB2312" w:eastAsia="仿宋_GB2312"/>
                <w:sz w:val="28"/>
              </w:rPr>
              <w:t>陕西</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5</w:t>
            </w:r>
            <w:r>
              <w:rPr>
                <w:rFonts w:ascii="仿宋_GB2312" w:hAnsi="仿宋_GB2312" w:cs="仿宋_GB2312" w:eastAsia="仿宋_GB2312"/>
                <w:sz w:val="28"/>
              </w:rPr>
              <w:t>月份信息价及市场价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w:t>
            </w:r>
            <w:r>
              <w:rPr>
                <w:rFonts w:ascii="仿宋_GB2312" w:hAnsi="仿宋_GB2312" w:cs="仿宋_GB2312" w:eastAsia="仿宋_GB2312"/>
                <w:sz w:val="28"/>
              </w:rPr>
              <w:t>相关计价依据及办法。</w:t>
            </w:r>
          </w:p>
          <w:p>
            <w:pPr>
              <w:pStyle w:val="null3"/>
              <w:jc w:val="left"/>
            </w:pPr>
            <w:r>
              <w:rPr>
                <w:rFonts w:ascii="仿宋_GB2312" w:hAnsi="仿宋_GB2312" w:cs="仿宋_GB2312" w:eastAsia="仿宋_GB2312"/>
                <w:sz w:val="28"/>
                <w:b/>
              </w:rPr>
              <w:t>三、有关问题说明</w:t>
            </w:r>
          </w:p>
          <w:p>
            <w:pPr>
              <w:pStyle w:val="null3"/>
              <w:ind w:firstLine="560"/>
              <w:jc w:val="left"/>
            </w:pPr>
            <w:r>
              <w:rPr>
                <w:rFonts w:ascii="仿宋_GB2312" w:hAnsi="仿宋_GB2312" w:cs="仿宋_GB2312" w:eastAsia="仿宋_GB2312"/>
                <w:sz w:val="28"/>
              </w:rPr>
              <w:t>1、本项目砂浆采用预拌砂浆、混凝土采用预拌混凝土。</w:t>
            </w:r>
          </w:p>
          <w:p>
            <w:pPr>
              <w:pStyle w:val="null3"/>
              <w:jc w:val="left"/>
            </w:pPr>
            <w:r>
              <w:rPr>
                <w:rFonts w:ascii="仿宋_GB2312" w:hAnsi="仿宋_GB2312" w:cs="仿宋_GB2312" w:eastAsia="仿宋_GB2312"/>
                <w:sz w:val="28"/>
                <w:b/>
              </w:rPr>
              <w:t>四、其他说明</w:t>
            </w:r>
          </w:p>
          <w:p>
            <w:pPr>
              <w:pStyle w:val="null3"/>
            </w:pPr>
            <w:r>
              <w:rPr>
                <w:rFonts w:ascii="仿宋_GB2312" w:hAnsi="仿宋_GB2312" w:cs="仿宋_GB2312" w:eastAsia="仿宋_GB2312"/>
                <w:sz w:val="28"/>
              </w:rPr>
              <w:t>1、本工程采用广联达云计价平台GCCP7.0（7.5000.23.3版本）编制。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1、工期：60天； 2、质保期：2年； 3、付款方式：工程验收合格且出具正式项目竣工结算审计报告后，一次性支付审定造价的100%（付款方式以此条为准）。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 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供应商应提交的相关资格证明材料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技术服务合同条款及其他商务要求应答表 供应商类似项目业绩一览表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