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版本号：RDX-ZB2026第022号.1B120260724001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西乡县四河学校教学楼建设项目监理(二次)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RDX-ZB2026第022号.1B1</w:t>
      </w:r>
      <w:r>
        <w:br/>
      </w:r>
      <w:r>
        <w:br/>
      </w:r>
      <w:r>
        <w:br/>
      </w:r>
    </w:p>
    <w:p>
      <w:pPr>
        <w:pStyle w:val="null3"/>
        <w:jc w:val="center"/>
        <w:outlineLvl w:val="2"/>
      </w:pPr>
      <w:r>
        <w:rPr>
          <w:rFonts w:ascii="仿宋_GB2312" w:hAnsi="仿宋_GB2312" w:cs="仿宋_GB2312" w:eastAsia="仿宋_GB2312"/>
          <w:sz w:val="28"/>
          <w:b/>
        </w:rPr>
        <w:t>西乡县四河小学</w:t>
      </w:r>
    </w:p>
    <w:p>
      <w:pPr>
        <w:pStyle w:val="null3"/>
        <w:jc w:val="center"/>
        <w:outlineLvl w:val="2"/>
      </w:pPr>
      <w:r>
        <w:rPr>
          <w:rFonts w:ascii="仿宋_GB2312" w:hAnsi="仿宋_GB2312" w:cs="仿宋_GB2312" w:eastAsia="仿宋_GB2312"/>
          <w:sz w:val="28"/>
          <w:b/>
        </w:rPr>
        <w:t>陕西容德轩项目管理有限公司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陕西容德轩项目管理有限公司</w:t>
      </w:r>
      <w:r>
        <w:rPr>
          <w:rFonts w:ascii="仿宋_GB2312" w:hAnsi="仿宋_GB2312" w:cs="仿宋_GB2312" w:eastAsia="仿宋_GB2312"/>
        </w:rPr>
        <w:t>（以下简称“代理机构”）受</w:t>
      </w:r>
      <w:r>
        <w:rPr>
          <w:rFonts w:ascii="仿宋_GB2312" w:hAnsi="仿宋_GB2312" w:cs="仿宋_GB2312" w:eastAsia="仿宋_GB2312"/>
        </w:rPr>
        <w:t>西乡县四河小学</w:t>
      </w:r>
      <w:r>
        <w:rPr>
          <w:rFonts w:ascii="仿宋_GB2312" w:hAnsi="仿宋_GB2312" w:cs="仿宋_GB2312" w:eastAsia="仿宋_GB2312"/>
        </w:rPr>
        <w:t>委托，拟对</w:t>
      </w:r>
      <w:r>
        <w:rPr>
          <w:rFonts w:ascii="仿宋_GB2312" w:hAnsi="仿宋_GB2312" w:cs="仿宋_GB2312" w:eastAsia="仿宋_GB2312"/>
        </w:rPr>
        <w:t>西乡县四河学校教学楼建设项目监理(二次)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RDX-ZB2026第022号.1B1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西乡县四河学校教学楼建设项目监理(二次)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新建教学楼一栋，地上五层，框架结构，总建筑面积3719.86平方米，配套给排水、电气等室外工程建设。</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采购包1（西乡县四河学校教学楼建设项目监理）：属于专门面向中小企业采购。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1、供应商资质：供应商须具备建设行政主管部门颁发的房屋建筑工程监理丙级及以上资质。</w:t>
      </w:r>
    </w:p>
    <w:p>
      <w:pPr>
        <w:pStyle w:val="null3"/>
      </w:pPr>
      <w:r>
        <w:rPr>
          <w:rFonts w:ascii="仿宋_GB2312" w:hAnsi="仿宋_GB2312" w:cs="仿宋_GB2312" w:eastAsia="仿宋_GB2312"/>
        </w:rPr>
        <w:t>2、拟派项目总监：拟派项目总监理工程师具备房屋建筑工程注册监理工程师，在本单位注册且未担任其他在监工程项目总监（需提供社保证明及无在监工程承诺函）。</w:t>
      </w:r>
    </w:p>
    <w:p>
      <w:pPr>
        <w:pStyle w:val="null3"/>
      </w:pPr>
      <w:r>
        <w:rPr>
          <w:rFonts w:ascii="仿宋_GB2312" w:hAnsi="仿宋_GB2312" w:cs="仿宋_GB2312" w:eastAsia="仿宋_GB2312"/>
        </w:rPr>
        <w:t>3、供应商授权：供应商应授权合法的人员参加投标全过程，其中法定代表人直接参加投标的，须出具法定代表人证明书及其身份证，法定代表人授权代表参加投标的，须出具法定代表人授权书及授权代表身份证。</w:t>
      </w:r>
    </w:p>
    <w:p>
      <w:pPr>
        <w:pStyle w:val="null3"/>
      </w:pPr>
      <w:r>
        <w:rPr>
          <w:rFonts w:ascii="仿宋_GB2312" w:hAnsi="仿宋_GB2312" w:cs="仿宋_GB2312" w:eastAsia="仿宋_GB2312"/>
        </w:rPr>
        <w:t>4、信用记录：供应商须提供《投标人信用记录书面声明函》（按格式填写，提供原件）。经查，投标人未被列入“信用中国”网站记录的“失信被执行人”或“重大税收违法案件当事人”名单；不处于“中国政府采购网”记录的“政府采购严重违法失信行为记录名单 ”中的禁止参加政府采购活动期间。</w:t>
      </w:r>
    </w:p>
    <w:p>
      <w:pPr>
        <w:pStyle w:val="null3"/>
      </w:pPr>
      <w:r>
        <w:rPr>
          <w:rFonts w:ascii="仿宋_GB2312" w:hAnsi="仿宋_GB2312" w:cs="仿宋_GB2312" w:eastAsia="仿宋_GB2312"/>
        </w:rPr>
        <w:t>5、联合体形式：本项目不接受联合体投标，提供非联合体声明。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西乡县四河小学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西乡县城北街道四季河村二组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0916-6305175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陕西容德轩项目管理有限公司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陕西省汉中市汉台区南关正街汉上第一街12号楼23层09号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李雪丽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18149167567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采购包1：321,000.00元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开户名称：陕西容德轩项目管理有限公司</w:t>
            </w:r>
          </w:p>
          <w:p>
            <w:pPr>
              <w:pStyle w:val="null3"/>
            </w:pPr>
            <w:r>
              <w:rPr>
                <w:rFonts w:ascii="仿宋_GB2312" w:hAnsi="仿宋_GB2312" w:cs="仿宋_GB2312" w:eastAsia="仿宋_GB2312"/>
              </w:rPr>
              <w:t>开户银行：中国工商银行汉中汉江路支行</w:t>
            </w:r>
          </w:p>
          <w:p>
            <w:pPr>
              <w:pStyle w:val="null3"/>
            </w:pPr>
            <w:r>
              <w:rPr>
                <w:rFonts w:ascii="仿宋_GB2312" w:hAnsi="仿宋_GB2312" w:cs="仿宋_GB2312" w:eastAsia="仿宋_GB2312"/>
              </w:rPr>
              <w:t>银行账号：2606 0221 0920 0040 966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代理服务费收费标准：参照《国家发展改革委关于降低部分建设项目收费标准规范收费行为等有关问题的通知》（发改价格[2011]534号）的有关规定收取。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西乡县四河小学</w:t>
      </w:r>
      <w:r>
        <w:rPr>
          <w:rFonts w:ascii="仿宋_GB2312" w:hAnsi="仿宋_GB2312" w:cs="仿宋_GB2312" w:eastAsia="仿宋_GB2312"/>
        </w:rPr>
        <w:t>和</w:t>
      </w:r>
      <w:r>
        <w:rPr>
          <w:rFonts w:ascii="仿宋_GB2312" w:hAnsi="仿宋_GB2312" w:cs="仿宋_GB2312" w:eastAsia="仿宋_GB2312"/>
        </w:rPr>
        <w:t>陕西容德轩项目管理有限公司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西乡县四河小学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陕西容德轩项目管理有限公司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西乡县四河小学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陕西容德轩项目管理有限公司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应达到国家质量检验与评定标准合格质量等级</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陕西容德轩项目管理有限公司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陕西容德轩项目管理有限公司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陕西容德轩项目管理有限公司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联系电话：18149167567</w:t>
      </w:r>
    </w:p>
    <w:p>
      <w:pPr>
        <w:pStyle w:val="null3"/>
      </w:pPr>
      <w:r>
        <w:rPr>
          <w:rFonts w:ascii="仿宋_GB2312" w:hAnsi="仿宋_GB2312" w:cs="仿宋_GB2312" w:eastAsia="仿宋_GB2312"/>
        </w:rPr>
        <w:t>地址：陕西省汉中市汉台区南关正街汉上第一街12号楼23层09号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新建教学楼一栋，地上五层，框架结构，总建筑面积3719.86平方米，配套给排水、电气等室外工程建设。</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321,000.00</w:t>
      </w:r>
    </w:p>
    <w:p>
      <w:pPr>
        <w:pStyle w:val="null3"/>
      </w:pPr>
      <w:r>
        <w:rPr>
          <w:rFonts w:ascii="仿宋_GB2312" w:hAnsi="仿宋_GB2312" w:cs="仿宋_GB2312" w:eastAsia="仿宋_GB2312"/>
        </w:rPr>
        <w:t>采购包最高限价（元）: 321,000.00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西乡县四河学校教学楼建设项目监理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321,000.00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标的名称：西乡县四河学校教学楼建设项目监理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1.建设地点：西乡县四河学校校园内。</w:t>
            </w:r>
          </w:p>
          <w:p>
            <w:pPr>
              <w:pStyle w:val="null3"/>
            </w:pPr>
            <w:r>
              <w:rPr>
                <w:rFonts w:ascii="仿宋_GB2312" w:hAnsi="仿宋_GB2312" w:cs="仿宋_GB2312" w:eastAsia="仿宋_GB2312"/>
              </w:rPr>
              <w:t>2.建设规模：新建教学楼一栋，地上五层，框架结构，总建筑面积3719.86平方米，配套给排水、电气等室外工程建设。</w:t>
            </w:r>
          </w:p>
          <w:p>
            <w:pPr>
              <w:pStyle w:val="null3"/>
            </w:pPr>
            <w:r>
              <w:rPr>
                <w:rFonts w:ascii="仿宋_GB2312" w:hAnsi="仿宋_GB2312" w:cs="仿宋_GB2312" w:eastAsia="仿宋_GB2312"/>
              </w:rPr>
              <w:t>3.项目概算总投资1471.28万元（其中建筑安装工程费为1235.87万元）</w:t>
            </w:r>
          </w:p>
          <w:p>
            <w:pPr>
              <w:pStyle w:val="null3"/>
            </w:pPr>
            <w:r>
              <w:rPr>
                <w:rFonts w:ascii="仿宋_GB2312" w:hAnsi="仿宋_GB2312" w:cs="仿宋_GB2312" w:eastAsia="仿宋_GB2312"/>
              </w:rPr>
              <w:t>二、监理范围：</w:t>
            </w:r>
          </w:p>
          <w:p>
            <w:pPr>
              <w:pStyle w:val="null3"/>
            </w:pPr>
            <w:r>
              <w:rPr>
                <w:rFonts w:ascii="仿宋_GB2312" w:hAnsi="仿宋_GB2312" w:cs="仿宋_GB2312" w:eastAsia="仿宋_GB2312"/>
              </w:rPr>
              <w:t>本项目设计图纸范围内所有内容的实施、交工及缺陷责任期内的全过程监理内容，包括施工阶段监理及保修阶段监理工作。</w:t>
            </w:r>
          </w:p>
          <w:p>
            <w:pPr>
              <w:pStyle w:val="null3"/>
            </w:pPr>
            <w:r>
              <w:rPr>
                <w:rFonts w:ascii="仿宋_GB2312" w:hAnsi="仿宋_GB2312" w:cs="仿宋_GB2312" w:eastAsia="仿宋_GB2312"/>
              </w:rPr>
              <w:t>三、监理内容：</w:t>
            </w:r>
          </w:p>
          <w:p>
            <w:pPr>
              <w:pStyle w:val="null3"/>
            </w:pPr>
            <w:r>
              <w:rPr>
                <w:rFonts w:ascii="仿宋_GB2312" w:hAnsi="仿宋_GB2312" w:cs="仿宋_GB2312" w:eastAsia="仿宋_GB2312"/>
              </w:rPr>
              <w:t>（1）质量控制：必须严格依照国家有关规定，检查施工单位所施工的项目是否符合预定的质量要求，而且整个监理工作中应强调对工程质量的事前控制、事中监管和事后评估。</w:t>
            </w:r>
          </w:p>
          <w:p>
            <w:pPr>
              <w:pStyle w:val="null3"/>
            </w:pPr>
            <w:r>
              <w:rPr>
                <w:rFonts w:ascii="仿宋_GB2312" w:hAnsi="仿宋_GB2312" w:cs="仿宋_GB2312" w:eastAsia="仿宋_GB2312"/>
              </w:rPr>
              <w:t>（2）进度控制：在工程实施过程中，监理工程师严格按照采购文件、合同、施工进度计划的要求，对施工进度进行跟进，确保整体施工有序进行。确保工程开、竣工时间进度计划按时完成。</w:t>
            </w:r>
          </w:p>
          <w:p>
            <w:pPr>
              <w:pStyle w:val="null3"/>
            </w:pPr>
            <w:r>
              <w:rPr>
                <w:rFonts w:ascii="仿宋_GB2312" w:hAnsi="仿宋_GB2312" w:cs="仿宋_GB2312" w:eastAsia="仿宋_GB2312"/>
              </w:rPr>
              <w:t>（3）安全目标：不发生人身安全事故；不发生较大机械设备损坏事故；不发生较大火灾灾事故；不发生负主要责任的较大交通事故；不发生因工程项目建设而造成的电网停电事故，不发生重大环境污染事故。</w:t>
            </w:r>
          </w:p>
          <w:p>
            <w:pPr>
              <w:pStyle w:val="null3"/>
            </w:pPr>
            <w:r>
              <w:rPr>
                <w:rFonts w:ascii="仿宋_GB2312" w:hAnsi="仿宋_GB2312" w:cs="仿宋_GB2312" w:eastAsia="仿宋_GB2312"/>
              </w:rPr>
              <w:t>（4）工程施工阶段的安全生产管理任务：对施工单位安全生产管理进行监督；督促施工单位进行安全检查工作，巡视巡查施工现场安全生产情况，对实施监理过程中发现存在安全事故隐患的，应签发书面通知单，要求施工单位整改；情况严重的要及时下达工程暂停指令，并上报甲方。</w:t>
            </w:r>
          </w:p>
          <w:p>
            <w:pPr>
              <w:pStyle w:val="null3"/>
            </w:pPr>
            <w:r>
              <w:rPr>
                <w:rFonts w:ascii="仿宋_GB2312" w:hAnsi="仿宋_GB2312" w:cs="仿宋_GB2312" w:eastAsia="仿宋_GB2312"/>
              </w:rPr>
              <w:t>（5）监理人员名单组成：项目要求配备一名总监理工程师及三名以上监理人员全程跟进，其余人员可根据施工进度派驻合理人数，所有参与监理人员须持证上岗。项目实施过程中，不得随意更换监理人员。</w:t>
            </w:r>
          </w:p>
          <w:p>
            <w:pPr>
              <w:pStyle w:val="null3"/>
            </w:pPr>
            <w:r>
              <w:rPr>
                <w:rFonts w:ascii="仿宋_GB2312" w:hAnsi="仿宋_GB2312" w:cs="仿宋_GB2312" w:eastAsia="仿宋_GB2312"/>
              </w:rPr>
              <w:t>（6）所有程序必须符合国家相关监理规定和国家工程质量验收合格标准。</w:t>
            </w:r>
          </w:p>
          <w:p>
            <w:pPr>
              <w:pStyle w:val="null3"/>
            </w:pPr>
            <w:r>
              <w:rPr>
                <w:rFonts w:ascii="仿宋_GB2312" w:hAnsi="仿宋_GB2312" w:cs="仿宋_GB2312" w:eastAsia="仿宋_GB2312"/>
              </w:rPr>
              <w:t>四、技术标准：</w:t>
            </w:r>
          </w:p>
          <w:p>
            <w:pPr>
              <w:pStyle w:val="null3"/>
            </w:pPr>
            <w:r>
              <w:rPr>
                <w:rFonts w:ascii="仿宋_GB2312" w:hAnsi="仿宋_GB2312" w:cs="仿宋_GB2312" w:eastAsia="仿宋_GB2312"/>
              </w:rPr>
              <w:t>工程监理标准应执行国家最新频布的《建设工程监理规范》及省、市或行业的相关规定。工程质量要求应达到国家质量检验与评定标准合格质量等级，具体以采购人与供应商签订的合同为准。</w:t>
            </w:r>
          </w:p>
          <w:p>
            <w:pPr>
              <w:pStyle w:val="null3"/>
            </w:pPr>
            <w:r>
              <w:rPr>
                <w:rFonts w:ascii="仿宋_GB2312" w:hAnsi="仿宋_GB2312" w:cs="仿宋_GB2312" w:eastAsia="仿宋_GB2312"/>
              </w:rPr>
              <w:t>五、监理服务周期要求：</w:t>
            </w:r>
          </w:p>
          <w:p>
            <w:pPr>
              <w:pStyle w:val="null3"/>
            </w:pPr>
            <w:r>
              <w:rPr>
                <w:rFonts w:ascii="仿宋_GB2312" w:hAnsi="仿宋_GB2312" w:cs="仿宋_GB2312" w:eastAsia="仿宋_GB2312"/>
              </w:rPr>
              <w:t>从工程开工之日起至竣工验收、资料归档备案、保修期满之日止（施工计划工期260日历天）。</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为保证本项目顺利实施，响应供应商应满足国家相关法律法规要求，配备具有相关专业的技术人员，需满足采购需求要求。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为保证本项目的顺利实施，响应供应商应满足国家相关法律法规的要求，需保证所涉及本项目设备设施来源渠道合法，配置参数达到相应的标准要求。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满足采购人和竞争性磋商文件要求。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从工程开工之日起至竣工验收、资料归档备案、保修期满之日止（施工计划工期260日历天）。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西乡县四河学校校园内。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内容和技术规格要求的标准，由采购人组织验收，其内容包括是否按照采购人要求进行服务、是否在规定时间内服务完毕；验收合格须交接项目实施的全部资料，并填写采购项目验收报告单。验收须以竞争性磋商文件、磋商响应文件、合同、国家相应的标准、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预付款，监理机构进驻现场，施工单位开工后 ，达到付款条件起30个工作日内，支付合同总金额的40.0%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进度款，采购人组织对监理服务项目完成验收并通过后，达到付款条件起30个工作日内，支付合同总金额的50.0%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进度款，缺陷责任期满，达到付款条件起30个工作日内，支付合同总金额的10.0%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非实质性偏离：非实质性偏差不影响投标文件的有效性。以下情况属于非实质性偏差：1.文字表述的内容含义不明确的；2.同类问题表述不一致的；3.有明显文字和计算错误的；4.提供的技术信息和资料不完整的；5.磋商小组认定的其他非实质性偏差。二、无效投标情形： 供应商或磋商响应文件存在下列情况之一的为无效投标： 1．供应商名称与注册证照名称不符的； 2．不具备磋商文件规定的资格条件或证明材料无效或不全的； 3．无投标有效期或投标有效期不足的； 4．执行标准明显低于采购需求的； 5．不能实质性响应磋商文件采购内容的； 6．报价明显低于其他合格投标供应商的报价，并在现场规定的时间内不能提供有效证明材料且经磋商小组认定形成不正当竞争的； 7．提供虚假证明，开具虚假资质，出现虚假应答或故意隐瞒行为的，除按无效投标处理外还按政府采购相关规定进行相应的处罚； 8．不符合法律、法规和磋商文件规定的其他无效情形。三、成交供应商在领取成交通知书时，须提交纸质磋商响应文件正本壹份、副本贰份、电子版壹份（U盘壹份注明单位名称），内容和通过电子化交易平台提交的磋商响应文件一致；纸质投标文件正副本分别胶装成册，采用双面打印。四、采用电子保函提交投标保证金的，须在投标响应文件提交截止时间前将电子保函发送至邮箱407811026@qq.com，代理机构收到保函后将由财务处出具保函接收凭证。五、服务方案评审赋分依据：1、方案完整、针对性强、可实施性高：方案能够完全切合本项目实际情况，工作流程完善，实施步骤清晰，科学合理，可操作性强。2、方案基本完整、具有一定的针对性、可实施性：方案结构基本完整，能切合本项实际情况，针对项目关键环节及服务要求针对性、可实施性较强。3、方案完整性较为全面、针对性、可实施性差：方案结构主体完整，多数内容能够切合本项目实际情况，但存在至少一处表述模糊、难以执行或不够科学合理、不适用本项目实际的内容。 4、缺乏针对性、可实施性、完整性：方案描述不符合本项目实际情况，存在明显套用其他项目方案的内容，内容空洞，工作流程不完善，实施标准、实施质量不利于采购需求的实现，存在逻辑漏洞、常识错误或合理性差。5、未提供方案不得分。六、本文件中投标人也称供应商，采购文件也称磋商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供应商具有独立承担民事责任能力的法人、其他组织或自然人，并出具合法有效的营业执照或事业单位法人证书等国家规定的相关证明，自然人参与的提供其身份证明；（2）供应商具有健全的财务会计制度，具有履行合同所必需的设备和专业技术能力，具有依法缴纳税收和社会保障金的良好记录，参加本项目采购活动前三年内无重大违法活动记录，投标人须提供《汉中市政府采购供应商资格承诺函》。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供应商须具备建设行政主管部门颁发的房屋建筑工程监理丙级及以上资质。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拟派项目总监</w:t>
            </w:r>
          </w:p>
        </w:tc>
        <w:tc>
          <w:tcPr>
            <w:tcW w:type="dxa" w:w="3322"/>
          </w:tcPr>
          <w:p>
            <w:pPr>
              <w:pStyle w:val="null3"/>
            </w:pPr>
            <w:r>
              <w:rPr>
                <w:rFonts w:ascii="仿宋_GB2312" w:hAnsi="仿宋_GB2312" w:cs="仿宋_GB2312" w:eastAsia="仿宋_GB2312"/>
              </w:rPr>
              <w:t>拟派项目总监理工程师具备房屋建筑工程注册监理工程师，在本单位注册且未担任其他在监工程项目总监（需提供社保证明及无在监工程承诺函）。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供应商授权</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供应商应授权合法的人员参加投标全过程，其中法定代表人直接参加投标的，须出具法定代表人证明书及其身份证，法定代表人授权代表参加投标的，须出具法定代表人授权书及授权代表身份证。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须提供《投标人信用记录书面声明函》（按格式填写，提供原件）。经查，投标人未被列入“信用中国”网站记录的“失信被执行人”或“重大税收违法案件当事人”名单；不处于“中国政府采购网”记录的“政府采购严重违法失信行为记录名单 ”中的禁止参加政府采购活动期间。</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联合体形式</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供应商应按格式/模板填写供应商名称，应与营业执照、公章一致。</w:t>
            </w:r>
          </w:p>
        </w:tc>
        <w:tc>
          <w:tcPr>
            <w:tcW w:type="dxa" w:w="1661"/>
          </w:tcPr>
          <w:p>
            <w:pPr>
              <w:pStyle w:val="null3"/>
            </w:pPr>
            <w:r>
              <w:rPr>
                <w:rFonts w:ascii="仿宋_GB2312" w:hAnsi="仿宋_GB2312" w:cs="仿宋_GB2312" w:eastAsia="仿宋_GB2312"/>
              </w:rPr>
              <w:t>响应文件封面 供应商应提交的相关资格证明材料.docx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投标响应文件的签署盖章</w:t>
            </w:r>
          </w:p>
        </w:tc>
        <w:tc>
          <w:tcPr>
            <w:tcW w:type="dxa" w:w="3322"/>
          </w:tcPr>
          <w:p>
            <w:pPr>
              <w:pStyle w:val="null3"/>
            </w:pPr>
            <w:r>
              <w:rPr>
                <w:rFonts w:ascii="仿宋_GB2312" w:hAnsi="仿宋_GB2312" w:cs="仿宋_GB2312" w:eastAsia="仿宋_GB2312"/>
              </w:rPr>
              <w:t>应符合投标响应文件的签署及盖章规定。</w:t>
            </w:r>
          </w:p>
        </w:tc>
        <w:tc>
          <w:tcPr>
            <w:tcW w:type="dxa" w:w="1661"/>
          </w:tcPr>
          <w:p>
            <w:pPr>
              <w:pStyle w:val="null3"/>
            </w:pPr>
            <w:r>
              <w:rPr>
                <w:rFonts w:ascii="仿宋_GB2312" w:hAnsi="仿宋_GB2312" w:cs="仿宋_GB2312" w:eastAsia="仿宋_GB2312"/>
              </w:rPr>
              <w:t>响应文件封面 供应商应提交的相关资格证明材料.docx 商务应答表 标的清单 服务内容及服务要求应答表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投标响应报价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供应商有法律、规章、规范性文件和磋商文件规定的其他无效情形，按无效响应处理。</w:t>
            </w:r>
          </w:p>
        </w:tc>
        <w:tc>
          <w:tcPr>
            <w:tcW w:type="dxa" w:w="1661"/>
          </w:tcPr>
          <w:p>
            <w:pPr>
              <w:pStyle w:val="null3"/>
            </w:pPr>
            <w:r>
              <w:rPr>
                <w:rFonts w:ascii="仿宋_GB2312" w:hAnsi="仿宋_GB2312" w:cs="仿宋_GB2312" w:eastAsia="仿宋_GB2312"/>
              </w:rPr>
              <w:t>商务应答表 服务方案 标的清单 服务内容及服务要求应答表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监理工作目标</w:t>
            </w:r>
          </w:p>
        </w:tc>
        <w:tc>
          <w:tcPr>
            <w:tcW w:type="dxa" w:w="2492"/>
          </w:tcPr>
          <w:p>
            <w:pPr>
              <w:pStyle w:val="null3"/>
            </w:pPr>
            <w:r>
              <w:rPr>
                <w:rFonts w:ascii="仿宋_GB2312" w:hAnsi="仿宋_GB2312" w:cs="仿宋_GB2312" w:eastAsia="仿宋_GB2312"/>
              </w:rPr>
              <w:t>一、评审内容：①质量目标；②进度目标；③投资控制目标；④安全控制目标；⑤ 信息管理目标；⑥合同管理目标。 二、评审标准（每一项） （1）方案完整、针对性强、可实施性高，得1分。 （2）方案基本完整、具有一定的针对性、可实施性，得0.7分。 （3）方案完整性较为全面、针对性、可实施性差，得0.4分。 （4）缺乏针对性、可实施性、完整性，得0~0.4分。 （5）未提供的不得分。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监理工作质量控制</w:t>
            </w:r>
          </w:p>
        </w:tc>
        <w:tc>
          <w:tcPr>
            <w:tcW w:type="dxa" w:w="2492"/>
          </w:tcPr>
          <w:p>
            <w:pPr>
              <w:pStyle w:val="null3"/>
            </w:pPr>
            <w:r>
              <w:rPr>
                <w:rFonts w:ascii="仿宋_GB2312" w:hAnsi="仿宋_GB2312" w:cs="仿宋_GB2312" w:eastAsia="仿宋_GB2312"/>
              </w:rPr>
              <w:t>一、评审内容： ①质量管理控制的基本流程；②工程质量控制的原则；③项目各阶段的质量控制措施。 二、评审标准（每一项） （1）方案完整、针对性强、可实施性高，得2分。 （2）方案基本完整、具有一定的针对性、可实施性，得1分。 （3）方案完整性较为全面、针对性、可实施性差，得0.5分。 （4）缺乏针对性、可实施性、完整性，得0~0.5分。 （5）未提供的不得分。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监理工作进度计划安排及保障措施</w:t>
            </w:r>
          </w:p>
        </w:tc>
        <w:tc>
          <w:tcPr>
            <w:tcW w:type="dxa" w:w="2492"/>
          </w:tcPr>
          <w:p>
            <w:pPr>
              <w:pStyle w:val="null3"/>
            </w:pPr>
            <w:r>
              <w:rPr>
                <w:rFonts w:ascii="仿宋_GB2312" w:hAnsi="仿宋_GB2312" w:cs="仿宋_GB2312" w:eastAsia="仿宋_GB2312"/>
              </w:rPr>
              <w:t>一、评审内容：①监理工作进度计划安排；②监理工作进度计划保障措施。 二、评审标准（每一项） （1）方案完整、针对性强、可实施性高，得2分。 （2）方案基本完整、具有一定的针对性、可实施性，得1分。 （3）方案完整性较为全面、针对性、可实施性差，得0.5分。 （4）缺乏针对性、可实施性、完整性，得0~0.5分。 （5）未提供的不得分。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监理工作制度</w:t>
            </w:r>
          </w:p>
        </w:tc>
        <w:tc>
          <w:tcPr>
            <w:tcW w:type="dxa" w:w="2492"/>
          </w:tcPr>
          <w:p>
            <w:pPr>
              <w:pStyle w:val="null3"/>
            </w:pPr>
            <w:r>
              <w:rPr>
                <w:rFonts w:ascii="仿宋_GB2312" w:hAnsi="仿宋_GB2312" w:cs="仿宋_GB2312" w:eastAsia="仿宋_GB2312"/>
              </w:rPr>
              <w:t>一、评审内容：①现场监理工作制度；②内部管理制度；③相关服务工作制度。 二、评审标准（每一项） （1）方案完整、针对性强、可实施性高，得2分。 （2）方案基本完整、具有一定的针对性、可实施性，得1分。 （3）方案完整性较为全面、针对性、可实施性差，得0.5分。 （4）缺乏针对性、可实施性、完整性，得0~0.5分。 （5）未提供的不得分。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监理资料与档案管理措施</w:t>
            </w:r>
          </w:p>
        </w:tc>
        <w:tc>
          <w:tcPr>
            <w:tcW w:type="dxa" w:w="2492"/>
          </w:tcPr>
          <w:p>
            <w:pPr>
              <w:pStyle w:val="null3"/>
            </w:pPr>
            <w:r>
              <w:rPr>
                <w:rFonts w:ascii="仿宋_GB2312" w:hAnsi="仿宋_GB2312" w:cs="仿宋_GB2312" w:eastAsia="仿宋_GB2312"/>
              </w:rPr>
              <w:t>一、评审内容： ①监理资料与档案存放管理制度；②监理资料与档案保管人员安排；③监理资料与档案移交措施。 二、评审标准（每一项） （1）方案完整、针对性强、可实施性高，得2分。 （2）方案基本完整、具有一定的针对性、可实施性，得1分。 （3）方案完整性较为全面、针对性、可实施性差，得0.5分。 （4）缺乏针对性、可实施性、完整性，得0~0.5分。 （5）未提供的不得分。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监理工作重点、难点分析及对策</w:t>
            </w:r>
          </w:p>
        </w:tc>
        <w:tc>
          <w:tcPr>
            <w:tcW w:type="dxa" w:w="2492"/>
          </w:tcPr>
          <w:p>
            <w:pPr>
              <w:pStyle w:val="null3"/>
            </w:pPr>
            <w:r>
              <w:rPr>
                <w:rFonts w:ascii="仿宋_GB2312" w:hAnsi="仿宋_GB2312" w:cs="仿宋_GB2312" w:eastAsia="仿宋_GB2312"/>
              </w:rPr>
              <w:t>一、评审内容：①针对本项目的重点、难点分析；②针对本项目的重点、难点的对策。 二、评审标准（每一项） （1）方案完整、针对性强、可实施性高，得2分。 （2）方案基本完整、具有一定的针对性、可实施性，得1分。 （3）方案完整性较为全面、针对性、可实施性差，得0.5分。 （4）缺乏针对性、可实施性、完整性，得0~0.5分。 （5）未提供的不得分。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监理组织协调工作方法措施</w:t>
            </w:r>
          </w:p>
        </w:tc>
        <w:tc>
          <w:tcPr>
            <w:tcW w:type="dxa" w:w="2492"/>
          </w:tcPr>
          <w:p>
            <w:pPr>
              <w:pStyle w:val="null3"/>
            </w:pPr>
            <w:r>
              <w:rPr>
                <w:rFonts w:ascii="仿宋_GB2312" w:hAnsi="仿宋_GB2312" w:cs="仿宋_GB2312" w:eastAsia="仿宋_GB2312"/>
              </w:rPr>
              <w:t>一、评审内容：①项目监理内部协调方法措施；②项目监理对外组织协调方法措施。 二、评审标准（每一项） （1）方案完整、针对性强、可实施性高，得2分。 （2）方案基本完整、具有一定的针对性、可实施性，得1分。 （3）方案完整性较为全面、针对性、可实施性差，得0.5分。 （4）缺乏针对性、可实施性、完整性，得0~0.5分。 （5）未提供的不得分。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监理服务承诺</w:t>
            </w:r>
          </w:p>
        </w:tc>
        <w:tc>
          <w:tcPr>
            <w:tcW w:type="dxa" w:w="2492"/>
          </w:tcPr>
          <w:p>
            <w:pPr>
              <w:pStyle w:val="null3"/>
            </w:pPr>
            <w:r>
              <w:rPr>
                <w:rFonts w:ascii="仿宋_GB2312" w:hAnsi="仿宋_GB2312" w:cs="仿宋_GB2312" w:eastAsia="仿宋_GB2312"/>
              </w:rPr>
              <w:t>一、评审内容：①服务质量承诺；②服务周期承诺。 二、评审标准（每一项） （1）方案完整、针对性强、可实施性高，得2分。 （2）方案基本完整、具有一定的针对性、可实施性，得1分。 （3）方案完整性较为全面、针对性、可实施性差，得0.5分。 （4）缺乏针对性、可实施性、完整性，得0~0.5分。 （5）未提供的不得分。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总监理工程师</w:t>
            </w:r>
          </w:p>
        </w:tc>
        <w:tc>
          <w:tcPr>
            <w:tcW w:type="dxa" w:w="2492"/>
          </w:tcPr>
          <w:p>
            <w:pPr>
              <w:pStyle w:val="null3"/>
            </w:pPr>
            <w:r>
              <w:rPr>
                <w:rFonts w:ascii="仿宋_GB2312" w:hAnsi="仿宋_GB2312" w:cs="仿宋_GB2312" w:eastAsia="仿宋_GB2312"/>
              </w:rPr>
              <w:t>1.拟派项目总监理工程师具备建筑类别中级及以上技术职称的得4分，初级职称得2分，其余情况不得分。 评审依据：以供应商提供的加盖公章的职称证书扫描件为准。 2.拟派项目总监理工程师具有五年及以上工作经验得4分，五年以下三年及以上工作经验得2分，三年以下工作经验得1分。 评审依据：工作经验年限以项目总监取得注册监理工程师执业资格证书时间为准。 3.项目总监提供2023年1月1日至今的类似监理业绩证明材料（且在该项目中担任总监理工程师一职）；提供1项业绩得2.5分，最高得5分。 评审依据：以供应商提供的加盖公章的监理合同协议书扫描件为准，未提供的或所提供资料不符合要求的不得分。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项目团队人员情况表.docx</w:t>
            </w:r>
          </w:p>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供应商拟派本项目专业技术人员包括但不限于（除拟派项目总监理工程师外）：土建专业监理工程师、电气专业监理工程师、造价工程师、安全工程师、测量工程师、监理员、资料员等，每配备一名得4分，本项最高得32分。 评审依据：须提供加盖公章的身份证、注册证/岗位证、本单位缴纳社保的证明材料（退休人员提供退休证明及劳动合同）等扫描件，证明材料不齐全不得分。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项目团队人员情况表.docx</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提供2023年1月1日至今的类似项目监理业绩，每提供一份有效业绩得2 .5 分，最高得5分。 评审依据：以供应商提供的加盖公章的监理合同协议书扫描件为准，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本项目以满足竞争性磋商文件要求的有效供应商最低投标价格为评标基准价。其他投标供应商的价格分统一按照下列公式计算：投标报价得分=（评标基准价/投标报价）×价格权值（10%）×100（四舍五入后保留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详见附件：项目团队人员情况表.docx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详见附件：监理合同.docx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