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版本号：2026-ZYD-ZB-02020260818001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陕西省国土绿化空间专项规划技术支撑</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2026-ZYD-ZB-020</w:t>
      </w:r>
      <w:r>
        <w:br/>
      </w:r>
      <w:r>
        <w:br/>
      </w:r>
      <w:r>
        <w:br/>
      </w:r>
    </w:p>
    <w:p>
      <w:pPr>
        <w:pStyle w:val="null3"/>
        <w:jc w:val="center"/>
        <w:outlineLvl w:val="2"/>
      </w:pPr>
      <w:r>
        <w:rPr>
          <w:rFonts w:ascii="仿宋_GB2312" w:hAnsi="仿宋_GB2312" w:cs="仿宋_GB2312" w:eastAsia="仿宋_GB2312"/>
          <w:sz w:val="28"/>
          <w:b/>
        </w:rPr>
        <w:t>陕西省林木种苗与退耕还林工程管理中心</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陕西省林木种苗与退耕还林工程管理中心</w:t>
      </w:r>
      <w:r>
        <w:rPr>
          <w:rFonts w:ascii="仿宋_GB2312" w:hAnsi="仿宋_GB2312" w:cs="仿宋_GB2312" w:eastAsia="仿宋_GB2312"/>
        </w:rPr>
        <w:t>委托，拟对</w:t>
      </w:r>
      <w:r>
        <w:rPr>
          <w:rFonts w:ascii="仿宋_GB2312" w:hAnsi="仿宋_GB2312" w:cs="仿宋_GB2312" w:eastAsia="仿宋_GB2312"/>
        </w:rPr>
        <w:t>陕西省国土绿化空间专项规划技术支撑</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2026-ZYD-ZB-020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陕西省国土绿化空间专项规划技术支撑</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通过编制全省国土绿化空间专项规划，构建耕地与退耕还林协同管理机制，优化国土空间格局，提升国土绿化综合效益。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磋商当日“信用中国”网站 （www.creditchina.gov.cn）、中国政府采购网（www.ccgp.gov.cn）查询结果为准；</w:t>
      </w:r>
    </w:p>
    <w:p>
      <w:pPr>
        <w:pStyle w:val="null3"/>
      </w:pPr>
      <w:r>
        <w:rPr>
          <w:rFonts w:ascii="仿宋_GB2312" w:hAnsi="仿宋_GB2312" w:cs="仿宋_GB2312" w:eastAsia="仿宋_GB2312"/>
        </w:rPr>
        <w:t>2、授权委托书：法定代表人授权书（附法定代表人、被授权人身份证复印件）；法定代表人直接参加磋商，须提供法定代表人身份证明及身份证复印件；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陕西省林木种苗与退耕还林工程管理中心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西安市西关正街233号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陕西省林木种苗与退耕还林工程管理中心经办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029-88652353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陕西省西安市新城区东元西路东岸阳光6号楼2711号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029-82523355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代理服务费收费标准：中标单位在领取《中标通知书》之前，向招标代理机构一次付清代理服务费。 采购代理服务费的金额依据《招标代理服务收费管理暂行办法》 计价格[2002]1980号文、《国家发展改革委关于降低部分建设项目收费标准规范收费行为等有关问题的通知》 发改价格[2011]534 号文，以中标价为基数,按服务类标准计取代理服务费。 账户名称：陕西中扬德项目管理有限公司 开户银行：中国银行股份有限公司西安大兴新区支行 账户号码：102088376412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陕西省林木种苗与退耕还林工程管理中心</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陕西省林木种苗与退耕还林工程管理中心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陕西省林木种苗与退耕还林工程管理中心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联系电话：029-82523355</w:t>
      </w:r>
    </w:p>
    <w:p>
      <w:pPr>
        <w:pStyle w:val="null3"/>
      </w:pPr>
      <w:r>
        <w:rPr>
          <w:rFonts w:ascii="仿宋_GB2312" w:hAnsi="仿宋_GB2312" w:cs="仿宋_GB2312" w:eastAsia="仿宋_GB2312"/>
        </w:rPr>
        <w:t>地址：陕西省西安市新城区东元西路东岸国际2711室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通过编制全省国土绿化空间专项规划，构建耕地与退耕还林协同管理机制，优化国土空间格局，提升国土绿化综合效益。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陕西省国土绿化空间专项规划技术支撑委托服务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标的名称：陕西省国土绿化空间专项规划技术支撑委托服务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服务内容包括：1.开展全省林草资源现状调研与基础分析；2.规划目标与布局研究；3.国土绿化空间划定；3.适宜性评价与绿化空间动态监测；4.重点任务与项目规划；5.效益评估分析。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交付成果包括：1.《陕西省国土绿化空间专项规划（2025—2035 年）》文本、附表；2.陕西省国土绿化空间现状图、空间布局规划图及重点工程专项规划图。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进度款，项目完成验收，达到付款条件起7个工作日内，支付合同总金额的70.0%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（1）提供合格有效的法人或者其他组织的营业执照等证明文件；供应商是法人或其他组织的应提供营业执照等证明文件，供应商是自然人的应提供有效的自然人身份证明； （2）税收缴纳证明：供应商需提供磋商截止日期前3个月内任意一个月的完税凭证或税务机关开具的完税证明任意税种；依法免税的应提供相关文件证明； （3）社会保障资金缴纳证明：供应商需提供磋商截止日期前3个月内任意一个月的社会保障资金缴存单据或社保机构开具的社会保险参保缴费情况证明；依法不需要缴纳社会保障资金的应提供相关文件证明； （4）参加政府采购活动前三年内在经营活动中没有重大违纪的书面声明（须加盖单位红色公章）； （5）提供供应商具备履行合同所必需的设备和专业技术能力的证明；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磋商时间不足一年的可提供成立后任意时段的资产负债表和利润表）或磋商前六个月内其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磋商当日“信用中国”网站 （www.creditchina.gov.cn）、中国政府采购网（www.ccgp.gov.cn）查询结果为准；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磋商响应文件上法定代表人或其授权代表人的签字盖章齐全 。</w:t>
            </w:r>
          </w:p>
        </w:tc>
        <w:tc>
          <w:tcPr>
            <w:tcW w:type="dxa" w:w="1661"/>
          </w:tcPr>
          <w:p>
            <w:pPr>
              <w:pStyle w:val="null3"/>
            </w:pPr>
            <w:r>
              <w:rPr>
                <w:rFonts w:ascii="仿宋_GB2312" w:hAnsi="仿宋_GB2312" w:cs="仿宋_GB2312" w:eastAsia="仿宋_GB2312"/>
              </w:rPr>
              <w:t>响应文件封面 资格证明文件 中小企业声明函 残疾人福利性单位声明函 商务应答表 标的清单 服务内容及服务要求应答表 报价表 响应函 监狱企业的证明文件 其他相关资料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供应商类似业绩 中小企业声明函 商务应答表 服务内容及服务要求应答表 报价表 响应文件封面 资格证明文件 残疾人福利性单位声明函 服务方案 标的清单 响应函 监狱企业的证明文件 其他相关资料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 xml:space="preserve"> 响应文件内容齐全、无遗漏。</w:t>
            </w:r>
          </w:p>
        </w:tc>
        <w:tc>
          <w:tcPr>
            <w:tcW w:type="dxa" w:w="1661"/>
          </w:tcPr>
          <w:p>
            <w:pPr>
              <w:pStyle w:val="null3"/>
            </w:pPr>
            <w:r>
              <w:rPr>
                <w:rFonts w:ascii="仿宋_GB2312" w:hAnsi="仿宋_GB2312" w:cs="仿宋_GB2312" w:eastAsia="仿宋_GB2312"/>
              </w:rPr>
              <w:t>供应商类似业绩 中小企业声明函 商务应答表 服务内容及服务要求应答表 报价表 响应文件封面 资格证明文件 残疾人福利性单位声明函 服务方案 标的清单 响应函 监狱企业的证明文件 其他相关资料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要求商务条款全部响应，不能有采购人不能接受的附加条件。</w:t>
            </w:r>
          </w:p>
        </w:tc>
        <w:tc>
          <w:tcPr>
            <w:tcW w:type="dxa" w:w="1661"/>
          </w:tcPr>
          <w:p>
            <w:pPr>
              <w:pStyle w:val="null3"/>
            </w:pPr>
            <w:r>
              <w:rPr>
                <w:rFonts w:ascii="仿宋_GB2312" w:hAnsi="仿宋_GB2312" w:cs="仿宋_GB2312" w:eastAsia="仿宋_GB2312"/>
              </w:rPr>
              <w:t>供应商类似业绩 中小企业声明函 商务应答表 服务内容及服务要求应答表 报价表 响应文件封面 资格证明文件 残疾人福利性单位声明函 服务方案 标的清单 响应函 监狱企业的证明文件 其他相关资料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服务期</w:t>
            </w:r>
          </w:p>
        </w:tc>
        <w:tc>
          <w:tcPr>
            <w:tcW w:type="dxa" w:w="3322"/>
          </w:tcPr>
          <w:p>
            <w:pPr>
              <w:pStyle w:val="null3"/>
            </w:pPr>
            <w:r>
              <w:rPr>
                <w:rFonts w:ascii="仿宋_GB2312" w:hAnsi="仿宋_GB2312" w:cs="仿宋_GB2312" w:eastAsia="仿宋_GB2312"/>
              </w:rPr>
              <w:t xml:space="preserve"> 应满足磋商文件中要求的服务期 。</w:t>
            </w:r>
          </w:p>
        </w:tc>
        <w:tc>
          <w:tcPr>
            <w:tcW w:type="dxa" w:w="1661"/>
          </w:tcPr>
          <w:p>
            <w:pPr>
              <w:pStyle w:val="null3"/>
            </w:pPr>
            <w:r>
              <w:rPr>
                <w:rFonts w:ascii="仿宋_GB2312" w:hAnsi="仿宋_GB2312" w:cs="仿宋_GB2312" w:eastAsia="仿宋_GB2312"/>
              </w:rPr>
              <w:t>商务应答表 服务方案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一、评审内容：对项目理解和熟悉程度，包括但不限于:(1)服务目标；(2)服务工作内容；(3)重点、难点理解及分析等； 二、评审标准： 1、完善性：方案必须全面，对评审内容中的各项要求有详细阐述； 2、可实施性：切合本项目实际情况，提出步骤清晰、合理的方案； 3、针对性：方案能够紧扣项目实际情况，内容科学合理。 以上3项内容齐全且无缺陷的得9分，每有一项评审内容缺项扣3分;每存在一项缺陷的扣0.5分，扣完为止。无此项描述的不得分。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一、评审内容：针对本项目提供的整体工作方法，思路清晰，包括但不限于：(1)主要工作思路；(2)工作方法描述；(3)遥感解译、空间动态监测软硬件能力描述；(4)服务响应机制；(5)服务承诺等； 二、评审标准： 1、完善性：方案必须全面，对评审内容中的各项要求有详细阐述； 2、可实施性：切合本项目实际情况，提出步骤清晰、合理的方案； 3、针对性：方案能够紧扣项目实际情况，内容科学合理。 以上5项内容齐全且无缺陷的得15分，每有一项评审内容缺项的扣3分;每存在一项缺陷的扣1分，扣完为止。无此项描述的不得分。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一、评审内容：针对本项目提供的进度安排及保障措施内容，包括但不限于:(1)服务进度计划安排；(2)主要工作节点部署；(3)各阶段实施流程；(4)进度保障措施； 二、评审标准： 1、完善性：方案必须全面，对评审内容中的各项要求有详细阐述； 2、可实施性：切合本项目实际情况，提出步骤清晰、合理的方案； 3、针对性：方案能够紧扣项目实际情况，内容科学合理。 以上4项内容齐全且无缺陷的得8分，每有一项评审内容缺项的扣2分;每存在一项缺陷的扣0.5分，扣完为止。无此项描述的不得分。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一、评审内容：针对本项目提供的质量保障措施内容，包括但不限于:(1)质量管理方案；(2)质量管理机构及职责；(3)质量保证措施；(4)质量保障承诺； 二、评审标准：1、完善性：方案必须全面，对评审内容中的各项要求有详细阐述； 2、可实施性：切合本项目实际情况，提出步骤清晰、合理的方案； 3、针对性：方案能够紧扣项目实际情况，内容科学合理。 以上4项内容齐全且无缺陷的得8分，每有一项评审内容缺项的扣2分;每存在一项缺陷的扣0.5分，扣完为止。无此项描述的不得分。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组织机构设置</w:t>
            </w:r>
          </w:p>
        </w:tc>
        <w:tc>
          <w:tcPr>
            <w:tcW w:type="dxa" w:w="2492"/>
          </w:tcPr>
          <w:p>
            <w:pPr>
              <w:pStyle w:val="null3"/>
            </w:pPr>
            <w:r>
              <w:rPr>
                <w:rFonts w:ascii="仿宋_GB2312" w:hAnsi="仿宋_GB2312" w:cs="仿宋_GB2312" w:eastAsia="仿宋_GB2312"/>
              </w:rPr>
              <w:t>①拟派项目负责人：具有林业、林学、生态学等相关专业高级及以上专业技术职称为本单位在职人员（提供近3个月社保证明）；近 3 年主持过 1 项及以上林草资源调查、国土绿化或生态规划类项目（提供证明材料）；全部满足得3分，不满足本项不得分； ②拟投入本项目的团队人员(不包含项目负责人)不少于6人，至少包括林草资源调查员、国土空间规划、GIS遥感空间分析、项目策划、效益评估人员，团队人员专业需覆盖：林学、草业科学、生态学、地理信息、国土空间规划相关专业； 每配备1位专业人员得1.5分，最高得12分；(响应文件中提供证明材料复印件加盖公章)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计3分，最高得15分；业绩证明（以合同（协议）或中标（成交）通知书日期为准，须在响应文件中附合同（协议）或中标（成交）通知书的扫描件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 2.满足磋商文件实质性要求且最终报价最低的供应商的价格为磋商基准价，其价格分30分。 3.磋商报价得分=（磋商基准价/最终磋商报价）×30的公式计算得分。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详见附件：供应商类似业绩</w:t>
      </w:r>
    </w:p>
    <w:p>
      <w:pPr>
        <w:pStyle w:val="null3"/>
        <w:ind w:firstLine="960"/>
      </w:pPr>
      <w:r>
        <w:rPr>
          <w:rFonts w:ascii="仿宋_GB2312" w:hAnsi="仿宋_GB2312" w:cs="仿宋_GB2312" w:eastAsia="仿宋_GB2312"/>
        </w:rPr>
        <w:t>详见附件：其他相关资料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