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02A39">
      <w:pPr>
        <w:pStyle w:val="7"/>
        <w:keepNext w:val="0"/>
        <w:keepLines w:val="0"/>
        <w:pageBreakBefore w:val="0"/>
        <w:kinsoku/>
        <w:wordWrap/>
        <w:overflowPunct w:val="0"/>
        <w:topLinePunct w:val="0"/>
        <w:autoSpaceDE w:val="0"/>
        <w:autoSpaceDN w:val="0"/>
        <w:bidi w:val="0"/>
        <w:spacing w:line="360" w:lineRule="auto"/>
        <w:jc w:val="center"/>
        <w:textAlignment w:val="auto"/>
        <w:outlineLvl w:val="1"/>
      </w:pPr>
      <w:r>
        <w:rPr>
          <w:rFonts w:ascii="仿宋_GB2312" w:hAnsi="仿宋_GB2312" w:eastAsia="仿宋_GB2312" w:cs="仿宋_GB2312"/>
          <w:b/>
          <w:sz w:val="36"/>
        </w:rPr>
        <w:t>第</w:t>
      </w:r>
      <w:r>
        <w:rPr>
          <w:rFonts w:hint="eastAsia" w:ascii="仿宋_GB2312" w:hAnsi="仿宋_GB2312" w:eastAsia="仿宋_GB2312" w:cs="仿宋_GB2312"/>
          <w:b/>
          <w:sz w:val="36"/>
          <w:lang w:val="en-US" w:eastAsia="zh-CN"/>
        </w:rPr>
        <w:t>七</w:t>
      </w:r>
      <w:r>
        <w:rPr>
          <w:rFonts w:ascii="仿宋_GB2312" w:hAnsi="仿宋_GB2312" w:eastAsia="仿宋_GB2312" w:cs="仿宋_GB2312"/>
          <w:b/>
          <w:sz w:val="36"/>
        </w:rPr>
        <w:t>章 拟签订采购合同文本</w:t>
      </w:r>
      <w:bookmarkStart w:id="4" w:name="_GoBack"/>
      <w:bookmarkEnd w:id="4"/>
    </w:p>
    <w:p w14:paraId="7EAEF155">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637507E4">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0ED63A46">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15FC34C8">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0CE99C4F">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74956DC4">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r>
        <w:rPr>
          <w:rFonts w:ascii="仿宋_GB2312" w:hAnsi="仿宋_GB2312" w:eastAsia="仿宋_GB2312" w:cs="仿宋_GB2312"/>
        </w:rPr>
        <w:t xml:space="preserve"> </w:t>
      </w:r>
    </w:p>
    <w:p w14:paraId="4C69D04D">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ascii="仿宋_GB2312" w:hAnsi="仿宋_GB2312" w:eastAsia="仿宋_GB2312" w:cs="仿宋_GB2312"/>
        </w:rPr>
      </w:pPr>
    </w:p>
    <w:p w14:paraId="43F643C6">
      <w:pPr>
        <w:keepNext w:val="0"/>
        <w:keepLines w:val="0"/>
        <w:pageBreakBefore w:val="0"/>
        <w:widowControl w:val="0"/>
        <w:kinsoku/>
        <w:wordWrap/>
        <w:overflowPunct w:val="0"/>
        <w:topLinePunct w:val="0"/>
        <w:autoSpaceDE w:val="0"/>
        <w:autoSpaceDN w:val="0"/>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36"/>
          <w:szCs w:val="36"/>
          <w:highlight w:val="none"/>
        </w:rPr>
      </w:pPr>
      <w:r>
        <w:rPr>
          <w:rFonts w:ascii="仿宋_GB2312" w:hAnsi="仿宋_GB2312" w:eastAsia="仿宋_GB2312" w:cs="仿宋_GB2312"/>
        </w:rPr>
        <w:br w:type="textWrapping"/>
      </w:r>
      <w:r>
        <w:rPr>
          <w:rFonts w:hint="eastAsia" w:ascii="仿宋" w:hAnsi="仿宋" w:eastAsia="仿宋" w:cs="仿宋"/>
          <w:color w:val="auto"/>
          <w:sz w:val="36"/>
          <w:szCs w:val="36"/>
          <w:highlight w:val="none"/>
        </w:rPr>
        <w:t>合同范本</w:t>
      </w:r>
    </w:p>
    <w:p w14:paraId="127160D0">
      <w:pPr>
        <w:keepNext w:val="0"/>
        <w:keepLines w:val="0"/>
        <w:pageBreakBefore w:val="0"/>
        <w:widowControl w:val="0"/>
        <w:kinsoku/>
        <w:wordWrap/>
        <w:overflowPunct w:val="0"/>
        <w:topLinePunct w:val="0"/>
        <w:autoSpaceDE w:val="0"/>
        <w:autoSpaceDN w:val="0"/>
        <w:bidi w:val="0"/>
        <w:adjustRightInd w:val="0"/>
        <w:snapToGrid w:val="0"/>
        <w:spacing w:line="360" w:lineRule="auto"/>
        <w:jc w:val="center"/>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（仅供参考）</w:t>
      </w:r>
    </w:p>
    <w:p w14:paraId="69AF169B">
      <w:pPr>
        <w:pStyle w:val="4"/>
        <w:keepNext w:val="0"/>
        <w:keepLines w:val="0"/>
        <w:pageBreakBefore w:val="0"/>
        <w:kinsoku/>
        <w:wordWrap/>
        <w:overflowPunct w:val="0"/>
        <w:topLinePunct w:val="0"/>
        <w:autoSpaceDE w:val="0"/>
        <w:autoSpaceDN w:val="0"/>
        <w:bidi w:val="0"/>
        <w:spacing w:line="360" w:lineRule="auto"/>
        <w:ind w:firstLine="800" w:firstLineChars="200"/>
        <w:jc w:val="center"/>
        <w:textAlignment w:val="auto"/>
        <w:rPr>
          <w:rFonts w:hint="eastAsia" w:ascii="仿宋" w:hAnsi="仿宋" w:eastAsia="仿宋" w:cs="仿宋"/>
          <w:sz w:val="40"/>
          <w:szCs w:val="40"/>
        </w:rPr>
      </w:pPr>
      <w:r>
        <w:rPr>
          <w:rFonts w:hint="eastAsia" w:ascii="仿宋" w:hAnsi="仿宋" w:eastAsia="仿宋" w:cs="仿宋"/>
          <w:sz w:val="40"/>
          <w:szCs w:val="40"/>
        </w:rPr>
        <w:t>____________项目</w:t>
      </w:r>
    </w:p>
    <w:p w14:paraId="47E02473">
      <w:pPr>
        <w:pStyle w:val="4"/>
        <w:keepNext w:val="0"/>
        <w:keepLines w:val="0"/>
        <w:pageBreakBefore w:val="0"/>
        <w:kinsoku/>
        <w:wordWrap/>
        <w:overflowPunct w:val="0"/>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p>
    <w:p w14:paraId="5EA89FCE">
      <w:pPr>
        <w:pStyle w:val="4"/>
        <w:keepNext w:val="0"/>
        <w:keepLines w:val="0"/>
        <w:pageBreakBefore w:val="0"/>
        <w:kinsoku/>
        <w:wordWrap/>
        <w:overflowPunct w:val="0"/>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p>
    <w:p w14:paraId="090CB575">
      <w:pPr>
        <w:pStyle w:val="4"/>
        <w:keepNext w:val="0"/>
        <w:keepLines w:val="0"/>
        <w:pageBreakBefore w:val="0"/>
        <w:kinsoku/>
        <w:wordWrap/>
        <w:overflowPunct w:val="0"/>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p>
    <w:p w14:paraId="7384449C">
      <w:pPr>
        <w:pStyle w:val="4"/>
        <w:keepNext w:val="0"/>
        <w:keepLines w:val="0"/>
        <w:pageBreakBefore w:val="0"/>
        <w:kinsoku/>
        <w:wordWrap/>
        <w:overflowPunct w:val="0"/>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p>
    <w:p w14:paraId="60FA00F9">
      <w:pPr>
        <w:keepNext w:val="0"/>
        <w:keepLines w:val="0"/>
        <w:pageBreakBefore w:val="0"/>
        <w:kinsoku/>
        <w:wordWrap/>
        <w:overflowPunct w:val="0"/>
        <w:topLinePunct w:val="0"/>
        <w:autoSpaceDE w:val="0"/>
        <w:autoSpaceDN w:val="0"/>
        <w:bidi w:val="0"/>
        <w:adjustRightInd/>
        <w:snapToGrid/>
        <w:spacing w:before="0" w:after="0" w:line="360" w:lineRule="auto"/>
        <w:jc w:val="center"/>
        <w:textAlignment w:val="auto"/>
        <w:outlineLvl w:val="9"/>
        <w:rPr>
          <w:rFonts w:hint="eastAsia" w:ascii="仿宋" w:hAnsi="仿宋" w:eastAsia="仿宋" w:cs="仿宋"/>
          <w:sz w:val="40"/>
          <w:szCs w:val="40"/>
        </w:rPr>
      </w:pPr>
      <w:r>
        <w:rPr>
          <w:rFonts w:hint="eastAsia" w:ascii="仿宋" w:hAnsi="仿宋" w:eastAsia="仿宋" w:cs="仿宋"/>
          <w:sz w:val="40"/>
          <w:szCs w:val="40"/>
        </w:rPr>
        <w:t>合　　同</w:t>
      </w:r>
    </w:p>
    <w:p w14:paraId="60C6FB12">
      <w:pPr>
        <w:rPr>
          <w:rStyle w:val="8"/>
          <w:rFonts w:hint="eastAsia" w:hAnsi="Times New Roman" w:cs="Times New Roman"/>
          <w:b/>
          <w:bCs/>
          <w:sz w:val="28"/>
          <w:szCs w:val="28"/>
          <w:lang w:val="zh-CN" w:eastAsia="zh-CN"/>
        </w:rPr>
      </w:pPr>
      <w:r>
        <w:rPr>
          <w:rStyle w:val="8"/>
          <w:rFonts w:hint="eastAsia" w:hAnsi="Times New Roman" w:cs="Times New Roman"/>
          <w:b/>
          <w:bCs/>
          <w:sz w:val="28"/>
          <w:szCs w:val="28"/>
          <w:lang w:val="zh-CN" w:eastAsia="zh-CN"/>
        </w:rPr>
        <w:br w:type="page"/>
      </w:r>
    </w:p>
    <w:p w14:paraId="3402C894">
      <w:pPr>
        <w:keepNext w:val="0"/>
        <w:keepLines w:val="0"/>
        <w:pageBreakBefore w:val="0"/>
        <w:kinsoku/>
        <w:wordWrap/>
        <w:overflowPunct w:val="0"/>
        <w:topLinePunct w:val="0"/>
        <w:autoSpaceDE w:val="0"/>
        <w:autoSpaceDN w:val="0"/>
        <w:bidi w:val="0"/>
        <w:adjustRightInd/>
        <w:snapToGrid/>
        <w:spacing w:before="0" w:after="0" w:line="360" w:lineRule="auto"/>
        <w:jc w:val="center"/>
        <w:textAlignment w:val="auto"/>
        <w:outlineLvl w:val="9"/>
        <w:rPr>
          <w:rFonts w:hint="eastAsia" w:ascii="宋体" w:hAnsi="宋体" w:cs="宋体"/>
          <w:sz w:val="28"/>
          <w:szCs w:val="28"/>
        </w:rPr>
      </w:pPr>
      <w:r>
        <w:rPr>
          <w:rStyle w:val="8"/>
          <w:rFonts w:hint="eastAsia" w:hAnsi="Times New Roman" w:cs="Times New Roman"/>
          <w:b/>
          <w:bCs/>
          <w:sz w:val="28"/>
          <w:szCs w:val="28"/>
          <w:lang w:val="zh-CN" w:eastAsia="zh-CN"/>
        </w:rPr>
        <w:t>拟签订的合同条款文本</w:t>
      </w:r>
    </w:p>
    <w:p w14:paraId="7EC30F2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甲方（采购人）： </w:t>
      </w:r>
    </w:p>
    <w:p w14:paraId="7B5FBD5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lang w:eastAsia="zh-CN"/>
        </w:rPr>
        <w:t>中标供应商</w:t>
      </w:r>
      <w:r>
        <w:rPr>
          <w:rFonts w:hint="eastAsia" w:ascii="仿宋" w:hAnsi="仿宋" w:eastAsia="仿宋" w:cs="仿宋"/>
          <w:bCs/>
          <w:sz w:val="24"/>
          <w:szCs w:val="24"/>
        </w:rPr>
        <w:t xml:space="preserve">）： </w:t>
      </w:r>
    </w:p>
    <w:p w14:paraId="6C3114F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市管车行桥梁定期检测项目（</w:t>
      </w:r>
      <w:r>
        <w:rPr>
          <w:rFonts w:hint="eastAsia" w:ascii="仿宋" w:hAnsi="仿宋" w:eastAsia="仿宋" w:cs="仿宋"/>
          <w:bCs/>
          <w:sz w:val="24"/>
          <w:szCs w:val="24"/>
          <w:lang w:val="en-US" w:eastAsia="zh-Hans"/>
        </w:rPr>
        <w:t>项目编号：SXHJZB-2026-1</w:t>
      </w:r>
      <w:r>
        <w:rPr>
          <w:rFonts w:hint="eastAsia" w:ascii="仿宋" w:hAnsi="仿宋" w:eastAsia="仿宋" w:cs="仿宋"/>
          <w:bCs/>
          <w:sz w:val="24"/>
          <w:szCs w:val="24"/>
          <w:lang w:val="en-US" w:eastAsia="zh-CN"/>
        </w:rPr>
        <w:t>4</w:t>
      </w:r>
      <w:r>
        <w:rPr>
          <w:rFonts w:hint="eastAsia" w:ascii="仿宋" w:hAnsi="仿宋" w:eastAsia="仿宋" w:cs="仿宋"/>
          <w:bCs/>
          <w:sz w:val="24"/>
          <w:szCs w:val="24"/>
          <w:lang w:val="en-US" w:eastAsia="zh-Hans"/>
        </w:rPr>
        <w:t>)，由陕西华璟项目管理有限公司组织招标，</w:t>
      </w:r>
      <w:r>
        <w:rPr>
          <w:rFonts w:hint="eastAsia" w:ascii="仿宋" w:hAnsi="仿宋" w:eastAsia="仿宋" w:cs="仿宋"/>
          <w:bCs/>
          <w:sz w:val="24"/>
          <w:szCs w:val="24"/>
          <w:u w:val="single"/>
          <w:lang w:val="en-US" w:eastAsia="zh-Hans"/>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以下简称“甲方”</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确定</w:t>
      </w:r>
      <w:r>
        <w:rPr>
          <w:rFonts w:hint="eastAsia" w:ascii="仿宋" w:hAnsi="仿宋" w:eastAsia="仿宋" w:cs="仿宋"/>
          <w:bCs/>
          <w:sz w:val="24"/>
          <w:szCs w:val="24"/>
          <w:u w:val="single"/>
          <w:lang w:val="en-US" w:eastAsia="zh-Hans"/>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Hans"/>
        </w:rPr>
        <w:t>（以下简称“乙方”）为该项目的</w:t>
      </w:r>
      <w:r>
        <w:rPr>
          <w:rFonts w:hint="eastAsia" w:ascii="仿宋" w:hAnsi="仿宋" w:eastAsia="仿宋" w:cs="仿宋"/>
          <w:bCs/>
          <w:sz w:val="24"/>
          <w:szCs w:val="24"/>
          <w:lang w:val="en-US" w:eastAsia="zh-CN"/>
        </w:rPr>
        <w:t>中标供应商</w:t>
      </w:r>
      <w:r>
        <w:rPr>
          <w:rFonts w:hint="eastAsia" w:ascii="仿宋" w:hAnsi="仿宋" w:eastAsia="仿宋" w:cs="仿宋"/>
          <w:bCs/>
          <w:sz w:val="24"/>
          <w:szCs w:val="24"/>
          <w:lang w:val="en-US" w:eastAsia="zh-Hans"/>
        </w:rPr>
        <w:t>。</w:t>
      </w:r>
    </w:p>
    <w:p w14:paraId="45AB5E8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Hans"/>
        </w:rPr>
        <w:t>依据《中华人民共和国</w:t>
      </w:r>
      <w:r>
        <w:rPr>
          <w:rFonts w:hint="eastAsia" w:ascii="仿宋" w:hAnsi="仿宋" w:eastAsia="仿宋" w:cs="仿宋"/>
          <w:bCs/>
          <w:sz w:val="24"/>
          <w:szCs w:val="24"/>
          <w:lang w:val="en-US" w:eastAsia="zh-CN"/>
        </w:rPr>
        <w:t>民法典</w:t>
      </w:r>
      <w:r>
        <w:rPr>
          <w:rFonts w:hint="eastAsia" w:ascii="仿宋" w:hAnsi="仿宋" w:eastAsia="仿宋" w:cs="仿宋"/>
          <w:bCs/>
          <w:sz w:val="24"/>
          <w:szCs w:val="24"/>
          <w:lang w:val="en-US" w:eastAsia="zh-Hans"/>
        </w:rPr>
        <w:t>》和《中华人民共和国政府采购法》之规定，经双方在平等</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自愿</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互利的基础上，签订本合同，共同信守。</w:t>
      </w:r>
    </w:p>
    <w:p w14:paraId="6F3FBAD5">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合同价款</w:t>
      </w:r>
    </w:p>
    <w:p w14:paraId="7B52CE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w:t>
      </w:r>
      <w:r>
        <w:rPr>
          <w:rFonts w:hint="eastAsia" w:ascii="仿宋" w:hAnsi="仿宋" w:eastAsia="仿宋" w:cs="仿宋"/>
          <w:bCs/>
          <w:sz w:val="24"/>
          <w:szCs w:val="24"/>
          <w:lang w:val="en-US" w:eastAsia="zh-CN"/>
        </w:rPr>
        <w:t>合同总价：人民币（大写）</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w:t>
      </w:r>
    </w:p>
    <w:p w14:paraId="1B7649D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Hans"/>
        </w:rPr>
        <w:t>（二）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14:paraId="6072EE0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委托工作内容：</w:t>
      </w:r>
    </w:p>
    <w:p w14:paraId="78482CD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按照《城市桥梁养护技术标准》（CJJ99-2017）</w:t>
      </w:r>
      <w:r>
        <w:rPr>
          <w:rFonts w:hint="eastAsia" w:ascii="仿宋" w:hAnsi="仿宋" w:eastAsia="仿宋" w:cs="仿宋"/>
          <w:bCs/>
          <w:sz w:val="24"/>
          <w:szCs w:val="24"/>
          <w:lang w:val="en-US" w:eastAsia="zh-CN"/>
        </w:rPr>
        <w:t>等规范要求，</w:t>
      </w:r>
      <w:r>
        <w:rPr>
          <w:rFonts w:hint="eastAsia" w:ascii="仿宋" w:hAnsi="仿宋" w:eastAsia="仿宋" w:cs="仿宋"/>
          <w:bCs/>
          <w:sz w:val="24"/>
          <w:szCs w:val="24"/>
          <w:lang w:val="en-US" w:eastAsia="zh-Hans"/>
        </w:rPr>
        <w:t>对76座桥梁/隧道开展</w:t>
      </w:r>
      <w:r>
        <w:rPr>
          <w:rFonts w:hint="eastAsia" w:ascii="仿宋" w:hAnsi="仿宋" w:eastAsia="仿宋" w:cs="仿宋"/>
          <w:bCs/>
          <w:sz w:val="24"/>
          <w:szCs w:val="24"/>
          <w:lang w:val="en-US" w:eastAsia="zh-CN"/>
        </w:rPr>
        <w:t>结构</w:t>
      </w:r>
      <w:r>
        <w:rPr>
          <w:rFonts w:hint="eastAsia" w:ascii="仿宋" w:hAnsi="仿宋" w:eastAsia="仿宋" w:cs="仿宋"/>
          <w:bCs/>
          <w:sz w:val="24"/>
          <w:szCs w:val="24"/>
          <w:lang w:val="en-US" w:eastAsia="zh-Hans"/>
        </w:rPr>
        <w:t>检测，</w:t>
      </w:r>
      <w:r>
        <w:rPr>
          <w:rFonts w:hint="eastAsia" w:ascii="仿宋" w:hAnsi="仿宋" w:eastAsia="仿宋" w:cs="仿宋"/>
          <w:bCs/>
          <w:sz w:val="24"/>
          <w:szCs w:val="24"/>
          <w:lang w:val="en-US" w:eastAsia="zh-CN"/>
        </w:rPr>
        <w:t>桥梁安全检查排查，其他应急检测和技术服务等内容。</w:t>
      </w:r>
      <w:r>
        <w:rPr>
          <w:rFonts w:hint="eastAsia" w:ascii="仿宋" w:hAnsi="仿宋" w:eastAsia="仿宋" w:cs="仿宋"/>
          <w:bCs/>
          <w:sz w:val="24"/>
          <w:szCs w:val="24"/>
          <w:lang w:val="en-US" w:eastAsia="zh-Hans"/>
        </w:rPr>
        <w:t>通过专业检测发现桥梁病害和运行隐患，评价桥梁技术状况，并提出针对性的养护技术意见，编制桥梁检测报告</w:t>
      </w:r>
      <w:r>
        <w:rPr>
          <w:rFonts w:hint="eastAsia" w:ascii="仿宋" w:hAnsi="仿宋" w:eastAsia="仿宋" w:cs="仿宋"/>
          <w:bCs/>
          <w:sz w:val="24"/>
          <w:szCs w:val="24"/>
          <w:lang w:val="en-US" w:eastAsia="zh-CN"/>
        </w:rPr>
        <w:t>等</w:t>
      </w:r>
      <w:r>
        <w:rPr>
          <w:rFonts w:hint="eastAsia" w:ascii="仿宋" w:hAnsi="仿宋" w:eastAsia="仿宋" w:cs="仿宋"/>
          <w:bCs/>
          <w:sz w:val="24"/>
          <w:szCs w:val="24"/>
          <w:lang w:val="en-US" w:eastAsia="zh-Hans"/>
        </w:rPr>
        <w:t>。</w:t>
      </w:r>
    </w:p>
    <w:p w14:paraId="6A2C13B6">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款项结算</w:t>
      </w:r>
    </w:p>
    <w:p w14:paraId="6336FE2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bookmarkStart w:id="0" w:name="_Hlk69116164"/>
      <w:r>
        <w:rPr>
          <w:rFonts w:hint="eastAsia" w:ascii="仿宋" w:hAnsi="仿宋" w:eastAsia="仿宋" w:cs="仿宋"/>
          <w:bCs/>
          <w:sz w:val="24"/>
          <w:szCs w:val="24"/>
          <w:highlight w:val="none"/>
          <w:lang w:val="en-US" w:eastAsia="zh-Hans"/>
        </w:rPr>
        <w:t>（一）付款方式：</w:t>
      </w:r>
    </w:p>
    <w:p w14:paraId="64F427D0">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合同签订后，支付预付款。甲方收到增值税发票后30日内，支付合同总金额的60.00%；</w:t>
      </w:r>
    </w:p>
    <w:p w14:paraId="7117C018">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color w:val="auto"/>
          <w:sz w:val="24"/>
          <w:szCs w:val="24"/>
          <w:highlight w:val="none"/>
          <w:lang w:val="en-US" w:eastAsia="zh-CN"/>
        </w:rPr>
        <w:t>乙方完成合同全部内容，验收合格后，甲方收到增值税发票后30日内，支付合同总金额的40.00%。</w:t>
      </w:r>
    </w:p>
    <w:bookmarkEnd w:id="0"/>
    <w:p w14:paraId="61AF18C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（二）结算方式：银行转账。</w:t>
      </w:r>
    </w:p>
    <w:p w14:paraId="6A267A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乙方账户信息：</w:t>
      </w:r>
    </w:p>
    <w:p w14:paraId="3861C76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开户银行：</w:t>
      </w:r>
    </w:p>
    <w:p w14:paraId="643FCAB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户    名：</w:t>
      </w:r>
    </w:p>
    <w:p w14:paraId="4AED78F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账    号：</w:t>
      </w:r>
    </w:p>
    <w:p w14:paraId="2A7FBC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三）结算单位：由甲方负责结算，乙方在每次接受付款前，应按照甲方要求出具相应金额的发票。乙方出示非法发票的，视为违约行为，甲方有权暂停支付相应款项且不受上述条件的限制。两次出示非法发票的，甲方有权解除合同。给甲方造成损失的，乙方应承担赔偿责任。</w:t>
      </w:r>
    </w:p>
    <w:p w14:paraId="4F7BA84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服务地点及服务期</w:t>
      </w:r>
    </w:p>
    <w:p w14:paraId="6006F09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（一）服务地点：甲方指定地点。</w:t>
      </w:r>
    </w:p>
    <w:p w14:paraId="5238657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Hans"/>
        </w:rPr>
        <w:t>（二）服务期：本次桥梁检测外业工作、数据分析等应在签订合同后60日历天内完成，10月30日前提交最终检测报告</w:t>
      </w:r>
      <w:r>
        <w:rPr>
          <w:rFonts w:hint="eastAsia" w:ascii="仿宋" w:hAnsi="仿宋" w:eastAsia="仿宋" w:cs="仿宋"/>
          <w:bCs/>
          <w:sz w:val="24"/>
          <w:szCs w:val="24"/>
          <w:highlight w:val="none"/>
          <w:lang w:val="en-US" w:eastAsia="zh-CN"/>
        </w:rPr>
        <w:t>。</w:t>
      </w:r>
    </w:p>
    <w:p w14:paraId="38E3292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highlight w:val="none"/>
          <w:lang w:val="en-US" w:eastAsia="zh-Hans"/>
        </w:rPr>
      </w:pPr>
      <w:bookmarkStart w:id="1" w:name="_Toc6938"/>
      <w:r>
        <w:rPr>
          <w:rFonts w:hint="eastAsia" w:ascii="仿宋" w:hAnsi="仿宋" w:eastAsia="仿宋" w:cs="仿宋"/>
          <w:bCs/>
          <w:sz w:val="24"/>
          <w:szCs w:val="24"/>
          <w:highlight w:val="none"/>
          <w:lang w:val="en-US" w:eastAsia="zh-Hans"/>
        </w:rPr>
        <w:t>双方的权利和义务</w:t>
      </w:r>
      <w:bookmarkEnd w:id="1"/>
    </w:p>
    <w:p w14:paraId="7AE040E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（一）甲方的权利与义务</w:t>
      </w:r>
    </w:p>
    <w:p w14:paraId="20E94E7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1.甲方负责配合本次项目服务工作；</w:t>
      </w:r>
    </w:p>
    <w:p w14:paraId="6B565B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2.甲方应按本合同的约定向乙方支付合同价款；</w:t>
      </w:r>
    </w:p>
    <w:p w14:paraId="77A4811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3.甲方根据需要对乙方提供的服务方案进行审核，提供建议及意见，确定最终实施的服务方案，以便乙方遵照执行；</w:t>
      </w:r>
    </w:p>
    <w:p w14:paraId="41FA872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4.按照有关要求，对项目的进度</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质量和保密等情况进行全程监督检查，并对相关成果进行抽查</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 xml:space="preserve">检查； </w:t>
      </w:r>
    </w:p>
    <w:p w14:paraId="0E9AA3D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5.组织对乙方形成的相关成果资料审核</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评审；</w:t>
      </w:r>
    </w:p>
    <w:p w14:paraId="55788D4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（二）乙方的权利与义务</w:t>
      </w:r>
    </w:p>
    <w:p w14:paraId="4202C75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1.乙方的工作人员必须严格遵守甲方的规章制度，以良好的形象和积极的工作态度，按甲方要求开展工作；</w:t>
      </w:r>
    </w:p>
    <w:p w14:paraId="62D8350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2.根据甲方提供的有关资料和委托要求，依据有关法规和规范等要求，按双方拟定的进度，按时</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保质</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 xml:space="preserve">保量提供相关数据及成果资料； </w:t>
      </w:r>
    </w:p>
    <w:p w14:paraId="6DAFD3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3.定期向甲方汇报项目进展</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 xml:space="preserve">质量情况及存在问题； </w:t>
      </w:r>
    </w:p>
    <w:p w14:paraId="4E7368F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4.严格按照国家和地方的相关规程</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 xml:space="preserve">细则规定进行项目的实施，并对成果质量负责； </w:t>
      </w:r>
    </w:p>
    <w:p w14:paraId="192952D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 xml:space="preserve">5.乙方应做好成果检查验收工作； </w:t>
      </w:r>
    </w:p>
    <w:p w14:paraId="263983AD">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highlight w:val="none"/>
          <w:lang w:val="en-US" w:eastAsia="zh-Hans"/>
        </w:rPr>
      </w:pPr>
      <w:bookmarkStart w:id="2" w:name="_Toc18752"/>
      <w:bookmarkStart w:id="3" w:name="_Toc4603"/>
      <w:r>
        <w:rPr>
          <w:rFonts w:hint="eastAsia" w:ascii="仿宋" w:hAnsi="仿宋" w:eastAsia="仿宋" w:cs="仿宋"/>
          <w:bCs/>
          <w:sz w:val="24"/>
          <w:szCs w:val="24"/>
          <w:highlight w:val="none"/>
          <w:lang w:val="en-US" w:eastAsia="zh-Hans"/>
        </w:rPr>
        <w:t>成果的交付及归属</w:t>
      </w:r>
    </w:p>
    <w:p w14:paraId="34889B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（一）交付</w:t>
      </w:r>
    </w:p>
    <w:p w14:paraId="5AFCC5E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检测工作全部完成后应以书面文本及电子文本（书面文本3</w:t>
      </w:r>
      <w:r>
        <w:rPr>
          <w:rFonts w:hint="eastAsia" w:ascii="仿宋" w:hAnsi="仿宋" w:eastAsia="仿宋" w:cs="仿宋"/>
          <w:color w:val="000000" w:themeColor="text1"/>
          <w:sz w:val="24"/>
          <w:szCs w:val="24"/>
          <w:highlight w:val="none"/>
          <w:lang w:val="en-US" w:eastAsia="zh-CN"/>
          <w14:textFill>
            <w14:solidFill>
              <w14:schemeClr w14:val="tx1"/>
            </w14:solidFill>
          </w14:textFill>
        </w:rPr>
        <w:t>套，电子文本1套</w:t>
      </w:r>
      <w:r>
        <w:rPr>
          <w:rFonts w:hint="eastAsia" w:ascii="仿宋" w:hAnsi="仿宋" w:eastAsia="仿宋" w:cs="仿宋"/>
          <w:color w:val="auto"/>
          <w:sz w:val="24"/>
          <w:szCs w:val="24"/>
          <w:highlight w:val="none"/>
          <w:lang w:val="en-US" w:eastAsia="zh-CN"/>
        </w:rPr>
        <w:t>，电子文本使用U盘拷贝）形式提交。提交的内容分别有：（1）《桥梁定期检测评定报告》、《结构检算报告》、《桥梁抗震性能检测评定报告》等。（2）检测全部原始影像资料（U盘拷贝）；（3）根据《城市桥梁养护技术标准》完成附录B城市桥梁资料卡的更新完善。</w:t>
      </w:r>
    </w:p>
    <w:p w14:paraId="023AAA62">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332A43B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（二）归属</w:t>
      </w:r>
    </w:p>
    <w:p w14:paraId="4C7290F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1.开展该项工作的全部原始资料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中间过渡及最终成果所有权属于甲方。未经甲方书面授权许可，乙方不得擅自将原始资料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中间过渡和最终成果复制自留或提供给其他任何单位和个人使用，为自己或其他任何单位和个人谋取利益。 </w:t>
      </w:r>
    </w:p>
    <w:p w14:paraId="10B279B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2.本次成果所有权</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使用权和著作权均属于甲方。乙方应确保提供服务过程中不会侵犯任何第三方的知识产权，否则承担由此产生的一切法律和经济责任。</w:t>
      </w:r>
    </w:p>
    <w:p w14:paraId="2434729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3.本项目作业过程中的所有资料或数据均属甲方，乙方不得以任何借口留存相关数据，且不得在合同规定之外自行处置数据，即不得自行删除</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复制</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修改</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转移数据，同时不得以任何形式向第三方提供。 </w:t>
      </w:r>
    </w:p>
    <w:p w14:paraId="1DB4A8A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4.未经甲方允许，任何单位和个人不得转让和使用本项目的测绘成果。</w:t>
      </w:r>
    </w:p>
    <w:p w14:paraId="0965671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保密制度</w:t>
      </w:r>
      <w:bookmarkEnd w:id="2"/>
      <w:bookmarkEnd w:id="3"/>
    </w:p>
    <w:p w14:paraId="77CA37E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（一）乙方必须按国家有关保密法律法规的要求，采取有效的保密措施，严防甲方提供给乙方的成果和资料泄密。由于乙方原因造成成果资料泄密，一切责</w:t>
      </w:r>
      <w:r>
        <w:rPr>
          <w:rFonts w:hint="eastAsia" w:ascii="仿宋" w:hAnsi="仿宋" w:eastAsia="仿宋" w:cs="仿宋"/>
          <w:bCs/>
          <w:sz w:val="24"/>
          <w:szCs w:val="24"/>
          <w:lang w:val="en-US" w:eastAsia="zh-CN"/>
        </w:rPr>
        <w:t>任由</w:t>
      </w:r>
      <w:r>
        <w:rPr>
          <w:rFonts w:hint="eastAsia" w:ascii="仿宋" w:hAnsi="仿宋" w:eastAsia="仿宋" w:cs="仿宋"/>
          <w:bCs/>
          <w:sz w:val="24"/>
          <w:szCs w:val="24"/>
          <w:lang w:val="en-US" w:eastAsia="zh-Hans"/>
        </w:rPr>
        <w:t xml:space="preserve">乙方承担。 </w:t>
      </w:r>
    </w:p>
    <w:p w14:paraId="2729583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（二）乙方不得利用甲方因执行本合同提供给乙方的成果和资料从事任何商业性活动。</w:t>
      </w:r>
    </w:p>
    <w:p w14:paraId="148F79F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（三）乙方应妥善保管项目相关资料及成果文件，未经甲方许可，不得复制</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转让（借）</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公开或销毁。乙方应与项目组所有成员签订保密协议，并将保密协议报送甲方备案。 </w:t>
      </w:r>
    </w:p>
    <w:p w14:paraId="33C9F9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（四）除法律规定或合同另有约定外，未经甲方同意，乙方不得将甲方提供的相关资料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数据和图件泄露给第三方。 </w:t>
      </w:r>
    </w:p>
    <w:p w14:paraId="482610D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（五）本合同的解除或终止不免除乙方应承担的保密义务。</w:t>
      </w:r>
    </w:p>
    <w:p w14:paraId="20AFCD24">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知识产权</w:t>
      </w:r>
    </w:p>
    <w:p w14:paraId="6B30F9E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乙方应保证甲方在使用本项目服务及货物时，不承担任何涉及专利</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商标及知识产权等方面的法律诉讼责任。</w:t>
      </w:r>
    </w:p>
    <w:p w14:paraId="448FCAD4">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其他事项</w:t>
      </w:r>
    </w:p>
    <w:p w14:paraId="66FE97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（一）乙方不得转让</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分包给</w:t>
      </w:r>
      <w:r>
        <w:rPr>
          <w:rFonts w:hint="eastAsia" w:ascii="仿宋" w:hAnsi="仿宋" w:eastAsia="仿宋" w:cs="仿宋"/>
          <w:bCs/>
          <w:sz w:val="24"/>
          <w:szCs w:val="24"/>
          <w:lang w:val="en-US" w:eastAsia="zh-CN"/>
        </w:rPr>
        <w:t>其他单位或个人</w:t>
      </w:r>
      <w:r>
        <w:rPr>
          <w:rFonts w:hint="eastAsia" w:ascii="仿宋" w:hAnsi="仿宋" w:eastAsia="仿宋" w:cs="仿宋"/>
          <w:bCs/>
          <w:sz w:val="24"/>
          <w:szCs w:val="24"/>
          <w:lang w:val="en-US" w:eastAsia="zh-Hans"/>
        </w:rPr>
        <w:t>。</w:t>
      </w:r>
    </w:p>
    <w:p w14:paraId="2972B93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（二）乙方的投标文件和承诺等内容将列入合同。</w:t>
      </w:r>
    </w:p>
    <w:p w14:paraId="7D08C2BD">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验收</w:t>
      </w:r>
    </w:p>
    <w:p w14:paraId="7325867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检测项目的竣工验收采取专家评审验收的形式进行，以最终评审结论确定。检测项目完成后，采购人组织行业内相关专家组成验收小组（专家评审费用由中标商承担）对本次检测成果进行专项评审。</w:t>
      </w:r>
    </w:p>
    <w:p w14:paraId="001A8D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验收主要针对检测内容、前期资料收集整理、病害定位、病害核查、病害成因分析、检测结论和建议、风险等级评定、报告内容和格式、后期服务内容等方面对本次检测的全面性、真实性、有效性、科学性、规范性、检测成果资料完整性等进行全面评审。对验收评审不符合要求的，应按照评审专家及采购人的意见进行整改完善后，重新组织验收。</w:t>
      </w:r>
    </w:p>
    <w:p w14:paraId="0953ACF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违约责任</w:t>
      </w:r>
    </w:p>
    <w:p w14:paraId="0FCB4E8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（一）甲方违约责任</w:t>
      </w:r>
    </w:p>
    <w:p w14:paraId="0DEC8F3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本合同签订后，若由于非乙方原因，若乙方尚未进入现场，则甲方未支付的合同款项不再支付，已支付的款项，乙方应予以退还，若乙方已经进入现场工作的，甲方应按照乙方已完成实际工作量支付检测工程款。</w:t>
      </w:r>
    </w:p>
    <w:p w14:paraId="223534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2.甲方未按本合同约定期限支付乙方工程款的，每延迟一天，应按本合同约定的检测工程总价款的1‰的标准向乙方支付违约金。</w:t>
      </w:r>
    </w:p>
    <w:p w14:paraId="79752A2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 xml:space="preserve">3.对于乙方提供的图纸资料以及检测成果等，甲方有义务保密，不得用于本合同项下检测工程以外的项目和目的，否则乙方有权要求甲方承担相应的违约责任。 </w:t>
      </w:r>
    </w:p>
    <w:p w14:paraId="5266247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（二）乙方违约责任</w:t>
      </w:r>
    </w:p>
    <w:p w14:paraId="00C73E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1.乙方未能按合同规定日期提交检测成果时，应向甲方偿付拖期损失费，每天的拖期损失费按本合同约定的检测工程总价款的1‰计算；</w:t>
      </w:r>
    </w:p>
    <w:p w14:paraId="4C1FE82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乙方提供的检测成果质量不合格的，乙方应负责无偿予以重测或采取补救措施，以达到质量要求。因检测成果质量不符合合同要求（而又非甲方提供的图纸资料原因所致）给甲方造成损失时，乙方应对因此造成的直接损失负赔偿责任，并按本合同约定的检测工程款总额的20%向甲方支付违约金。乙方应在甲方指定的期限内返工并提交检测成果。</w:t>
      </w:r>
    </w:p>
    <w:p w14:paraId="047EE5B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3.对于甲方提供的图纸和技术资料以及属于甲方的检测成果，乙方有保密义务，不得以任何方式告知任何第三方，否则，甲方有权要求乙方赔偿损失，并按本合同约定的检测工程款总额的20%向甲方支付违约金。</w:t>
      </w:r>
    </w:p>
    <w:p w14:paraId="63ECEB4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4.乙方擅自转包或分包本合同标的的，甲方有权解除合同，并有权要求乙方支付约定的检测工程款总额20%的违约金。</w:t>
      </w:r>
    </w:p>
    <w:p w14:paraId="75E81AD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合同争议解决的方式</w:t>
      </w:r>
    </w:p>
    <w:p w14:paraId="23A3C8D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本合同在履行过程中发生的争议，由甲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乙双方当事人协商解决，协商不成的按下列第（二）种方式解决：</w:t>
      </w:r>
    </w:p>
    <w:p w14:paraId="0D04BE6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（一）提交项目所在地仲裁委员会仲裁；</w:t>
      </w:r>
    </w:p>
    <w:p w14:paraId="63AB5CC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（二）依法向甲方所在地法院起诉。</w:t>
      </w:r>
    </w:p>
    <w:p w14:paraId="0E8B1F5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合同生效</w:t>
      </w:r>
    </w:p>
    <w:p w14:paraId="2F00E92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（一）本合同须经甲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乙双方的法定代表人（授权代表）在合同书上签字并加盖本单位公章后正式生效。</w:t>
      </w:r>
    </w:p>
    <w:p w14:paraId="6D35AD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（二）合同生效后，甲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乙双方须严格执行本合同条款的规定，全面履行合同，违者</w:t>
      </w:r>
      <w:r>
        <w:rPr>
          <w:rFonts w:hint="eastAsia" w:ascii="仿宋" w:hAnsi="仿宋" w:eastAsia="仿宋" w:cs="仿宋"/>
          <w:bCs/>
          <w:sz w:val="24"/>
          <w:szCs w:val="24"/>
          <w:lang w:val="en-US" w:eastAsia="zh-CN"/>
        </w:rPr>
        <w:t>按照《中华人民共和国</w:t>
      </w:r>
      <w:r>
        <w:rPr>
          <w:rFonts w:hint="eastAsia" w:ascii="仿宋" w:hAnsi="仿宋" w:eastAsia="仿宋" w:cs="仿宋"/>
          <w:bCs/>
          <w:sz w:val="24"/>
          <w:szCs w:val="24"/>
          <w:lang w:val="en-US" w:eastAsia="zh-Hans"/>
        </w:rPr>
        <w:t>民法典》的有关规定承担相应责任。</w:t>
      </w:r>
    </w:p>
    <w:p w14:paraId="74F75E6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（三）本合同一式   份，甲乙双方各执    份。</w:t>
      </w:r>
    </w:p>
    <w:p w14:paraId="6E4928BE">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lang w:val="en-US" w:eastAsia="zh-Hans"/>
        </w:rPr>
        <w:t>（四）本合同如有未尽事宜，甲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乙双方协商解决。</w:t>
      </w:r>
    </w:p>
    <w:p w14:paraId="3B095FF0">
      <w:pPr>
        <w:sectPr>
          <w:pgSz w:w="11906" w:h="16838"/>
          <w:pgMar w:top="1440" w:right="1800" w:bottom="1440" w:left="1800" w:header="851" w:footer="992" w:gutter="0"/>
          <w:cols w:space="425" w:num="1"/>
          <w:docGrid w:type="lines" w:linePitch="312" w:charSpace="0"/>
        </w:sectPr>
      </w:pPr>
    </w:p>
    <w:tbl>
      <w:tblPr>
        <w:tblStyle w:val="5"/>
        <w:tblW w:w="0" w:type="auto"/>
        <w:jc w:val="center"/>
        <w:tblLayout w:type="fixed"/>
        <w:tblCellMar>
          <w:top w:w="0" w:type="dxa"/>
          <w:left w:w="108" w:type="dxa"/>
          <w:bottom w:w="0" w:type="dxa"/>
          <w:right w:w="108" w:type="dxa"/>
        </w:tblCellMar>
      </w:tblPr>
      <w:tblGrid>
        <w:gridCol w:w="4201"/>
        <w:gridCol w:w="4202"/>
      </w:tblGrid>
      <w:tr w14:paraId="6C815C54">
        <w:tblPrEx>
          <w:tblCellMar>
            <w:top w:w="0" w:type="dxa"/>
            <w:left w:w="108" w:type="dxa"/>
            <w:bottom w:w="0" w:type="dxa"/>
            <w:right w:w="108" w:type="dxa"/>
          </w:tblCellMar>
        </w:tblPrEx>
        <w:trPr>
          <w:trHeight w:val="564" w:hRule="exact"/>
          <w:jc w:val="center"/>
        </w:trPr>
        <w:tc>
          <w:tcPr>
            <w:tcW w:w="4201" w:type="dxa"/>
            <w:noWrap w:val="0"/>
            <w:vAlign w:val="center"/>
          </w:tcPr>
          <w:p w14:paraId="3BDD6F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甲  方</w:t>
            </w:r>
          </w:p>
        </w:tc>
        <w:tc>
          <w:tcPr>
            <w:tcW w:w="4202" w:type="dxa"/>
            <w:noWrap w:val="0"/>
            <w:vAlign w:val="center"/>
          </w:tcPr>
          <w:p w14:paraId="627318D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乙  方</w:t>
            </w:r>
          </w:p>
        </w:tc>
      </w:tr>
      <w:tr w14:paraId="5FE33109">
        <w:tblPrEx>
          <w:tblCellMar>
            <w:top w:w="0" w:type="dxa"/>
            <w:left w:w="108" w:type="dxa"/>
            <w:bottom w:w="0" w:type="dxa"/>
            <w:right w:w="108" w:type="dxa"/>
          </w:tblCellMar>
        </w:tblPrEx>
        <w:trPr>
          <w:trHeight w:val="550" w:hRule="exact"/>
          <w:jc w:val="center"/>
        </w:trPr>
        <w:tc>
          <w:tcPr>
            <w:tcW w:w="4201" w:type="dxa"/>
            <w:noWrap w:val="0"/>
            <w:vAlign w:val="center"/>
          </w:tcPr>
          <w:p w14:paraId="7EB9ED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（盖章）</w:t>
            </w:r>
          </w:p>
        </w:tc>
        <w:tc>
          <w:tcPr>
            <w:tcW w:w="4202" w:type="dxa"/>
            <w:noWrap w:val="0"/>
            <w:vAlign w:val="center"/>
          </w:tcPr>
          <w:p w14:paraId="1209592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（盖章）</w:t>
            </w:r>
          </w:p>
        </w:tc>
      </w:tr>
      <w:tr w14:paraId="5784F43F">
        <w:tblPrEx>
          <w:tblCellMar>
            <w:top w:w="0" w:type="dxa"/>
            <w:left w:w="108" w:type="dxa"/>
            <w:bottom w:w="0" w:type="dxa"/>
            <w:right w:w="108" w:type="dxa"/>
          </w:tblCellMar>
        </w:tblPrEx>
        <w:trPr>
          <w:trHeight w:val="550" w:hRule="exact"/>
          <w:jc w:val="center"/>
        </w:trPr>
        <w:tc>
          <w:tcPr>
            <w:tcW w:w="4201" w:type="dxa"/>
            <w:noWrap w:val="0"/>
            <w:vAlign w:val="center"/>
          </w:tcPr>
          <w:p w14:paraId="34012F2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 xml:space="preserve">地址： </w:t>
            </w:r>
          </w:p>
        </w:tc>
        <w:tc>
          <w:tcPr>
            <w:tcW w:w="4202" w:type="dxa"/>
            <w:noWrap w:val="0"/>
            <w:vAlign w:val="center"/>
          </w:tcPr>
          <w:p w14:paraId="0F3B7CB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地址：</w:t>
            </w:r>
          </w:p>
        </w:tc>
      </w:tr>
      <w:tr w14:paraId="75E36D00">
        <w:tblPrEx>
          <w:tblCellMar>
            <w:top w:w="0" w:type="dxa"/>
            <w:left w:w="108" w:type="dxa"/>
            <w:bottom w:w="0" w:type="dxa"/>
            <w:right w:w="108" w:type="dxa"/>
          </w:tblCellMar>
        </w:tblPrEx>
        <w:trPr>
          <w:trHeight w:val="579" w:hRule="exact"/>
          <w:jc w:val="center"/>
        </w:trPr>
        <w:tc>
          <w:tcPr>
            <w:tcW w:w="4201" w:type="dxa"/>
            <w:noWrap w:val="0"/>
            <w:vAlign w:val="center"/>
          </w:tcPr>
          <w:p w14:paraId="18DF5DC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邮编：</w:t>
            </w:r>
          </w:p>
        </w:tc>
        <w:tc>
          <w:tcPr>
            <w:tcW w:w="4202" w:type="dxa"/>
            <w:noWrap w:val="0"/>
            <w:vAlign w:val="center"/>
          </w:tcPr>
          <w:p w14:paraId="0004AA0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邮编：</w:t>
            </w:r>
          </w:p>
        </w:tc>
      </w:tr>
      <w:tr w14:paraId="23D2DA76">
        <w:tblPrEx>
          <w:tblCellMar>
            <w:top w:w="0" w:type="dxa"/>
            <w:left w:w="108" w:type="dxa"/>
            <w:bottom w:w="0" w:type="dxa"/>
            <w:right w:w="108" w:type="dxa"/>
          </w:tblCellMar>
        </w:tblPrEx>
        <w:trPr>
          <w:trHeight w:val="622" w:hRule="exact"/>
          <w:jc w:val="center"/>
        </w:trPr>
        <w:tc>
          <w:tcPr>
            <w:tcW w:w="4201" w:type="dxa"/>
            <w:noWrap w:val="0"/>
            <w:vAlign w:val="center"/>
          </w:tcPr>
          <w:p w14:paraId="587DC0E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 xml:space="preserve">法定代表人： </w:t>
            </w:r>
          </w:p>
        </w:tc>
        <w:tc>
          <w:tcPr>
            <w:tcW w:w="4202" w:type="dxa"/>
            <w:noWrap w:val="0"/>
            <w:vAlign w:val="center"/>
          </w:tcPr>
          <w:p w14:paraId="7C0E145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法定代表人：</w:t>
            </w:r>
          </w:p>
        </w:tc>
      </w:tr>
      <w:tr w14:paraId="7E35B246">
        <w:tblPrEx>
          <w:tblCellMar>
            <w:top w:w="0" w:type="dxa"/>
            <w:left w:w="108" w:type="dxa"/>
            <w:bottom w:w="0" w:type="dxa"/>
            <w:right w:w="108" w:type="dxa"/>
          </w:tblCellMar>
        </w:tblPrEx>
        <w:trPr>
          <w:trHeight w:val="593" w:hRule="exact"/>
          <w:jc w:val="center"/>
        </w:trPr>
        <w:tc>
          <w:tcPr>
            <w:tcW w:w="4201" w:type="dxa"/>
            <w:noWrap w:val="0"/>
            <w:vAlign w:val="center"/>
          </w:tcPr>
          <w:p w14:paraId="7182B64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被授权代表：</w:t>
            </w:r>
          </w:p>
        </w:tc>
        <w:tc>
          <w:tcPr>
            <w:tcW w:w="4202" w:type="dxa"/>
            <w:noWrap w:val="0"/>
            <w:vAlign w:val="center"/>
          </w:tcPr>
          <w:p w14:paraId="1B2BF73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被授权代表：</w:t>
            </w:r>
          </w:p>
        </w:tc>
      </w:tr>
      <w:tr w14:paraId="0F8EBAA3">
        <w:tblPrEx>
          <w:tblCellMar>
            <w:top w:w="0" w:type="dxa"/>
            <w:left w:w="108" w:type="dxa"/>
            <w:bottom w:w="0" w:type="dxa"/>
            <w:right w:w="108" w:type="dxa"/>
          </w:tblCellMar>
        </w:tblPrEx>
        <w:trPr>
          <w:trHeight w:val="578" w:hRule="exact"/>
          <w:jc w:val="center"/>
        </w:trPr>
        <w:tc>
          <w:tcPr>
            <w:tcW w:w="4201" w:type="dxa"/>
            <w:noWrap w:val="0"/>
            <w:vAlign w:val="center"/>
          </w:tcPr>
          <w:p w14:paraId="4C899D6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电话：</w:t>
            </w:r>
          </w:p>
        </w:tc>
        <w:tc>
          <w:tcPr>
            <w:tcW w:w="4202" w:type="dxa"/>
            <w:noWrap w:val="0"/>
            <w:vAlign w:val="center"/>
          </w:tcPr>
          <w:p w14:paraId="57DD7E9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电话：</w:t>
            </w:r>
          </w:p>
        </w:tc>
      </w:tr>
      <w:tr w14:paraId="6A4C022B">
        <w:tblPrEx>
          <w:tblCellMar>
            <w:top w:w="0" w:type="dxa"/>
            <w:left w:w="108" w:type="dxa"/>
            <w:bottom w:w="0" w:type="dxa"/>
            <w:right w:w="108" w:type="dxa"/>
          </w:tblCellMar>
        </w:tblPrEx>
        <w:trPr>
          <w:trHeight w:val="578" w:hRule="exact"/>
          <w:jc w:val="center"/>
        </w:trPr>
        <w:tc>
          <w:tcPr>
            <w:tcW w:w="4201" w:type="dxa"/>
            <w:noWrap w:val="0"/>
            <w:vAlign w:val="center"/>
          </w:tcPr>
          <w:p w14:paraId="1449EB2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传真：</w:t>
            </w:r>
          </w:p>
        </w:tc>
        <w:tc>
          <w:tcPr>
            <w:tcW w:w="4202" w:type="dxa"/>
            <w:noWrap w:val="0"/>
            <w:vAlign w:val="center"/>
          </w:tcPr>
          <w:p w14:paraId="2BB94B1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传真：</w:t>
            </w:r>
          </w:p>
        </w:tc>
      </w:tr>
      <w:tr w14:paraId="0C536C57">
        <w:tblPrEx>
          <w:tblCellMar>
            <w:top w:w="0" w:type="dxa"/>
            <w:left w:w="108" w:type="dxa"/>
            <w:bottom w:w="0" w:type="dxa"/>
            <w:right w:w="108" w:type="dxa"/>
          </w:tblCellMar>
        </w:tblPrEx>
        <w:trPr>
          <w:trHeight w:val="607" w:hRule="exact"/>
          <w:jc w:val="center"/>
        </w:trPr>
        <w:tc>
          <w:tcPr>
            <w:tcW w:w="4201" w:type="dxa"/>
            <w:noWrap w:val="0"/>
            <w:vAlign w:val="center"/>
          </w:tcPr>
          <w:p w14:paraId="071B392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开户银行：</w:t>
            </w:r>
          </w:p>
        </w:tc>
        <w:tc>
          <w:tcPr>
            <w:tcW w:w="4202" w:type="dxa"/>
            <w:noWrap w:val="0"/>
            <w:vAlign w:val="center"/>
          </w:tcPr>
          <w:p w14:paraId="385E40E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开户银行：</w:t>
            </w:r>
          </w:p>
        </w:tc>
      </w:tr>
      <w:tr w14:paraId="5C63F1FB">
        <w:tblPrEx>
          <w:tblCellMar>
            <w:top w:w="0" w:type="dxa"/>
            <w:left w:w="108" w:type="dxa"/>
            <w:bottom w:w="0" w:type="dxa"/>
            <w:right w:w="108" w:type="dxa"/>
          </w:tblCellMar>
        </w:tblPrEx>
        <w:trPr>
          <w:trHeight w:val="594" w:hRule="exact"/>
          <w:jc w:val="center"/>
        </w:trPr>
        <w:tc>
          <w:tcPr>
            <w:tcW w:w="4201" w:type="dxa"/>
            <w:noWrap w:val="0"/>
            <w:vAlign w:val="center"/>
          </w:tcPr>
          <w:p w14:paraId="324532F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日期：</w:t>
            </w:r>
          </w:p>
        </w:tc>
        <w:tc>
          <w:tcPr>
            <w:tcW w:w="4202" w:type="dxa"/>
            <w:noWrap w:val="0"/>
            <w:vAlign w:val="center"/>
          </w:tcPr>
          <w:p w14:paraId="4A5EDC6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日期：</w:t>
            </w:r>
          </w:p>
        </w:tc>
      </w:tr>
    </w:tbl>
    <w:p w14:paraId="73F79CED">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1C98E4"/>
    <w:multiLevelType w:val="singleLevel"/>
    <w:tmpl w:val="7E1C98E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813598"/>
    <w:rsid w:val="72813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8"/>
    <w:qFormat/>
    <w:uiPriority w:val="0"/>
    <w:pPr>
      <w:keepNext/>
      <w:widowControl w:val="0"/>
      <w:jc w:val="center"/>
      <w:outlineLvl w:val="0"/>
    </w:pPr>
    <w:rPr>
      <w:rFonts w:ascii="黑体" w:eastAsia="黑体"/>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4">
    <w:name w:val="Plain Text"/>
    <w:basedOn w:val="1"/>
    <w:qFormat/>
    <w:uiPriority w:val="99"/>
    <w:rPr>
      <w:rFonts w:ascii="宋体" w:hAnsi="Courier New" w:cs="Courier New" w:eastAsiaTheme="minorEastAsia"/>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Char"/>
    <w:link w:val="3"/>
    <w:qFormat/>
    <w:uiPriority w:val="0"/>
    <w:rPr>
      <w:rFonts w:ascii="黑体" w:eastAsia="黑体"/>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2026-06-25T08:48:00Z</dcterms:created>
  <dc:creator>MY WAY、</dc:creator>
  <cp:lastModifiedBy>MY WAY、</cp:lastModifiedBy>
  <dcterms:modified xsi:type="dcterms:W3CDTF">2026-06-25T08:49:15Z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8327BAF43A7A41D3880157412EC66BBD_11</vt:lpwstr>
  </property>
  <property fmtid="{D5CDD505-2E9C-101B-9397-08002B2CF9AE}" pid="4" name="KSOTemplateDocerSaveRecord">
    <vt:lpwstr>eyJoZGlkIjoiZTMzNTFhMDFhZmI0NDk0MzkxMDhmYzM2NzgwMzkzOWYiLCJ1c2VySWQiOiI2MTg4NTQ0MzUifQ==</vt:lpwstr>
  </property>
</Properties>
</file>