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版本号：KCZC-2026-01620260617003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2026年洋县关帝镇李家店村黄连种植项目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KCZC-2026-016</w:t>
      </w:r>
      <w:r>
        <w:br/>
      </w:r>
      <w:r>
        <w:br/>
      </w:r>
      <w:r>
        <w:br/>
      </w:r>
    </w:p>
    <w:p>
      <w:pPr>
        <w:pStyle w:val="null3"/>
        <w:jc w:val="center"/>
        <w:outlineLvl w:val="2"/>
      </w:pPr>
      <w:r>
        <w:rPr>
          <w:rFonts w:ascii="仿宋_GB2312" w:hAnsi="仿宋_GB2312" w:cs="仿宋_GB2312" w:eastAsia="仿宋_GB2312"/>
          <w:sz w:val="28"/>
          <w:b/>
        </w:rPr>
        <w:t>洋县关帝镇人民政府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洋县关帝镇人民政府</w:t>
      </w:r>
      <w:r>
        <w:rPr>
          <w:rFonts w:ascii="仿宋_GB2312" w:hAnsi="仿宋_GB2312" w:cs="仿宋_GB2312" w:eastAsia="仿宋_GB2312"/>
        </w:rPr>
        <w:t>委托，拟对</w:t>
      </w:r>
      <w:r>
        <w:rPr>
          <w:rFonts w:ascii="仿宋_GB2312" w:hAnsi="仿宋_GB2312" w:cs="仿宋_GB2312" w:eastAsia="仿宋_GB2312"/>
        </w:rPr>
        <w:t>2026年洋县关帝镇李家店村黄连种植项目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KCZC-2026-016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2026年洋县关帝镇李家店村黄连种植项目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种植黄连 23333.45 平方米，铺设遮阴网 66700.00 平方米；铺设 DN50PE 管道 3000.00 米、DN25PE 管道 2000.00 米、DN20PE 管道 2000.00 米；新建 20 立方米蓄水池 1 座；附属管理用房 1 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采购包1（2026年洋县关帝镇李家店村黄连种植项目）：属于预留采购份额面向中小企业采购，预留比例为100%。</w:t>
      </w:r>
    </w:p>
    <w:p>
      <w:pPr>
        <w:pStyle w:val="null3"/>
      </w:pPr>
      <w:r>
        <w:rPr>
          <w:rFonts w:ascii="仿宋_GB2312" w:hAnsi="仿宋_GB2312" w:cs="仿宋_GB2312" w:eastAsia="仿宋_GB2312"/>
        </w:rPr>
        <w:t>供应商合同分包的，分包意向协议中中小企业预留比例为100%。（未进行合同分包的，供应商应当为中小企业）</w:t>
      </w:r>
    </w:p>
    <w:p>
      <w:pPr>
        <w:pStyle w:val="null3"/>
      </w:pPr>
      <w:r>
        <w:rPr>
          <w:rFonts w:ascii="仿宋_GB2312" w:hAnsi="仿宋_GB2312" w:cs="仿宋_GB2312" w:eastAsia="仿宋_GB2312"/>
        </w:rPr>
        <w:t>未组成联合体且未进行合同分包的，供应商应当为中小企业。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pPr>
        <w:pStyle w:val="null3"/>
      </w:pPr>
      <w:r>
        <w:rPr>
          <w:rFonts w:ascii="仿宋_GB2312" w:hAnsi="仿宋_GB2312" w:cs="仿宋_GB2312" w:eastAsia="仿宋_GB2312"/>
        </w:rPr>
        <w:t>4、分包情况：本项目中附属管理用房部分允许分包（分包单位必须具备建筑工程施工总承包三级及以上资质，同时具备有效的安全生产许可证)；如若供应商不分包，需提供相应的证明材料。（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洋县关帝镇人民政府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洋县关帝镇白刘村八组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13379361942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庞静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银行账号：61050110066600000595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洋县关帝镇人民政府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洋县关帝镇人民政府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洋县关帝镇人民政府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采购包1：分包比例16.5%，分包履行的内容：本项目中附属管理用房允许分包(分包单位必须具备建筑工程施工总承包三级及以上资质，同时具备有效的安全生产许可证；资质要求详见第4章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符合国家质量验收规范“合格”要求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地址：陕西省汉中市洋县南环路与真符路十字向南200米太阳谷.康郡（东大门）康诚建设有限公司（一楼代理部）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种植黄连 23333.45 平方米，铺设遮阴网 66700.00 平方米；铺设 DN50PE 管道 3000.00 米、DN25PE 管道 2000.00 米、DN20PE 管道 2000.00 米；新建 20 立方米蓄水池 1 座；附属管理管理用房 1 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1,874,896.21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2026年洋县关帝镇李家店村黄连种植项目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标的名称：2026年洋县关帝镇李家店村黄连种植项目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0"/>
                <w:b/>
                <w:shd w:fill="FFFFFF" w:val="clear"/>
              </w:rPr>
              <w:t>2026年洋县关帝镇李家店村黄连种植项目</w:t>
            </w:r>
            <w:r>
              <w:rPr>
                <w:rFonts w:ascii="仿宋_GB2312" w:hAnsi="仿宋_GB2312" w:cs="仿宋_GB2312" w:eastAsia="仿宋_GB2312"/>
                <w:sz w:val="30"/>
                <w:b/>
                <w:shd w:fill="FFFFFF" w:val="clear"/>
              </w:rPr>
              <w:t>采购清单</w:t>
            </w:r>
          </w:p>
          <w:tbl>
            <w:tblPr>
              <w:tblInd w:type="dxa" w:w="135"/>
              <w:tblBorders>
                <w:top w:val="none" w:color="000000" w:sz="4"/>
                <w:left w:val="none" w:color="000000" w:sz="4"/>
                <w:bottom w:val="none" w:color="000000" w:sz="4"/>
                <w:right w:val="none" w:color="000000" w:sz="4"/>
                <w:insideH w:val="none"/>
                <w:insideV w:val="none"/>
              </w:tblBorders>
            </w:tblPr>
            <w:tblGrid>
              <w:gridCol w:w="237"/>
              <w:gridCol w:w="280"/>
              <w:gridCol w:w="908"/>
              <w:gridCol w:w="191"/>
              <w:gridCol w:w="461"/>
              <w:gridCol w:w="461"/>
            </w:tblGrid>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货物</w:t>
                  </w:r>
                  <w:r>
                    <w:rPr>
                      <w:rFonts w:ascii="仿宋_GB2312" w:hAnsi="仿宋_GB2312" w:cs="仿宋_GB2312" w:eastAsia="仿宋_GB2312"/>
                      <w:sz w:val="18"/>
                      <w:b/>
                      <w:color w:val="000000"/>
                    </w:rPr>
                    <w:t>名称</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采购参数</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备注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蓄水池</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结构</w:t>
                  </w:r>
                  <w:r>
                    <w:rPr>
                      <w:rFonts w:ascii="仿宋_GB2312" w:hAnsi="仿宋_GB2312" w:cs="仿宋_GB2312" w:eastAsia="仿宋_GB2312"/>
                      <w:sz w:val="18"/>
                      <w:color w:val="000000"/>
                    </w:rPr>
                    <w:t>:砖砌砖混蓄水池</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:2.5m*2.5m*3.2m</w:t>
                  </w:r>
                  <w:r>
                    <w:br/>
                  </w:r>
                  <w:r>
                    <w:rPr>
                      <w:rFonts w:ascii="仿宋_GB2312" w:hAnsi="仿宋_GB2312" w:cs="仿宋_GB2312" w:eastAsia="仿宋_GB2312"/>
                      <w:sz w:val="18"/>
                      <w:color w:val="000000"/>
                    </w:rPr>
                    <w:t>池底</w:t>
                  </w:r>
                  <w:r>
                    <w:rPr>
                      <w:rFonts w:ascii="仿宋_GB2312" w:hAnsi="仿宋_GB2312" w:cs="仿宋_GB2312" w:eastAsia="仿宋_GB2312"/>
                      <w:sz w:val="18"/>
                      <w:color w:val="000000"/>
                    </w:rPr>
                    <w:t>:C25混凝土，厚100mm</w:t>
                  </w:r>
                  <w:r>
                    <w:br/>
                  </w:r>
                  <w:r>
                    <w:rPr>
                      <w:rFonts w:ascii="仿宋_GB2312" w:hAnsi="仿宋_GB2312" w:cs="仿宋_GB2312" w:eastAsia="仿宋_GB2312"/>
                      <w:sz w:val="18"/>
                      <w:color w:val="000000"/>
                    </w:rPr>
                    <w:t>池壁</w:t>
                  </w:r>
                  <w:r>
                    <w:rPr>
                      <w:rFonts w:ascii="仿宋_GB2312" w:hAnsi="仿宋_GB2312" w:cs="仿宋_GB2312" w:eastAsia="仿宋_GB2312"/>
                      <w:sz w:val="18"/>
                      <w:color w:val="000000"/>
                    </w:rPr>
                    <w:t>:240mm厚MU10多孔砖，M10砂浆砌筑，内壁防水砂浆抹灰</w:t>
                  </w:r>
                  <w:r>
                    <w:br/>
                  </w:r>
                  <w:r>
                    <w:rPr>
                      <w:rFonts w:ascii="仿宋_GB2312" w:hAnsi="仿宋_GB2312" w:cs="仿宋_GB2312" w:eastAsia="仿宋_GB2312"/>
                      <w:sz w:val="18"/>
                      <w:color w:val="000000"/>
                    </w:rPr>
                    <w:t>顶板</w:t>
                  </w:r>
                  <w:r>
                    <w:rPr>
                      <w:rFonts w:ascii="仿宋_GB2312" w:hAnsi="仿宋_GB2312" w:cs="仿宋_GB2312" w:eastAsia="仿宋_GB2312"/>
                      <w:sz w:val="18"/>
                      <w:color w:val="000000"/>
                    </w:rPr>
                    <w:t>:C20混凝土，厚80mm，配</w:t>
                  </w:r>
                  <w:r>
                    <w:rPr>
                      <w:rFonts w:ascii="仿宋_GB2312" w:hAnsi="仿宋_GB2312" w:cs="仿宋_GB2312" w:eastAsia="仿宋_GB2312"/>
                      <w:sz w:val="18"/>
                      <w:color w:val="000000"/>
                    </w:rPr>
                    <w:t>φ</w:t>
                  </w:r>
                  <w:r>
                    <w:rPr>
                      <w:rFonts w:ascii="仿宋_GB2312" w:hAnsi="仿宋_GB2312" w:cs="仿宋_GB2312" w:eastAsia="仿宋_GB2312"/>
                      <w:sz w:val="18"/>
                      <w:color w:val="000000"/>
                    </w:rPr>
                    <w:t>8@200钢筋</w:t>
                  </w:r>
                  <w:r>
                    <w:br/>
                  </w:r>
                  <w:r>
                    <w:rPr>
                      <w:rFonts w:ascii="仿宋_GB2312" w:hAnsi="仿宋_GB2312" w:cs="仿宋_GB2312" w:eastAsia="仿宋_GB2312"/>
                      <w:sz w:val="18"/>
                      <w:color w:val="000000"/>
                    </w:rPr>
                    <w:t>防渗</w:t>
                  </w:r>
                  <w:r>
                    <w:rPr>
                      <w:rFonts w:ascii="仿宋_GB2312" w:hAnsi="仿宋_GB2312" w:cs="仿宋_GB2312" w:eastAsia="仿宋_GB2312"/>
                      <w:sz w:val="18"/>
                      <w:color w:val="000000"/>
                    </w:rPr>
                    <w:t>:内壁防水处理，24h闭水试验无渗漏</w:t>
                  </w:r>
                  <w:r>
                    <w:br/>
                  </w:r>
                  <w:r>
                    <w:rPr>
                      <w:rFonts w:ascii="仿宋_GB2312" w:hAnsi="仿宋_GB2312" w:cs="仿宋_GB2312" w:eastAsia="仿宋_GB2312"/>
                      <w:sz w:val="18"/>
                      <w:color w:val="000000"/>
                    </w:rPr>
                    <w:t>配套</w:t>
                  </w:r>
                  <w:r>
                    <w:rPr>
                      <w:rFonts w:ascii="仿宋_GB2312" w:hAnsi="仿宋_GB2312" w:cs="仿宋_GB2312" w:eastAsia="仿宋_GB2312"/>
                      <w:sz w:val="18"/>
                      <w:color w:val="000000"/>
                    </w:rPr>
                    <w:t>:进/出水/溢水口、600x600mm检修孔</w:t>
                  </w:r>
                  <w:r>
                    <w:br/>
                  </w:r>
                  <w:r>
                    <w:rPr>
                      <w:rFonts w:ascii="仿宋_GB2312" w:hAnsi="仿宋_GB2312" w:cs="仿宋_GB2312" w:eastAsia="仿宋_GB2312"/>
                      <w:sz w:val="18"/>
                      <w:color w:val="000000"/>
                    </w:rPr>
                    <w:t>抗渗等级</w:t>
                  </w:r>
                  <w:r>
                    <w:rPr>
                      <w:rFonts w:ascii="仿宋_GB2312" w:hAnsi="仿宋_GB2312" w:cs="仿宋_GB2312" w:eastAsia="仿宋_GB2312"/>
                      <w:sz w:val="18"/>
                      <w:color w:val="000000"/>
                    </w:rPr>
                    <w:t>≥P6</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座</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遮阴网铺设</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:高密度聚乙烯（HDPE）全新原生料，添加抗紫外线、抗老化助剂</w:t>
                  </w:r>
                  <w:r>
                    <w:br/>
                  </w:r>
                  <w:r>
                    <w:rPr>
                      <w:rFonts w:ascii="仿宋_GB2312" w:hAnsi="仿宋_GB2312" w:cs="仿宋_GB2312" w:eastAsia="仿宋_GB2312"/>
                      <w:sz w:val="18"/>
                      <w:color w:val="000000"/>
                    </w:rPr>
                    <w:t>颜色</w:t>
                  </w:r>
                  <w:r>
                    <w:rPr>
                      <w:rFonts w:ascii="仿宋_GB2312" w:hAnsi="仿宋_GB2312" w:cs="仿宋_GB2312" w:eastAsia="仿宋_GB2312"/>
                      <w:sz w:val="18"/>
                      <w:color w:val="000000"/>
                    </w:rPr>
                    <w:t>:黑色</w:t>
                  </w:r>
                  <w:r>
                    <w:br/>
                  </w:r>
                  <w:r>
                    <w:rPr>
                      <w:rFonts w:ascii="仿宋_GB2312" w:hAnsi="仿宋_GB2312" w:cs="仿宋_GB2312" w:eastAsia="仿宋_GB2312"/>
                      <w:sz w:val="18"/>
                      <w:color w:val="000000"/>
                    </w:rPr>
                    <w:t>遮光率</w:t>
                  </w:r>
                  <w:r>
                    <w:rPr>
                      <w:rFonts w:ascii="仿宋_GB2312" w:hAnsi="仿宋_GB2312" w:cs="仿宋_GB2312" w:eastAsia="仿宋_GB2312"/>
                      <w:sz w:val="18"/>
                      <w:color w:val="000000"/>
                    </w:rPr>
                    <w:t>:70%-85%(黄连专用)</w:t>
                  </w:r>
                  <w:r>
                    <w:br/>
                  </w:r>
                  <w:r>
                    <w:rPr>
                      <w:rFonts w:ascii="仿宋_GB2312" w:hAnsi="仿宋_GB2312" w:cs="仿宋_GB2312" w:eastAsia="仿宋_GB2312"/>
                      <w:sz w:val="18"/>
                      <w:color w:val="000000"/>
                    </w:rPr>
                    <w:t>克重</w:t>
                  </w:r>
                  <w:r>
                    <w:rPr>
                      <w:rFonts w:ascii="仿宋_GB2312" w:hAnsi="仿宋_GB2312" w:cs="仿宋_GB2312" w:eastAsia="仿宋_GB2312"/>
                      <w:sz w:val="18"/>
                      <w:color w:val="000000"/>
                    </w:rPr>
                    <w:t>:≥60g/m2</w:t>
                  </w:r>
                  <w:r>
                    <w:br/>
                  </w:r>
                  <w:r>
                    <w:rPr>
                      <w:rFonts w:ascii="仿宋_GB2312" w:hAnsi="仿宋_GB2312" w:cs="仿宋_GB2312" w:eastAsia="仿宋_GB2312"/>
                      <w:sz w:val="18"/>
                      <w:color w:val="000000"/>
                    </w:rPr>
                    <w:t>幅宽</w:t>
                  </w:r>
                  <w:r>
                    <w:rPr>
                      <w:rFonts w:ascii="仿宋_GB2312" w:hAnsi="仿宋_GB2312" w:cs="仿宋_GB2312" w:eastAsia="仿宋_GB2312"/>
                      <w:sz w:val="18"/>
                      <w:color w:val="000000"/>
                    </w:rPr>
                    <w:t>:≥6m</w:t>
                  </w:r>
                  <w:r>
                    <w:br/>
                  </w:r>
                  <w:r>
                    <w:rPr>
                      <w:rFonts w:ascii="仿宋_GB2312" w:hAnsi="仿宋_GB2312" w:cs="仿宋_GB2312" w:eastAsia="仿宋_GB2312"/>
                      <w:sz w:val="18"/>
                      <w:color w:val="000000"/>
                    </w:rPr>
                    <w:t>强度</w:t>
                  </w:r>
                  <w:r>
                    <w:rPr>
                      <w:rFonts w:ascii="仿宋_GB2312" w:hAnsi="仿宋_GB2312" w:cs="仿宋_GB2312" w:eastAsia="仿宋_GB2312"/>
                      <w:sz w:val="18"/>
                      <w:color w:val="000000"/>
                    </w:rPr>
                    <w:t>:抗拉强度≥400N/5cm，抗老化≥5年</w:t>
                  </w:r>
                  <w:r>
                    <w:br/>
                  </w:r>
                  <w:r>
                    <w:rPr>
                      <w:rFonts w:ascii="仿宋_GB2312" w:hAnsi="仿宋_GB2312" w:cs="仿宋_GB2312" w:eastAsia="仿宋_GB2312"/>
                      <w:sz w:val="18"/>
                      <w:color w:val="000000"/>
                    </w:rPr>
                    <w:t>抗风等级：</w:t>
                  </w:r>
                  <w:r>
                    <w:rPr>
                      <w:rFonts w:ascii="仿宋_GB2312" w:hAnsi="仿宋_GB2312" w:cs="仿宋_GB2312" w:eastAsia="仿宋_GB2312"/>
                      <w:sz w:val="18"/>
                      <w:color w:val="000000"/>
                    </w:rPr>
                    <w:t>≥6级</w:t>
                  </w:r>
                  <w:r>
                    <w:br/>
                  </w:r>
                  <w:r>
                    <w:rPr>
                      <w:rFonts w:ascii="仿宋_GB2312" w:hAnsi="仿宋_GB2312" w:cs="仿宋_GB2312" w:eastAsia="仿宋_GB2312"/>
                      <w:sz w:val="18"/>
                      <w:color w:val="000000"/>
                    </w:rPr>
                    <w:t>外观</w:t>
                  </w:r>
                  <w:r>
                    <w:rPr>
                      <w:rFonts w:ascii="仿宋_GB2312" w:hAnsi="仿宋_GB2312" w:cs="仿宋_GB2312" w:eastAsia="仿宋_GB2312"/>
                      <w:sz w:val="18"/>
                      <w:color w:val="000000"/>
                    </w:rPr>
                    <w:t>:网面平整、锁边牢固、无破损</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66700</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辅材</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钢丝绳</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:热镀锌钢丝绳</w:t>
                  </w:r>
                  <w:r>
                    <w:br/>
                  </w:r>
                  <w:r>
                    <w:rPr>
                      <w:rFonts w:ascii="仿宋_GB2312" w:hAnsi="仿宋_GB2312" w:cs="仿宋_GB2312" w:eastAsia="仿宋_GB2312"/>
                      <w:sz w:val="18"/>
                      <w:color w:val="000000"/>
                    </w:rPr>
                    <w:t>直径</w:t>
                  </w:r>
                  <w:r>
                    <w:rPr>
                      <w:rFonts w:ascii="仿宋_GB2312" w:hAnsi="仿宋_GB2312" w:cs="仿宋_GB2312" w:eastAsia="仿宋_GB2312"/>
                      <w:sz w:val="18"/>
                      <w:color w:val="000000"/>
                    </w:rPr>
                    <w:t>:≥φ4mm</w:t>
                  </w:r>
                  <w:r>
                    <w:br/>
                  </w:r>
                  <w:r>
                    <w:rPr>
                      <w:rFonts w:ascii="仿宋_GB2312" w:hAnsi="仿宋_GB2312" w:cs="仿宋_GB2312" w:eastAsia="仿宋_GB2312"/>
                      <w:sz w:val="18"/>
                      <w:color w:val="000000"/>
                    </w:rPr>
                    <w:t>结构：</w:t>
                  </w:r>
                  <w:r>
                    <w:rPr>
                      <w:rFonts w:ascii="仿宋_GB2312" w:hAnsi="仿宋_GB2312" w:cs="仿宋_GB2312" w:eastAsia="仿宋_GB2312"/>
                      <w:sz w:val="18"/>
                      <w:color w:val="000000"/>
                    </w:rPr>
                    <w:t>6×19</w:t>
                  </w:r>
                  <w:r>
                    <w:br/>
                  </w:r>
                  <w:r>
                    <w:rPr>
                      <w:rFonts w:ascii="仿宋_GB2312" w:hAnsi="仿宋_GB2312" w:cs="仿宋_GB2312" w:eastAsia="仿宋_GB2312"/>
                      <w:sz w:val="18"/>
                      <w:color w:val="000000"/>
                    </w:rPr>
                    <w:t>抗拉强度</w:t>
                  </w:r>
                  <w:r>
                    <w:rPr>
                      <w:rFonts w:ascii="仿宋_GB2312" w:hAnsi="仿宋_GB2312" w:cs="仿宋_GB2312" w:eastAsia="仿宋_GB2312"/>
                      <w:sz w:val="18"/>
                      <w:color w:val="000000"/>
                    </w:rPr>
                    <w:t>:≥1570MPa</w:t>
                  </w:r>
                  <w:r>
                    <w:br/>
                  </w:r>
                  <w:r>
                    <w:rPr>
                      <w:rFonts w:ascii="仿宋_GB2312" w:hAnsi="仿宋_GB2312" w:cs="仿宋_GB2312" w:eastAsia="仿宋_GB2312"/>
                      <w:sz w:val="18"/>
                      <w:color w:val="000000"/>
                    </w:rPr>
                    <w:t>防腐</w:t>
                  </w:r>
                  <w:r>
                    <w:rPr>
                      <w:rFonts w:ascii="仿宋_GB2312" w:hAnsi="仿宋_GB2312" w:cs="仿宋_GB2312" w:eastAsia="仿宋_GB2312"/>
                      <w:sz w:val="18"/>
                      <w:color w:val="000000"/>
                    </w:rPr>
                    <w:t>:热镀锌，锌层均匀</w:t>
                  </w:r>
                  <w:r>
                    <w:br/>
                  </w:r>
                  <w:r>
                    <w:rPr>
                      <w:rFonts w:ascii="仿宋_GB2312" w:hAnsi="仿宋_GB2312" w:cs="仿宋_GB2312" w:eastAsia="仿宋_GB2312"/>
                      <w:sz w:val="18"/>
                      <w:color w:val="000000"/>
                    </w:rPr>
                    <w:t>用途</w:t>
                  </w:r>
                  <w:r>
                    <w:rPr>
                      <w:rFonts w:ascii="仿宋_GB2312" w:hAnsi="仿宋_GB2312" w:cs="仿宋_GB2312" w:eastAsia="仿宋_GB2312"/>
                      <w:sz w:val="18"/>
                      <w:color w:val="000000"/>
                    </w:rPr>
                    <w:t>:张拉固定遮阴网</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7000</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辅材</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DN50给水管</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:PE100级高密度聚乙烯，全新原生料</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:DN50</w:t>
                  </w:r>
                  <w:r>
                    <w:br/>
                  </w:r>
                  <w:r>
                    <w:rPr>
                      <w:rFonts w:ascii="仿宋_GB2312" w:hAnsi="仿宋_GB2312" w:cs="仿宋_GB2312" w:eastAsia="仿宋_GB2312"/>
                      <w:sz w:val="18"/>
                      <w:color w:val="000000"/>
                    </w:rPr>
                    <w:t>压力</w:t>
                  </w:r>
                  <w:r>
                    <w:rPr>
                      <w:rFonts w:ascii="仿宋_GB2312" w:hAnsi="仿宋_GB2312" w:cs="仿宋_GB2312" w:eastAsia="仿宋_GB2312"/>
                      <w:sz w:val="18"/>
                    </w:rPr>
                    <w:t>:≥PN1.</w:t>
                  </w:r>
                  <w:r>
                    <w:rPr>
                      <w:rFonts w:ascii="仿宋_GB2312" w:hAnsi="仿宋_GB2312" w:cs="仿宋_GB2312" w:eastAsia="仿宋_GB2312"/>
                      <w:sz w:val="18"/>
                    </w:rPr>
                    <w:t>0</w:t>
                  </w:r>
                  <w:r>
                    <w:rPr>
                      <w:rFonts w:ascii="仿宋_GB2312" w:hAnsi="仿宋_GB2312" w:cs="仿宋_GB2312" w:eastAsia="仿宋_GB2312"/>
                      <w:sz w:val="18"/>
                    </w:rPr>
                    <w:t>MPa</w:t>
                  </w:r>
                  <w:r>
                    <w:rPr>
                      <w:rFonts w:ascii="仿宋_GB2312" w:hAnsi="仿宋_GB2312" w:cs="仿宋_GB2312" w:eastAsia="仿宋_GB2312"/>
                      <w:sz w:val="19"/>
                    </w:rPr>
                    <w:t xml:space="preserve">   </w:t>
                  </w:r>
                  <w:r>
                    <w:br/>
                  </w:r>
                  <w:r>
                    <w:rPr>
                      <w:rFonts w:ascii="仿宋_GB2312" w:hAnsi="仿宋_GB2312" w:cs="仿宋_GB2312" w:eastAsia="仿宋_GB2312"/>
                      <w:sz w:val="18"/>
                      <w:color w:val="000000"/>
                    </w:rPr>
                    <w:t>颜色</w:t>
                  </w:r>
                  <w:r>
                    <w:rPr>
                      <w:rFonts w:ascii="仿宋_GB2312" w:hAnsi="仿宋_GB2312" w:cs="仿宋_GB2312" w:eastAsia="仿宋_GB2312"/>
                      <w:sz w:val="18"/>
                      <w:color w:val="000000"/>
                    </w:rPr>
                    <w:t>:黑色，带蓝色色条(给水专用)</w:t>
                  </w:r>
                  <w:r>
                    <w:br/>
                  </w:r>
                  <w:r>
                    <w:rPr>
                      <w:rFonts w:ascii="仿宋_GB2312" w:hAnsi="仿宋_GB2312" w:cs="仿宋_GB2312" w:eastAsia="仿宋_GB2312"/>
                      <w:sz w:val="18"/>
                      <w:color w:val="000000"/>
                    </w:rPr>
                    <w:t>连接方式</w:t>
                  </w:r>
                  <w:r>
                    <w:rPr>
                      <w:rFonts w:ascii="仿宋_GB2312" w:hAnsi="仿宋_GB2312" w:cs="仿宋_GB2312" w:eastAsia="仿宋_GB2312"/>
                      <w:sz w:val="18"/>
                      <w:color w:val="000000"/>
                    </w:rPr>
                    <w:t>:热熔连接或管件连接</w:t>
                  </w:r>
                  <w:r>
                    <w:br/>
                  </w:r>
                  <w:r>
                    <w:rPr>
                      <w:rFonts w:ascii="仿宋_GB2312" w:hAnsi="仿宋_GB2312" w:cs="仿宋_GB2312" w:eastAsia="仿宋_GB2312"/>
                      <w:sz w:val="18"/>
                      <w:color w:val="000000"/>
                    </w:rPr>
                    <w:t>壁厚</w:t>
                  </w:r>
                  <w:r>
                    <w:rPr>
                      <w:rFonts w:ascii="仿宋_GB2312" w:hAnsi="仿宋_GB2312" w:cs="仿宋_GB2312" w:eastAsia="仿宋_GB2312"/>
                      <w:sz w:val="18"/>
                      <w:color w:val="000000"/>
                    </w:rPr>
                    <w:t>:符合国标，均匀无偏心</w:t>
                  </w:r>
                  <w:r>
                    <w:br/>
                  </w:r>
                  <w:r>
                    <w:rPr>
                      <w:rFonts w:ascii="仿宋_GB2312" w:hAnsi="仿宋_GB2312" w:cs="仿宋_GB2312" w:eastAsia="仿宋_GB2312"/>
                      <w:sz w:val="18"/>
                      <w:color w:val="000000"/>
                    </w:rPr>
                    <w:t>性能</w:t>
                  </w:r>
                  <w:r>
                    <w:rPr>
                      <w:rFonts w:ascii="仿宋_GB2312" w:hAnsi="仿宋_GB2312" w:cs="仿宋_GB2312" w:eastAsia="仿宋_GB2312"/>
                      <w:sz w:val="18"/>
                      <w:color w:val="000000"/>
                    </w:rPr>
                    <w:t>:耐老化、耐腐蚀、无毒无味、卫生级</w:t>
                  </w:r>
                  <w:r>
                    <w:br/>
                  </w:r>
                  <w:r>
                    <w:rPr>
                      <w:rFonts w:ascii="仿宋_GB2312" w:hAnsi="仿宋_GB2312" w:cs="仿宋_GB2312" w:eastAsia="仿宋_GB2312"/>
                      <w:sz w:val="18"/>
                      <w:color w:val="000000"/>
                    </w:rPr>
                    <w:t>质量标准</w:t>
                  </w:r>
                  <w:r>
                    <w:rPr>
                      <w:rFonts w:ascii="仿宋_GB2312" w:hAnsi="仿宋_GB2312" w:cs="仿宋_GB2312" w:eastAsia="仿宋_GB2312"/>
                      <w:sz w:val="18"/>
                      <w:color w:val="000000"/>
                    </w:rPr>
                    <w:t>:符合GB/T13663-2018《给水用聚乙烯(PE)管材》</w:t>
                  </w:r>
                  <w:r>
                    <w:br/>
                  </w:r>
                  <w:r>
                    <w:rPr>
                      <w:rFonts w:ascii="仿宋_GB2312" w:hAnsi="仿宋_GB2312" w:cs="仿宋_GB2312" w:eastAsia="仿宋_GB2312"/>
                      <w:sz w:val="18"/>
                      <w:color w:val="000000"/>
                    </w:rPr>
                    <w:t>用途</w:t>
                  </w:r>
                  <w:r>
                    <w:rPr>
                      <w:rFonts w:ascii="仿宋_GB2312" w:hAnsi="仿宋_GB2312" w:cs="仿宋_GB2312" w:eastAsia="仿宋_GB2312"/>
                      <w:sz w:val="18"/>
                      <w:color w:val="000000"/>
                    </w:rPr>
                    <w:t>:灌溉给水</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3000</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辅材</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DN20给水管</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:PE100级高密度聚乙烯，全新原生料</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:DN20</w:t>
                  </w:r>
                  <w:r>
                    <w:br/>
                  </w:r>
                  <w:r>
                    <w:rPr>
                      <w:rFonts w:ascii="仿宋_GB2312" w:hAnsi="仿宋_GB2312" w:cs="仿宋_GB2312" w:eastAsia="仿宋_GB2312"/>
                      <w:sz w:val="18"/>
                      <w:color w:val="000000"/>
                    </w:rPr>
                    <w:t>压力</w:t>
                  </w:r>
                  <w:r>
                    <w:rPr>
                      <w:rFonts w:ascii="仿宋_GB2312" w:hAnsi="仿宋_GB2312" w:cs="仿宋_GB2312" w:eastAsia="仿宋_GB2312"/>
                      <w:sz w:val="18"/>
                      <w:color w:val="000000"/>
                    </w:rPr>
                    <w:t>:</w:t>
                  </w:r>
                  <w:r>
                    <w:rPr>
                      <w:rFonts w:ascii="仿宋_GB2312" w:hAnsi="仿宋_GB2312" w:cs="仿宋_GB2312" w:eastAsia="仿宋_GB2312"/>
                      <w:sz w:val="18"/>
                      <w:color w:val="000000"/>
                    </w:rPr>
                    <w:t>≥PN1.</w:t>
                  </w:r>
                  <w:r>
                    <w:rPr>
                      <w:rFonts w:ascii="仿宋_GB2312" w:hAnsi="仿宋_GB2312" w:cs="仿宋_GB2312" w:eastAsia="仿宋_GB2312"/>
                      <w:sz w:val="18"/>
                      <w:color w:val="000000"/>
                    </w:rPr>
                    <w:t>0</w:t>
                  </w:r>
                  <w:r>
                    <w:rPr>
                      <w:rFonts w:ascii="仿宋_GB2312" w:hAnsi="仿宋_GB2312" w:cs="仿宋_GB2312" w:eastAsia="仿宋_GB2312"/>
                      <w:sz w:val="18"/>
                      <w:color w:val="000000"/>
                    </w:rPr>
                    <w:t>MPa</w:t>
                  </w:r>
                  <w:r>
                    <w:br/>
                  </w:r>
                  <w:r>
                    <w:rPr>
                      <w:rFonts w:ascii="仿宋_GB2312" w:hAnsi="仿宋_GB2312" w:cs="仿宋_GB2312" w:eastAsia="仿宋_GB2312"/>
                      <w:sz w:val="18"/>
                      <w:color w:val="000000"/>
                    </w:rPr>
                    <w:t>颜色</w:t>
                  </w:r>
                  <w:r>
                    <w:rPr>
                      <w:rFonts w:ascii="仿宋_GB2312" w:hAnsi="仿宋_GB2312" w:cs="仿宋_GB2312" w:eastAsia="仿宋_GB2312"/>
                      <w:sz w:val="18"/>
                      <w:color w:val="000000"/>
                    </w:rPr>
                    <w:t>:黑色，蓝色色条(给水专用)</w:t>
                  </w:r>
                  <w:r>
                    <w:br/>
                  </w:r>
                  <w:r>
                    <w:rPr>
                      <w:rFonts w:ascii="仿宋_GB2312" w:hAnsi="仿宋_GB2312" w:cs="仿宋_GB2312" w:eastAsia="仿宋_GB2312"/>
                      <w:sz w:val="18"/>
                      <w:color w:val="000000"/>
                    </w:rPr>
                    <w:t>连接方式</w:t>
                  </w:r>
                  <w:r>
                    <w:rPr>
                      <w:rFonts w:ascii="仿宋_GB2312" w:hAnsi="仿宋_GB2312" w:cs="仿宋_GB2312" w:eastAsia="仿宋_GB2312"/>
                      <w:sz w:val="18"/>
                      <w:color w:val="000000"/>
                    </w:rPr>
                    <w:t>:管件承插连接</w:t>
                  </w:r>
                  <w:r>
                    <w:br/>
                  </w:r>
                  <w:r>
                    <w:rPr>
                      <w:rFonts w:ascii="仿宋_GB2312" w:hAnsi="仿宋_GB2312" w:cs="仿宋_GB2312" w:eastAsia="仿宋_GB2312"/>
                      <w:sz w:val="18"/>
                      <w:color w:val="000000"/>
                    </w:rPr>
                    <w:t>壁厚</w:t>
                  </w:r>
                  <w:r>
                    <w:rPr>
                      <w:rFonts w:ascii="仿宋_GB2312" w:hAnsi="仿宋_GB2312" w:cs="仿宋_GB2312" w:eastAsia="仿宋_GB2312"/>
                      <w:sz w:val="18"/>
                      <w:color w:val="000000"/>
                    </w:rPr>
                    <w:t>:国标、均匀、无裂纹</w:t>
                  </w:r>
                  <w:r>
                    <w:br/>
                  </w:r>
                  <w:r>
                    <w:rPr>
                      <w:rFonts w:ascii="仿宋_GB2312" w:hAnsi="仿宋_GB2312" w:cs="仿宋_GB2312" w:eastAsia="仿宋_GB2312"/>
                      <w:sz w:val="18"/>
                      <w:color w:val="000000"/>
                    </w:rPr>
                    <w:t>性能</w:t>
                  </w:r>
                  <w:r>
                    <w:rPr>
                      <w:rFonts w:ascii="仿宋_GB2312" w:hAnsi="仿宋_GB2312" w:cs="仿宋_GB2312" w:eastAsia="仿宋_GB2312"/>
                      <w:sz w:val="18"/>
                      <w:color w:val="000000"/>
                    </w:rPr>
                    <w:t>:耐老化、耐腐蚀、无毒无味、卫生级</w:t>
                  </w:r>
                  <w:r>
                    <w:br/>
                  </w:r>
                  <w:r>
                    <w:rPr>
                      <w:rFonts w:ascii="仿宋_GB2312" w:hAnsi="仿宋_GB2312" w:cs="仿宋_GB2312" w:eastAsia="仿宋_GB2312"/>
                      <w:sz w:val="18"/>
                      <w:color w:val="000000"/>
                    </w:rPr>
                    <w:t>执行标准</w:t>
                  </w:r>
                  <w:r>
                    <w:rPr>
                      <w:rFonts w:ascii="仿宋_GB2312" w:hAnsi="仿宋_GB2312" w:cs="仿宋_GB2312" w:eastAsia="仿宋_GB2312"/>
                      <w:sz w:val="18"/>
                      <w:color w:val="000000"/>
                    </w:rPr>
                    <w:t>:GB/T13663-2018</w:t>
                  </w:r>
                  <w:r>
                    <w:br/>
                  </w:r>
                  <w:r>
                    <w:rPr>
                      <w:rFonts w:ascii="仿宋_GB2312" w:hAnsi="仿宋_GB2312" w:cs="仿宋_GB2312" w:eastAsia="仿宋_GB2312"/>
                      <w:sz w:val="18"/>
                      <w:color w:val="000000"/>
                    </w:rPr>
                    <w:t>用途</w:t>
                  </w:r>
                  <w:r>
                    <w:rPr>
                      <w:rFonts w:ascii="仿宋_GB2312" w:hAnsi="仿宋_GB2312" w:cs="仿宋_GB2312" w:eastAsia="仿宋_GB2312"/>
                      <w:sz w:val="18"/>
                      <w:color w:val="000000"/>
                    </w:rPr>
                    <w:t>:灌溉给水</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2000</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辅材</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DN25给水管</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:PE100级高密度聚乙烯，全新原生料</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:DN25(de32)</w:t>
                  </w:r>
                  <w:r>
                    <w:br/>
                  </w:r>
                  <w:r>
                    <w:rPr>
                      <w:rFonts w:ascii="仿宋_GB2312" w:hAnsi="仿宋_GB2312" w:cs="仿宋_GB2312" w:eastAsia="仿宋_GB2312"/>
                      <w:sz w:val="18"/>
                      <w:color w:val="000000"/>
                    </w:rPr>
                    <w:t>压力</w:t>
                  </w:r>
                  <w:r>
                    <w:rPr>
                      <w:rFonts w:ascii="仿宋_GB2312" w:hAnsi="仿宋_GB2312" w:cs="仿宋_GB2312" w:eastAsia="仿宋_GB2312"/>
                      <w:sz w:val="18"/>
                      <w:color w:val="000000"/>
                    </w:rPr>
                    <w:t>:≥PN1.6MPa</w:t>
                  </w:r>
                  <w:r>
                    <w:br/>
                  </w:r>
                  <w:r>
                    <w:rPr>
                      <w:rFonts w:ascii="仿宋_GB2312" w:hAnsi="仿宋_GB2312" w:cs="仿宋_GB2312" w:eastAsia="仿宋_GB2312"/>
                      <w:sz w:val="18"/>
                      <w:color w:val="000000"/>
                    </w:rPr>
                    <w:t>颜色</w:t>
                  </w:r>
                  <w:r>
                    <w:rPr>
                      <w:rFonts w:ascii="仿宋_GB2312" w:hAnsi="仿宋_GB2312" w:cs="仿宋_GB2312" w:eastAsia="仿宋_GB2312"/>
                      <w:sz w:val="18"/>
                      <w:color w:val="000000"/>
                    </w:rPr>
                    <w:t>:黑色，蓝色色条(给水专用)</w:t>
                  </w:r>
                  <w:r>
                    <w:br/>
                  </w:r>
                  <w:r>
                    <w:rPr>
                      <w:rFonts w:ascii="仿宋_GB2312" w:hAnsi="仿宋_GB2312" w:cs="仿宋_GB2312" w:eastAsia="仿宋_GB2312"/>
                      <w:sz w:val="18"/>
                      <w:color w:val="000000"/>
                    </w:rPr>
                    <w:t>连接方式</w:t>
                  </w:r>
                  <w:r>
                    <w:rPr>
                      <w:rFonts w:ascii="仿宋_GB2312" w:hAnsi="仿宋_GB2312" w:cs="仿宋_GB2312" w:eastAsia="仿宋_GB2312"/>
                      <w:sz w:val="18"/>
                      <w:color w:val="000000"/>
                    </w:rPr>
                    <w:t>:热熔连接或管件承插连接</w:t>
                  </w:r>
                  <w:r>
                    <w:br/>
                  </w:r>
                  <w:r>
                    <w:rPr>
                      <w:rFonts w:ascii="仿宋_GB2312" w:hAnsi="仿宋_GB2312" w:cs="仿宋_GB2312" w:eastAsia="仿宋_GB2312"/>
                      <w:sz w:val="18"/>
                      <w:color w:val="000000"/>
                    </w:rPr>
                    <w:t>壁厚</w:t>
                  </w:r>
                  <w:r>
                    <w:rPr>
                      <w:rFonts w:ascii="仿宋_GB2312" w:hAnsi="仿宋_GB2312" w:cs="仿宋_GB2312" w:eastAsia="仿宋_GB2312"/>
                      <w:sz w:val="18"/>
                      <w:color w:val="000000"/>
                    </w:rPr>
                    <w:t>:国标，均匀无偏心、无裂纹</w:t>
                  </w:r>
                  <w:r>
                    <w:br/>
                  </w:r>
                  <w:r>
                    <w:rPr>
                      <w:rFonts w:ascii="仿宋_GB2312" w:hAnsi="仿宋_GB2312" w:cs="仿宋_GB2312" w:eastAsia="仿宋_GB2312"/>
                      <w:sz w:val="18"/>
                      <w:color w:val="000000"/>
                    </w:rPr>
                    <w:t>性能</w:t>
                  </w:r>
                  <w:r>
                    <w:rPr>
                      <w:rFonts w:ascii="仿宋_GB2312" w:hAnsi="仿宋_GB2312" w:cs="仿宋_GB2312" w:eastAsia="仿宋_GB2312"/>
                      <w:sz w:val="18"/>
                      <w:color w:val="000000"/>
                    </w:rPr>
                    <w:t>:耐老化、耐腐蚀、无毒无味、卫生级</w:t>
                  </w:r>
                  <w:r>
                    <w:br/>
                  </w:r>
                  <w:r>
                    <w:rPr>
                      <w:rFonts w:ascii="仿宋_GB2312" w:hAnsi="仿宋_GB2312" w:cs="仿宋_GB2312" w:eastAsia="仿宋_GB2312"/>
                      <w:sz w:val="18"/>
                      <w:color w:val="000000"/>
                    </w:rPr>
                    <w:t>执行标准</w:t>
                  </w:r>
                  <w:r>
                    <w:rPr>
                      <w:rFonts w:ascii="仿宋_GB2312" w:hAnsi="仿宋_GB2312" w:cs="仿宋_GB2312" w:eastAsia="仿宋_GB2312"/>
                      <w:sz w:val="18"/>
                      <w:color w:val="000000"/>
                    </w:rPr>
                    <w:t>:GB/T13663-2018《给水用聚乙烯(PE)管材》</w:t>
                  </w:r>
                  <w:r>
                    <w:br/>
                  </w:r>
                  <w:r>
                    <w:rPr>
                      <w:rFonts w:ascii="仿宋_GB2312" w:hAnsi="仿宋_GB2312" w:cs="仿宋_GB2312" w:eastAsia="仿宋_GB2312"/>
                      <w:sz w:val="18"/>
                      <w:color w:val="000000"/>
                    </w:rPr>
                    <w:t>用途</w:t>
                  </w:r>
                  <w:r>
                    <w:rPr>
                      <w:rFonts w:ascii="仿宋_GB2312" w:hAnsi="仿宋_GB2312" w:cs="仿宋_GB2312" w:eastAsia="仿宋_GB2312"/>
                      <w:sz w:val="18"/>
                      <w:color w:val="000000"/>
                    </w:rPr>
                    <w:t>:灌溉给水</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2000</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辅材</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喷头</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类型</w:t>
                  </w:r>
                  <w:r>
                    <w:rPr>
                      <w:rFonts w:ascii="仿宋_GB2312" w:hAnsi="仿宋_GB2312" w:cs="仿宋_GB2312" w:eastAsia="仿宋_GB2312"/>
                      <w:sz w:val="18"/>
                      <w:color w:val="000000"/>
                    </w:rPr>
                    <w:t>:地埋式360°旋转喷头</w:t>
                  </w:r>
                  <w:r>
                    <w:br/>
                  </w:r>
                  <w:r>
                    <w:rPr>
                      <w:rFonts w:ascii="仿宋_GB2312" w:hAnsi="仿宋_GB2312" w:cs="仿宋_GB2312" w:eastAsia="仿宋_GB2312"/>
                      <w:sz w:val="18"/>
                      <w:color w:val="000000"/>
                    </w:rPr>
                    <w:t>接口规格</w:t>
                  </w:r>
                  <w:r>
                    <w:rPr>
                      <w:rFonts w:ascii="仿宋_GB2312" w:hAnsi="仿宋_GB2312" w:cs="仿宋_GB2312" w:eastAsia="仿宋_GB2312"/>
                      <w:sz w:val="18"/>
                      <w:color w:val="000000"/>
                    </w:rPr>
                    <w:t>:DN20、DN25外丝接口</w:t>
                  </w:r>
                  <w:r>
                    <w:br/>
                  </w:r>
                  <w:r>
                    <w:rPr>
                      <w:rFonts w:ascii="仿宋_GB2312" w:hAnsi="仿宋_GB2312" w:cs="仿宋_GB2312" w:eastAsia="仿宋_GB2312"/>
                      <w:sz w:val="18"/>
                      <w:color w:val="000000"/>
                    </w:rPr>
                    <w:t>工作压力</w:t>
                  </w:r>
                  <w:r>
                    <w:rPr>
                      <w:rFonts w:ascii="仿宋_GB2312" w:hAnsi="仿宋_GB2312" w:cs="仿宋_GB2312" w:eastAsia="仿宋_GB2312"/>
                      <w:sz w:val="18"/>
                      <w:color w:val="000000"/>
                    </w:rPr>
                    <w:t>:0.2~0.4MPa</w:t>
                  </w:r>
                  <w:r>
                    <w:br/>
                  </w:r>
                  <w:r>
                    <w:rPr>
                      <w:rFonts w:ascii="仿宋_GB2312" w:hAnsi="仿宋_GB2312" w:cs="仿宋_GB2312" w:eastAsia="仿宋_GB2312"/>
                      <w:sz w:val="18"/>
                      <w:color w:val="000000"/>
                    </w:rPr>
                    <w:t>喷射射程</w:t>
                  </w:r>
                  <w:r>
                    <w:rPr>
                      <w:rFonts w:ascii="仿宋_GB2312" w:hAnsi="仿宋_GB2312" w:cs="仿宋_GB2312" w:eastAsia="仿宋_GB2312"/>
                      <w:sz w:val="18"/>
                      <w:color w:val="000000"/>
                    </w:rPr>
                    <w:t>:6~10m(可调)</w:t>
                  </w:r>
                  <w:r>
                    <w:br/>
                  </w:r>
                  <w:r>
                    <w:rPr>
                      <w:rFonts w:ascii="仿宋_GB2312" w:hAnsi="仿宋_GB2312" w:cs="仿宋_GB2312" w:eastAsia="仿宋_GB2312"/>
                      <w:sz w:val="18"/>
                      <w:color w:val="000000"/>
                    </w:rPr>
                    <w:t>流量</w:t>
                  </w:r>
                  <w:r>
                    <w:rPr>
                      <w:rFonts w:ascii="仿宋_GB2312" w:hAnsi="仿宋_GB2312" w:cs="仿宋_GB2312" w:eastAsia="仿宋_GB2312"/>
                      <w:sz w:val="18"/>
                      <w:color w:val="000000"/>
                    </w:rPr>
                    <w:t>:0.15~0.3m3/h(可调)</w:t>
                  </w:r>
                  <w:r>
                    <w:br/>
                  </w:r>
                  <w:r>
                    <w:rPr>
                      <w:rFonts w:ascii="仿宋_GB2312" w:hAnsi="仿宋_GB2312" w:cs="仿宋_GB2312" w:eastAsia="仿宋_GB2312"/>
                      <w:sz w:val="18"/>
                      <w:color w:val="000000"/>
                    </w:rPr>
                    <w:t>材质</w:t>
                  </w:r>
                  <w:r>
                    <w:rPr>
                      <w:rFonts w:ascii="仿宋_GB2312" w:hAnsi="仿宋_GB2312" w:cs="仿宋_GB2312" w:eastAsia="仿宋_GB2312"/>
                      <w:sz w:val="18"/>
                      <w:color w:val="000000"/>
                    </w:rPr>
                    <w:t>:工程塑料+不锈钢芯轴，耐腐蚀、抗老化、防堵塞</w:t>
                  </w:r>
                  <w:r>
                    <w:br/>
                  </w:r>
                  <w:r>
                    <w:rPr>
                      <w:rFonts w:ascii="仿宋_GB2312" w:hAnsi="仿宋_GB2312" w:cs="仿宋_GB2312" w:eastAsia="仿宋_GB2312"/>
                      <w:sz w:val="18"/>
                      <w:color w:val="000000"/>
                    </w:rPr>
                    <w:t>喷洒形式</w:t>
                  </w:r>
                  <w:r>
                    <w:rPr>
                      <w:rFonts w:ascii="仿宋_GB2312" w:hAnsi="仿宋_GB2312" w:cs="仿宋_GB2312" w:eastAsia="仿宋_GB2312"/>
                      <w:sz w:val="18"/>
                      <w:color w:val="000000"/>
                    </w:rPr>
                    <w:t>:360°全圆旋转/扇形可调</w:t>
                  </w:r>
                  <w:r>
                    <w:br/>
                  </w:r>
                  <w:r>
                    <w:rPr>
                      <w:rFonts w:ascii="仿宋_GB2312" w:hAnsi="仿宋_GB2312" w:cs="仿宋_GB2312" w:eastAsia="仿宋_GB2312"/>
                      <w:sz w:val="18"/>
                      <w:color w:val="000000"/>
                    </w:rPr>
                    <w:t>配套</w:t>
                  </w:r>
                  <w:r>
                    <w:rPr>
                      <w:rFonts w:ascii="仿宋_GB2312" w:hAnsi="仿宋_GB2312" w:cs="仿宋_GB2312" w:eastAsia="仿宋_GB2312"/>
                      <w:sz w:val="18"/>
                      <w:color w:val="000000"/>
                    </w:rPr>
                    <w:t>:含喷头本体、升降芯、密封圈、连接软管、接头</w:t>
                  </w:r>
                  <w:r>
                    <w:br/>
                  </w:r>
                  <w:r>
                    <w:rPr>
                      <w:rFonts w:ascii="仿宋_GB2312" w:hAnsi="仿宋_GB2312" w:cs="仿宋_GB2312" w:eastAsia="仿宋_GB2312"/>
                      <w:sz w:val="18"/>
                      <w:color w:val="000000"/>
                    </w:rPr>
                    <w:t>安装</w:t>
                  </w:r>
                  <w:r>
                    <w:rPr>
                      <w:rFonts w:ascii="仿宋_GB2312" w:hAnsi="仿宋_GB2312" w:cs="仿宋_GB2312" w:eastAsia="仿宋_GB2312"/>
                      <w:sz w:val="18"/>
                      <w:color w:val="000000"/>
                    </w:rPr>
                    <w:t>:地埋安装，与PE管匹配连接</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245</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辅材</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翻耕种植用地</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作业内容</w:t>
                  </w:r>
                  <w:r>
                    <w:rPr>
                      <w:rFonts w:ascii="仿宋_GB2312" w:hAnsi="仿宋_GB2312" w:cs="仿宋_GB2312" w:eastAsia="仿宋_GB2312"/>
                      <w:sz w:val="18"/>
                      <w:color w:val="000000"/>
                    </w:rPr>
                    <w:t>:机械深翻、碎土、耙平、清除杂草、石块、树根</w:t>
                  </w:r>
                  <w:r>
                    <w:br/>
                  </w:r>
                  <w:r>
                    <w:rPr>
                      <w:rFonts w:ascii="仿宋_GB2312" w:hAnsi="仿宋_GB2312" w:cs="仿宋_GB2312" w:eastAsia="仿宋_GB2312"/>
                      <w:sz w:val="18"/>
                      <w:color w:val="000000"/>
                    </w:rPr>
                    <w:t>旋耕次数：</w:t>
                  </w:r>
                  <w:r>
                    <w:rPr>
                      <w:rFonts w:ascii="仿宋_GB2312" w:hAnsi="仿宋_GB2312" w:cs="仿宋_GB2312" w:eastAsia="仿宋_GB2312"/>
                      <w:sz w:val="18"/>
                      <w:color w:val="000000"/>
                    </w:rPr>
                    <w:t>≥2次</w:t>
                  </w:r>
                  <w:r>
                    <w:br/>
                  </w:r>
                  <w:r>
                    <w:rPr>
                      <w:rFonts w:ascii="仿宋_GB2312" w:hAnsi="仿宋_GB2312" w:cs="仿宋_GB2312" w:eastAsia="仿宋_GB2312"/>
                      <w:sz w:val="18"/>
                      <w:color w:val="000000"/>
                    </w:rPr>
                    <w:t>翻耕深度</w:t>
                  </w:r>
                  <w:r>
                    <w:rPr>
                      <w:rFonts w:ascii="仿宋_GB2312" w:hAnsi="仿宋_GB2312" w:cs="仿宋_GB2312" w:eastAsia="仿宋_GB2312"/>
                      <w:sz w:val="18"/>
                      <w:color w:val="000000"/>
                    </w:rPr>
                    <w:t>:≥30cm</w:t>
                  </w:r>
                  <w:r>
                    <w:br/>
                  </w:r>
                  <w:r>
                    <w:rPr>
                      <w:rFonts w:ascii="仿宋_GB2312" w:hAnsi="仿宋_GB2312" w:cs="仿宋_GB2312" w:eastAsia="仿宋_GB2312"/>
                      <w:sz w:val="18"/>
                      <w:color w:val="000000"/>
                    </w:rPr>
                    <w:t>地表平整度</w:t>
                  </w:r>
                  <w:r>
                    <w:rPr>
                      <w:rFonts w:ascii="仿宋_GB2312" w:hAnsi="仿宋_GB2312" w:cs="仿宋_GB2312" w:eastAsia="仿宋_GB2312"/>
                      <w:sz w:val="18"/>
                      <w:color w:val="000000"/>
                    </w:rPr>
                    <w:t>:高差≤5cm，无积水、无明显坑洼</w:t>
                  </w:r>
                  <w:r>
                    <w:br/>
                  </w:r>
                  <w:r>
                    <w:rPr>
                      <w:rFonts w:ascii="仿宋_GB2312" w:hAnsi="仿宋_GB2312" w:cs="仿宋_GB2312" w:eastAsia="仿宋_GB2312"/>
                      <w:sz w:val="18"/>
                      <w:color w:val="000000"/>
                    </w:rPr>
                    <w:t>土壤质地</w:t>
                  </w:r>
                  <w:r>
                    <w:rPr>
                      <w:rFonts w:ascii="仿宋_GB2312" w:hAnsi="仿宋_GB2312" w:cs="仿宋_GB2312" w:eastAsia="仿宋_GB2312"/>
                      <w:sz w:val="18"/>
                      <w:color w:val="000000"/>
                    </w:rPr>
                    <w:t>:疏松透气、排水良好、无板结</w:t>
                  </w:r>
                  <w:r>
                    <w:br/>
                  </w:r>
                  <w:r>
                    <w:rPr>
                      <w:rFonts w:ascii="仿宋_GB2312" w:hAnsi="仿宋_GB2312" w:cs="仿宋_GB2312" w:eastAsia="仿宋_GB2312"/>
                      <w:sz w:val="18"/>
                      <w:color w:val="000000"/>
                    </w:rPr>
                    <w:t>土壤肥力</w:t>
                  </w:r>
                  <w:r>
                    <w:rPr>
                      <w:rFonts w:ascii="仿宋_GB2312" w:hAnsi="仿宋_GB2312" w:cs="仿宋_GB2312" w:eastAsia="仿宋_GB2312"/>
                      <w:sz w:val="18"/>
                      <w:color w:val="000000"/>
                    </w:rPr>
                    <w:t>:无严重盐碱、无污染，符合中药材种植土壤标准</w:t>
                  </w:r>
                  <w:r>
                    <w:br/>
                  </w:r>
                  <w:r>
                    <w:rPr>
                      <w:rFonts w:ascii="仿宋_GB2312" w:hAnsi="仿宋_GB2312" w:cs="仿宋_GB2312" w:eastAsia="仿宋_GB2312"/>
                      <w:sz w:val="18"/>
                      <w:color w:val="000000"/>
                    </w:rPr>
                    <w:t>施工方式</w:t>
                  </w:r>
                  <w:r>
                    <w:rPr>
                      <w:rFonts w:ascii="仿宋_GB2312" w:hAnsi="仿宋_GB2312" w:cs="仿宋_GB2312" w:eastAsia="仿宋_GB2312"/>
                      <w:sz w:val="18"/>
                      <w:color w:val="000000"/>
                    </w:rPr>
                    <w:t>:机械深耕+人工精细整平</w:t>
                  </w:r>
                  <w:r>
                    <w:br/>
                  </w:r>
                  <w:r>
                    <w:rPr>
                      <w:rFonts w:ascii="仿宋_GB2312" w:hAnsi="仿宋_GB2312" w:cs="仿宋_GB2312" w:eastAsia="仿宋_GB2312"/>
                      <w:sz w:val="18"/>
                      <w:color w:val="000000"/>
                    </w:rPr>
                    <w:t>质量标准</w:t>
                  </w:r>
                  <w:r>
                    <w:rPr>
                      <w:rFonts w:ascii="仿宋_GB2312" w:hAnsi="仿宋_GB2312" w:cs="仿宋_GB2312" w:eastAsia="仿宋_GB2312"/>
                      <w:sz w:val="18"/>
                      <w:color w:val="000000"/>
                    </w:rPr>
                    <w:t>:符合黄连种植整地规范，验收合格</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23333.45</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辅材</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黄连</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苗龄</w:t>
                  </w:r>
                  <w:r>
                    <w:rPr>
                      <w:rFonts w:ascii="仿宋_GB2312" w:hAnsi="仿宋_GB2312" w:cs="仿宋_GB2312" w:eastAsia="仿宋_GB2312"/>
                      <w:sz w:val="18"/>
                      <w:color w:val="000000"/>
                    </w:rPr>
                    <w:t>:≥2年生健壮苗</w:t>
                  </w:r>
                  <w:r>
                    <w:br/>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:株高≥15cm，根茎粗≥0.3cm，根系发达、须根多、无机械损伤</w:t>
                  </w:r>
                  <w:r>
                    <w:br/>
                  </w:r>
                  <w:r>
                    <w:rPr>
                      <w:rFonts w:ascii="仿宋_GB2312" w:hAnsi="仿宋_GB2312" w:cs="仿宋_GB2312" w:eastAsia="仿宋_GB2312"/>
                      <w:sz w:val="18"/>
                      <w:color w:val="000000"/>
                    </w:rPr>
                    <w:t>质量</w:t>
                  </w:r>
                  <w:r>
                    <w:rPr>
                      <w:rFonts w:ascii="仿宋_GB2312" w:hAnsi="仿宋_GB2312" w:cs="仿宋_GB2312" w:eastAsia="仿宋_GB2312"/>
                      <w:sz w:val="18"/>
                      <w:color w:val="000000"/>
                    </w:rPr>
                    <w:t>:纯度≥98%，无病虫害、无霉变</w:t>
                  </w:r>
                  <w:r>
                    <w:br/>
                  </w:r>
                  <w:r>
                    <w:rPr>
                      <w:rFonts w:ascii="仿宋_GB2312" w:hAnsi="仿宋_GB2312" w:cs="仿宋_GB2312" w:eastAsia="仿宋_GB2312"/>
                      <w:sz w:val="18"/>
                      <w:color w:val="000000"/>
                    </w:rPr>
                    <w:t>密度</w:t>
                  </w:r>
                  <w:r>
                    <w:rPr>
                      <w:rFonts w:ascii="仿宋_GB2312" w:hAnsi="仿宋_GB2312" w:cs="仿宋_GB2312" w:eastAsia="仿宋_GB2312"/>
                      <w:sz w:val="18"/>
                      <w:color w:val="000000"/>
                    </w:rPr>
                    <w:t>:株行距8cmx8cm(150株/m2)</w:t>
                  </w:r>
                  <w:r>
                    <w:br/>
                  </w:r>
                  <w:r>
                    <w:rPr>
                      <w:rFonts w:ascii="仿宋_GB2312" w:hAnsi="仿宋_GB2312" w:cs="仿宋_GB2312" w:eastAsia="仿宋_GB2312"/>
                      <w:sz w:val="18"/>
                      <w:color w:val="000000"/>
                    </w:rPr>
                    <w:t>成活率</w:t>
                  </w:r>
                  <w:r>
                    <w:rPr>
                      <w:rFonts w:ascii="仿宋_GB2312" w:hAnsi="仿宋_GB2312" w:cs="仿宋_GB2312" w:eastAsia="仿宋_GB2312"/>
                      <w:sz w:val="18"/>
                      <w:color w:val="000000"/>
                    </w:rPr>
                    <w:t>:≥85%，5年养护期免费补苗</w:t>
                  </w:r>
                  <w:r>
                    <w:br/>
                  </w:r>
                  <w:r>
                    <w:rPr>
                      <w:rFonts w:ascii="仿宋_GB2312" w:hAnsi="仿宋_GB2312" w:cs="仿宋_GB2312" w:eastAsia="仿宋_GB2312"/>
                      <w:sz w:val="18"/>
                      <w:color w:val="000000"/>
                    </w:rPr>
                    <w:t>养护</w:t>
                  </w:r>
                  <w:r>
                    <w:rPr>
                      <w:rFonts w:ascii="仿宋_GB2312" w:hAnsi="仿宋_GB2312" w:cs="仿宋_GB2312" w:eastAsia="仿宋_GB2312"/>
                      <w:sz w:val="18"/>
                      <w:color w:val="000000"/>
                    </w:rPr>
                    <w:t>:5年养护(施肥、除草、防病、灌溉)</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m2</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23333.45</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核心产品</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附属管理用房</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1、建筑面积： 150.06 m2</w:t>
                  </w:r>
                  <w:r>
                    <w:br/>
                  </w:r>
                  <w:r>
                    <w:rPr>
                      <w:rFonts w:ascii="仿宋_GB2312" w:hAnsi="仿宋_GB2312" w:cs="仿宋_GB2312" w:eastAsia="仿宋_GB2312"/>
                      <w:sz w:val="18"/>
                      <w:color w:val="000000"/>
                    </w:rPr>
                    <w:t>2、根据甲方使用需求，依据建设规范和设计图，进行规范施工（详见图纸）</w:t>
                  </w:r>
                  <w:r>
                    <w:br/>
                  </w:r>
                  <w:r>
                    <w:rPr>
                      <w:rFonts w:ascii="仿宋_GB2312" w:hAnsi="仿宋_GB2312" w:cs="仿宋_GB2312" w:eastAsia="仿宋_GB2312"/>
                      <w:sz w:val="18"/>
                      <w:color w:val="000000"/>
                    </w:rPr>
                    <w:t>3.暂按综合单价：31万元/座</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座</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18"/>
              </w:rPr>
              <w:t>注：</w:t>
            </w:r>
            <w:r>
              <w:rPr>
                <w:rFonts w:ascii="仿宋_GB2312" w:hAnsi="仿宋_GB2312" w:cs="仿宋_GB2312" w:eastAsia="仿宋_GB2312"/>
                <w:sz w:val="18"/>
              </w:rPr>
              <w:t>1、</w:t>
            </w:r>
            <w:r>
              <w:rPr>
                <w:rFonts w:ascii="仿宋_GB2312" w:hAnsi="仿宋_GB2312" w:cs="仿宋_GB2312" w:eastAsia="仿宋_GB2312"/>
                <w:sz w:val="18"/>
              </w:rPr>
              <w:t>本项目中附属管理用房允许进行分包（分包单位必须具备建筑工程施工总承包三级及以上资质，同时具备有效的安全生产许可证）</w:t>
            </w:r>
          </w:p>
          <w:p>
            <w:pPr>
              <w:pStyle w:val="null3"/>
              <w:ind w:firstLine="360"/>
              <w:jc w:val="both"/>
            </w:pPr>
            <w:r>
              <w:rPr>
                <w:rFonts w:ascii="仿宋_GB2312" w:hAnsi="仿宋_GB2312" w:cs="仿宋_GB2312" w:eastAsia="仿宋_GB2312"/>
                <w:sz w:val="18"/>
              </w:rPr>
              <w:t>2、中小企业声明函必须按照财政部财〔2020]46号关于印发《政府采购促进中小企业发展管理办法》执行，“标的名称”逐条按照设备清单名称填写。</w:t>
            </w:r>
          </w:p>
          <w:p>
            <w:pPr>
              <w:pStyle w:val="null3"/>
              <w:ind w:firstLine="360"/>
              <w:jc w:val="both"/>
            </w:pPr>
            <w:r>
              <w:rPr>
                <w:rFonts w:ascii="仿宋_GB2312" w:hAnsi="仿宋_GB2312" w:cs="仿宋_GB2312" w:eastAsia="仿宋_GB2312"/>
                <w:sz w:val="18"/>
              </w:rPr>
              <w:t>3、供应商交货时须提供该批苗木的检疫证明报告原件，不提供检疫证明的采购人拒绝验收。供应商须在响应文件中提供承诺函并加盖供应商公章（格式自拟）。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2026年12月底之前完工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进度款，合同签订生效后，清林整地、施基肥、起垄、开沟，形成苗床，具备栽植幼苗条件并验收合格后，达到付款条件起14个工作日内，支付合同总金额的30.0%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进度款，项目实施中，根据甲方要求完成指定数额幼苗数量（面积和株数）栽植，完成水肥管理并验收合格后，达到付款条件起14个工作日内，支付合同总金额的50.0%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进度款，项目实施后，完成整体项目进度，通过竣工验收总要求，达到付款条件起14个工作日内，支付合同总金额的20.0%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符合国家质量验收规范“合格”要求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自总体验收合格日起，质保期1年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因违约或终止合同而引起的损失和损害的赔偿，委托单位与供应商之间应当协商解决;如未能达成一致，协商或调解不成的，根据双方约定提交仲裁，或向项目所在地人民法院提起诉讼。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要求获得采购合同的供应商将100%分包给一家或多家中小企业或参与的供应商（联合体）提供的货物全部由符合政策要求的中小企业制造。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分包情况</w:t>
            </w:r>
          </w:p>
        </w:tc>
        <w:tc>
          <w:tcPr>
            <w:tcW w:type="dxa" w:w="3322"/>
          </w:tcPr>
          <w:p>
            <w:pPr>
              <w:pStyle w:val="null3"/>
            </w:pPr>
            <w:r>
              <w:rPr>
                <w:rFonts w:ascii="仿宋_GB2312" w:hAnsi="仿宋_GB2312" w:cs="仿宋_GB2312" w:eastAsia="仿宋_GB2312"/>
              </w:rPr>
              <w:t>本项目中附属管理用房部分允许分包（分包单位必须具备建筑工程施工总承包三级及以上资质，同时具备有效的安全生产许可证)；如若供应商不分包，需提供相应的证明材料。（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人员配备.pdf 服务方案.pdf 中小企业声明函 商务应答表 报价表 拟分包项目情况表.pdf 企业业绩.pdf 响应文件封面 供应商认为需要提交的其他材料.pdf 分项报价表.docx 产品技术参数表 残疾人福利性单位声明函 供应商应提交的相关资格证明材料.pdf 标的清单 磋商保证金.pdf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按照磋商文件要求提交保证金</w:t>
            </w:r>
          </w:p>
        </w:tc>
        <w:tc>
          <w:tcPr>
            <w:tcW w:type="dxa" w:w="1661"/>
          </w:tcPr>
          <w:p>
            <w:pPr>
              <w:pStyle w:val="null3"/>
            </w:pPr>
            <w:r>
              <w:rPr>
                <w:rFonts w:ascii="仿宋_GB2312" w:hAnsi="仿宋_GB2312" w:cs="仿宋_GB2312" w:eastAsia="仿宋_GB2312"/>
              </w:rPr>
              <w:t>磋商保证金.pdf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符合磋商文件中规定的其他实质性要求</w:t>
            </w:r>
          </w:p>
        </w:tc>
        <w:tc>
          <w:tcPr>
            <w:tcW w:type="dxa" w:w="1661"/>
          </w:tcPr>
          <w:p>
            <w:pPr>
              <w:pStyle w:val="null3"/>
            </w:pPr>
            <w:r>
              <w:rPr>
                <w:rFonts w:ascii="仿宋_GB2312" w:hAnsi="仿宋_GB2312" w:cs="仿宋_GB2312" w:eastAsia="仿宋_GB2312"/>
              </w:rPr>
              <w:t>人员配备.pdf 服务方案.pdf 中小企业声明函 商务应答表 报价表 拟分包项目情况表.pdf 企业业绩.pdf 响应文件封面 供应商认为需要提交的其他材料.pdf 分项报价表.docx 产品技术参数表 残疾人福利性单位声明函 供应商应提交的相关资格证明材料.pdf 标的清单 磋商保证金.pdf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针对本项目提供完整、合理、详细的实施方案，方案包含：①项目组织和人员安排；②服务人员组织管理制度；③采购运输；④质量保证措施；⑤供货计划与进度保障；⑥验收及交接计划。 二、赋分标准 1、完整性：方案内容完整全面，对上述各项内容均有描述及说明，得6分；缺1项，得5分；缺2项，得4分；缺3项至5项，得1分。 2、针对性：针对性强，得3分；针对性一般，得1.5分；缺乏针对性，不得分。 3、可实施性:可实施性强,得3分；可实施性一般，得1.5分；缺乏可实施性,不得分。 4、不提供此项的,不得分。（注：评审标准释义（评审方案通用） 1、针对性: (1)针对性强:方案能够完全切合本项目实际情况。 (2)针对性一般:方案中多数内容能够切合本项目实际情况，存在至少一处不适用本项目实际的内容。 (3)缺乏针对性:方案描述不符合本项目采购情况，存在明显用其他项目方案的内容。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 品种适宜当地气候、土壤、种植情况，品种纯度、净度、水分指标、健康度，检疫性有害生物、产品健康检测、种传病害防控措施，检测机制，产品各批次检测、留样、追溯体系。包含：①品种适应性；②质量检测与控制；③产品质量指标；④包装、标识、储存方案；⑤检疫与安全性。 二、赋分标准 1、完整性:方案内容完整全面，对上述各项内容均有描述及说明,得5分；缺1项,得4分；缺2项,得3分；缺3项至4项，得1分。 2、针对性：针对性强，得3分；针对性一般，得1.5分；缺乏针对性，不得分。 3、可实施性:可实施性强，得3分；可实施性一般，得1.5分；缺乏可实施性,不得分。 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种植日常维护和管理</w:t>
            </w:r>
          </w:p>
        </w:tc>
        <w:tc>
          <w:tcPr>
            <w:tcW w:type="dxa" w:w="2492"/>
          </w:tcPr>
          <w:p>
            <w:pPr>
              <w:pStyle w:val="null3"/>
            </w:pPr>
            <w:r>
              <w:rPr>
                <w:rFonts w:ascii="仿宋_GB2312" w:hAnsi="仿宋_GB2312" w:cs="仿宋_GB2312" w:eastAsia="仿宋_GB2312"/>
              </w:rPr>
              <w:t>一、评审内容 针对项目实际情况提出切实可行有具体措施的抚育质量保证方案及具体的管护措施：内容包括：①选地与整地；② 挖穴；③栽植要点；④中耕除草；⑤病虫害防治。 二、赋分标准 1、完整性:方案内容完整全面，对上述各项内容均有描述及说明,得5分；缺1项,得4分；缺2项，得3分；缺3项,得2分；缺4项至5项，得1分。 2、针对性：针对性强，得3分；针对性一般，得1.5分；缺乏针对性，不得分。 3、可实施性:可实施性强，得3分；可实施性一般，得1.5分；缺乏可实施性,不得分。 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风险防控措施</w:t>
            </w:r>
          </w:p>
        </w:tc>
        <w:tc>
          <w:tcPr>
            <w:tcW w:type="dxa" w:w="2492"/>
          </w:tcPr>
          <w:p>
            <w:pPr>
              <w:pStyle w:val="null3"/>
            </w:pPr>
            <w:r>
              <w:rPr>
                <w:rFonts w:ascii="仿宋_GB2312" w:hAnsi="仿宋_GB2312" w:cs="仿宋_GB2312" w:eastAsia="仿宋_GB2312"/>
              </w:rPr>
              <w:t>一、评审内容 针对本项目提供易发生的病虫害、生长竞争等问题，制定具体防控措施方案。内容包括：①源头防控措施；②病虫害防治措施；③过程监测与应急防控措施。二、赋分标准 1、完整性:方案内容完整全面，对上述各项内容均有描述及说明,得3分；缺1项,得2分；缺2项至3项，得1分。 2、针对性：针对性强，得3分；针对性一般，得1.5分；缺乏针对性，不得分。 3、可实施性:可实施性强，得3分；可实施性一般，得1.5分；缺乏可实施性,不得分。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拟投入机械设备</w:t>
            </w:r>
          </w:p>
        </w:tc>
        <w:tc>
          <w:tcPr>
            <w:tcW w:type="dxa" w:w="2492"/>
          </w:tcPr>
          <w:p>
            <w:pPr>
              <w:pStyle w:val="null3"/>
            </w:pPr>
            <w:r>
              <w:rPr>
                <w:rFonts w:ascii="仿宋_GB2312" w:hAnsi="仿宋_GB2312" w:cs="仿宋_GB2312" w:eastAsia="仿宋_GB2312"/>
              </w:rPr>
              <w:t>针对本项目实际情况投入的机械设备情况：包含:①机械设备投入情况；②机械设备保障措施。 二、赋分标准 1、完整性:方案内容完整全面，对上述各项内容均有描述及说明,得3分；缺1项,得1.5分。 2、针对性：针对性强，得1分；针对性一般，得0.5分；缺乏针对性，不得分。 3、可实施性:可实施性强，得1分；可实施性一般，得0.5分；缺乏可实施性,不得分。 4、不提供此项的，不得分。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本项目的服务内容，做出切实可行的服务承诺，确保项目能按时按质完成，达到服务要求且能保证项目质量。包含:①项目能按时按质完成承诺；②产品售后、补种承诺；③病虫害应急处置、技术支持响应承诺；④产品成活率保证承诺。 二、赋分标准：每提供一个承诺书得1分，最高4分。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 评审内容 项目负责人、项目组成员搭配合理。 二. 评审标准项目负责人：需提供相关专业中级及以上职称证书 ；项目组成员：需提供相关专业初级及以上职称证书或相应岗位证书，人员分工覆盖技术指导、安全管理、现场作业。 三. 赋分标准： ①项目负责人符合要求得2分，否则0分；②项目组成员每1名符合要求人员得1分，最高4分（未提供证明材料不得分）。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 评审内容 2023年1月1日至今完成的类似项目业绩。 二. 评审标准 需提供成交通知书或协议合同。 三. 赋分标准 每提供1份有效业绩得1分，满分3分（不重复累计）。</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采购标的技术参数清楚、明确。 二、赋分标准 能全部响应磋商文件所有参数要求,得9分；有负偏离每项扣1分,扣完为止；以技术偏离表为准。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详见附件：人员配备.pdf</w:t>
      </w:r>
    </w:p>
    <w:p>
      <w:pPr>
        <w:pStyle w:val="null3"/>
        <w:ind w:firstLine="960"/>
      </w:pPr>
      <w:r>
        <w:rPr>
          <w:rFonts w:ascii="仿宋_GB2312" w:hAnsi="仿宋_GB2312" w:cs="仿宋_GB2312" w:eastAsia="仿宋_GB2312"/>
        </w:rPr>
        <w:t>详见附件：企业业绩.pdf</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详见附件：磋商保证金.pdf</w:t>
      </w:r>
    </w:p>
    <w:p>
      <w:pPr>
        <w:pStyle w:val="null3"/>
        <w:ind w:firstLine="960"/>
      </w:pPr>
      <w:r>
        <w:rPr>
          <w:rFonts w:ascii="仿宋_GB2312" w:hAnsi="仿宋_GB2312" w:cs="仿宋_GB2312" w:eastAsia="仿宋_GB2312"/>
        </w:rPr>
        <w:t>详见附件：拟分包项目情况表.pdf</w:t>
      </w:r>
    </w:p>
    <w:p>
      <w:pPr>
        <w:pStyle w:val="null3"/>
        <w:ind w:firstLine="960"/>
      </w:pPr>
      <w:r>
        <w:rPr>
          <w:rFonts w:ascii="仿宋_GB2312" w:hAnsi="仿宋_GB2312" w:cs="仿宋_GB2312" w:eastAsia="仿宋_GB2312"/>
        </w:rPr>
        <w:t>详见附件：供应商认为需要提交的其他材料.pdf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详见附件：政府采购合同主要条款格式.docx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