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CC4A3">
      <w:pPr>
        <w:keepNext w:val="0"/>
        <w:keepLines w:val="0"/>
        <w:pageBreakBefore w:val="0"/>
        <w:overflowPunct/>
        <w:topLinePunct w:val="0"/>
        <w:autoSpaceDE/>
        <w:autoSpaceDN/>
        <w:bidi w:val="0"/>
        <w:spacing w:beforeAutospacing="0" w:afterAutospacing="0" w:line="360" w:lineRule="auto"/>
        <w:ind w:left="0" w:leftChars="0" w:right="0" w:rightChars="0"/>
        <w:jc w:val="center"/>
        <w:rPr>
          <w:rFonts w:hint="eastAsia" w:ascii="宋体" w:hAnsi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  <w:lang w:eastAsia="zh-CN"/>
        </w:rPr>
        <w:t>宜川县2024年耕地资源分区分类评价年度更新工作服务采购项目</w:t>
      </w:r>
    </w:p>
    <w:p w14:paraId="3C2DE490">
      <w:pPr>
        <w:keepNext w:val="0"/>
        <w:keepLines w:val="0"/>
        <w:pageBreakBefore w:val="0"/>
        <w:overflowPunct/>
        <w:topLinePunct w:val="0"/>
        <w:autoSpaceDE/>
        <w:autoSpaceDN/>
        <w:bidi w:val="0"/>
        <w:spacing w:beforeAutospacing="0" w:afterAutospacing="0" w:line="360" w:lineRule="auto"/>
        <w:ind w:left="0" w:leftChars="0" w:right="0" w:rightChars="0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采购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  <w:lang w:val="en-US" w:eastAsia="zh-CN"/>
        </w:rPr>
        <w:t>需求</w:t>
      </w:r>
    </w:p>
    <w:p w14:paraId="62CD32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一、采购内容</w:t>
      </w:r>
    </w:p>
    <w:p w14:paraId="1E388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按照宜川县2024年耕地资源分区分类评价年度更新工作的实际情况，以《第三次全国国土调查耕地资源质量分类技术要求》、《陕西省2025年度耕地资源分区分类评价更新技术手册》（2025年6月）为</w:t>
      </w:r>
      <w:bookmarkStart w:id="0" w:name="_GoBack"/>
      <w:bookmarkEnd w:id="0"/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依据，采用资料分析与补充调查、常规手段与计算机技术相结合的方法，进行耕地资源质量分类更新与监测，并按照要求完成宜川县2024年耕地资源分区分类评价年度更新工作，具体工作内容包括：</w:t>
      </w:r>
    </w:p>
    <w:p w14:paraId="14715D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（1）生成年度更新层</w:t>
      </w:r>
    </w:p>
    <w:p w14:paraId="0C430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 xml:space="preserve"> ① 制作年度更新工作底图；</w:t>
      </w:r>
    </w:p>
    <w:p w14:paraId="156D2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 xml:space="preserve"> ② 生成年度更新层。</w:t>
      </w:r>
    </w:p>
    <w:p w14:paraId="6607A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（2）确定并布设调查样点</w:t>
      </w:r>
    </w:p>
    <w:p w14:paraId="01374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（3）开展外业调查</w:t>
      </w:r>
    </w:p>
    <w:p w14:paraId="6308E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（4）获取更新层分类指标属性</w:t>
      </w:r>
    </w:p>
    <w:p w14:paraId="4E6A0B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①土壤条件分类指标数据获取；</w:t>
      </w:r>
    </w:p>
    <w:p w14:paraId="0A17D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②其他分类指标数据获取（其他分类指标主要涉及：自然区和熟制、坡度和二级地类、生物多样性、土壤污染状况等）</w:t>
      </w:r>
    </w:p>
    <w:p w14:paraId="0E2CC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（5）生成年度更新数据库</w:t>
      </w:r>
    </w:p>
    <w:p w14:paraId="4D629A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（6）成果检查汇总上报</w:t>
      </w:r>
    </w:p>
    <w:p w14:paraId="1B6C47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（7）成果分析与总结</w:t>
      </w:r>
    </w:p>
    <w:p w14:paraId="115B8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二、服务要求</w:t>
      </w:r>
    </w:p>
    <w:p w14:paraId="208F7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1、符合政策支持；</w:t>
      </w:r>
    </w:p>
    <w:p w14:paraId="6C10E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2、符合宜川经济社会发展总体战略；</w:t>
      </w:r>
    </w:p>
    <w:p w14:paraId="297F84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3、《中华人民共和国土地管理法》；</w:t>
      </w:r>
    </w:p>
    <w:p w14:paraId="21EED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4、《延安市市级财政项目预算绩效评价实施办法》；</w:t>
      </w:r>
    </w:p>
    <w:p w14:paraId="2729A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5、《建设用地审查报批会审管理办法》</w:t>
      </w:r>
    </w:p>
    <w:p w14:paraId="34523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三、验收步骤</w:t>
      </w:r>
    </w:p>
    <w:p w14:paraId="5CB4C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技术单位完成数据提交等工作后，将数据等资料提交自然资源局，由自然资源局组织人员按照相关文件要求进行验收。</w:t>
      </w:r>
    </w:p>
    <w:p w14:paraId="1CB4D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/>
          <w:b/>
          <w:bCs/>
          <w:color w:val="auto"/>
          <w:sz w:val="24"/>
          <w:highlight w:val="none"/>
          <w:lang w:eastAsia="zh-CN"/>
        </w:rPr>
        <w:t>四</w:t>
      </w:r>
      <w:r>
        <w:rPr>
          <w:rFonts w:hint="eastAsia"/>
          <w:b/>
          <w:bCs/>
          <w:color w:val="auto"/>
          <w:sz w:val="24"/>
          <w:highlight w:val="none"/>
        </w:rPr>
        <w:t>、服务期限：</w:t>
      </w: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自合同签订之日起180日历天。</w:t>
      </w:r>
    </w:p>
    <w:p w14:paraId="512DB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kern w:val="2"/>
          <w:sz w:val="24"/>
          <w:szCs w:val="20"/>
          <w:highlight w:val="none"/>
          <w:lang w:val="en-US" w:eastAsia="zh-CN" w:bidi="ar-SA"/>
        </w:rPr>
        <w:t>五、质量标准：</w:t>
      </w:r>
      <w:r>
        <w:rPr>
          <w:rFonts w:hint="eastAsia" w:ascii="Times New Roman" w:hAnsi="Times New Roman" w:eastAsia="宋体" w:cs="Times New Roman"/>
          <w:bCs/>
          <w:color w:val="auto"/>
          <w:kern w:val="2"/>
          <w:sz w:val="24"/>
          <w:szCs w:val="20"/>
          <w:highlight w:val="none"/>
          <w:lang w:val="en-US" w:eastAsia="zh-CN" w:bidi="ar-SA"/>
        </w:rPr>
        <w:t>符合国家及行业相关标准。</w:t>
      </w:r>
    </w:p>
    <w:p w14:paraId="6D80DE79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13BE0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1F5A60">
                          <w:pPr>
                            <w:pStyle w:val="5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F1F5A60">
                    <w:pPr>
                      <w:pStyle w:val="5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54771A"/>
    <w:rsid w:val="3354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4">
    <w:name w:val="heading 6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 w:line="17" w:lineRule="atLeast"/>
      <w:ind w:left="0" w:right="0"/>
      <w:jc w:val="left"/>
      <w:outlineLvl w:val="5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5">
    <w:name w:val="footer"/>
    <w:basedOn w:val="1"/>
    <w:next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6">
    <w:name w:val="Normal (Web)"/>
    <w:basedOn w:val="1"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2026-06-25T13:24:00Z</dcterms:created>
  <dc:creator>陕西七一项目管理有限公司</dc:creator>
  <cp:lastModifiedBy>陕西七一项目管理有限公司</cp:lastModifiedBy>
  <dcterms:modified xsi:type="dcterms:W3CDTF">2026-06-25T13:36:48Z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09598A9FE2654C8AB798FD509CCFE5BC_11</vt:lpwstr>
  </property>
  <property fmtid="{D5CDD505-2E9C-101B-9397-08002B2CF9AE}" pid="4" name="KSOTemplateDocerSaveRecord">
    <vt:lpwstr>eyJoZGlkIjoiNWMzMmMwMDJiZDAxNDIzYjZhOGMxNDI1Yzk3ZWZiYTMiLCJ1c2VySWQiOiIyNDgzOTAxODgifQ==</vt:lpwstr>
  </property>
</Properties>
</file>