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版本号：YXZB-2026-050820260522001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2026年临潼法院电子卷宗随案生成服务项目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YXZB-2026-0508</w:t>
      </w:r>
      <w:r>
        <w:br/>
      </w:r>
      <w:r>
        <w:br/>
      </w:r>
      <w:r>
        <w:br/>
      </w:r>
    </w:p>
    <w:p>
      <w:pPr>
        <w:pStyle w:val="null3"/>
        <w:jc w:val="center"/>
        <w:outlineLvl w:val="2"/>
      </w:pPr>
      <w:r>
        <w:rPr>
          <w:rFonts w:ascii="仿宋_GB2312" w:hAnsi="仿宋_GB2312" w:cs="仿宋_GB2312" w:eastAsia="仿宋_GB2312"/>
          <w:sz w:val="28"/>
          <w:b/>
        </w:rPr>
        <w:t>西安市临潼区人民法院[161]</w:t>
      </w:r>
    </w:p>
    <w:p>
      <w:pPr>
        <w:pStyle w:val="null3"/>
        <w:jc w:val="center"/>
        <w:outlineLvl w:val="2"/>
      </w:pPr>
      <w:r>
        <w:rPr>
          <w:rFonts w:ascii="仿宋_GB2312" w:hAnsi="仿宋_GB2312" w:cs="仿宋_GB2312" w:eastAsia="仿宋_GB2312"/>
          <w:sz w:val="28"/>
          <w:b/>
        </w:rPr>
        <w:t>陕西玥鑫项目管理有限公司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陕西玥鑫项目管理有限公司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西安市临潼区人民法院[161]</w:t>
      </w:r>
      <w:r>
        <w:rPr>
          <w:rFonts w:ascii="仿宋_GB2312" w:hAnsi="仿宋_GB2312" w:cs="仿宋_GB2312" w:eastAsia="仿宋_GB2312"/>
        </w:rPr>
        <w:t>委托，拟对</w:t>
      </w:r>
      <w:r>
        <w:rPr>
          <w:rFonts w:ascii="仿宋_GB2312" w:hAnsi="仿宋_GB2312" w:cs="仿宋_GB2312" w:eastAsia="仿宋_GB2312"/>
        </w:rPr>
        <w:t>2026年临潼法院电子卷宗随案生成服务项目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YXZB-2026-0508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2026年临潼法院电子卷宗随案生成服务项目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落实司法信息化、智慧法院建设，推进案件线上办理、卷宗数字化流转，解决传统纸质卷宗存储难、查阅慢、易损耗、调卷不便、办案效率低等问题，通过电子卷宗信息建设，实现西安市临潼区人民法院卷宗管理数字化、规范化、智能化，减少纸质卷宗使用，节约办案成本，提高法官办案效率，为智慧法院建设、一站式诉讼服务提供基础数据支撑，助力司法公正高效，采购需满足临潼区人民法院“电子卷宗随案同步生成”工作内容的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采购包1（2026年临潼法院电子卷宗随案生成服务项目）：属于专门面向中小企业采购。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供应商需提供具有财务审计资质单位出具的2025年度财务报告或开标前六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3、税收缴纳证明：提供已缴纳的2025年10月1日以来至少一个月的纳税证明或完税证明，纳税证明或完税证明上应有代收机构或税务机关的公章或业务专用章。依法免税的投标人应提供相关文件证明。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社保缴纳证明：提供已缴纳的2025年10月1日以来至少一个月的社会保障资金缴存单据或社保机构开具的社会保险参保缴费情况证明。成立时间至提交投标文件截止时间不足一个月或依法不需要缴纳社会保障资金的投标人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6、信用记录：投标供应商不得被“信用中国"（www.creditch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p>
      <w:pPr>
        <w:pStyle w:val="null3"/>
      </w:pPr>
      <w:r>
        <w:rPr>
          <w:rFonts w:ascii="仿宋_GB2312" w:hAnsi="仿宋_GB2312" w:cs="仿宋_GB2312" w:eastAsia="仿宋_GB2312"/>
        </w:rPr>
        <w:t>7、法定代表人授权委托书：法定代表人直接参加投标的须出具法定代表人身份证（须与营业执照上信息一致），法定代表人授权代表参加投标的须出具法定代表人授权书及授权代表身份证。</w:t>
      </w:r>
    </w:p>
    <w:p>
      <w:pPr>
        <w:pStyle w:val="null3"/>
      </w:pPr>
      <w:r>
        <w:rPr>
          <w:rFonts w:ascii="仿宋_GB2312" w:hAnsi="仿宋_GB2312" w:cs="仿宋_GB2312" w:eastAsia="仿宋_GB2312"/>
        </w:rPr>
        <w:t>8、控股、管理关系：单位负责人为同一人或者存在控股、管理关系 的不同单位，不得同时参加同一项目的投标。</w:t>
      </w:r>
    </w:p>
    <w:p>
      <w:pPr>
        <w:pStyle w:val="null3"/>
      </w:pPr>
      <w:r>
        <w:rPr>
          <w:rFonts w:ascii="仿宋_GB2312" w:hAnsi="仿宋_GB2312" w:cs="仿宋_GB2312" w:eastAsia="仿宋_GB2312"/>
        </w:rPr>
        <w:t>9、联合体投标及分包：本项目不接受联合体投标，不允许分包。</w:t>
      </w:r>
    </w:p>
    <w:p>
      <w:pPr>
        <w:pStyle w:val="null3"/>
      </w:pPr>
      <w:r>
        <w:rPr>
          <w:rFonts w:ascii="仿宋_GB2312" w:hAnsi="仿宋_GB2312" w:cs="仿宋_GB2312" w:eastAsia="仿宋_GB2312"/>
        </w:rPr>
        <w:t>10、企业资质：投标人须具备国家保密局颁发的乙级及以上的涉密档案数字化加工的“国家秘密载体印制资质证书”。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西安市临潼区人民法院[161]</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西安市临潼区人民北路4号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029-83812205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陕西玥鑫项目管理有限公司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西安市高新区泰维智链中心一期B座2层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陕西玥鑫项目管理有限公司经办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17389208679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代理服务费收费标准：1.招标代理服务费收取参考国家计委颁布的《招标代理服务收费管理暂行办法》（计价格[2002]1980号）和（发改办价格[2003]857号）文收费标准计取，2.单位名称：陕西玥鑫项目管理有限公司 开户银行：中国建设银行股份有限公司西安祥和居支行 银行账户：61050110194800000615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西安市临潼区人民法院[161]</w:t>
      </w:r>
      <w:r>
        <w:rPr>
          <w:rFonts w:ascii="仿宋_GB2312" w:hAnsi="仿宋_GB2312" w:cs="仿宋_GB2312" w:eastAsia="仿宋_GB2312"/>
        </w:rPr>
        <w:t>和</w:t>
      </w:r>
      <w:r>
        <w:rPr>
          <w:rFonts w:ascii="仿宋_GB2312" w:hAnsi="仿宋_GB2312" w:cs="仿宋_GB2312" w:eastAsia="仿宋_GB2312"/>
        </w:rPr>
        <w:t>陕西玥鑫项目管理有限公司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西安市临潼区人民法院[161]</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陕西玥鑫项目管理有限公司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西安市临潼区人民法院[161]</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陕西玥鑫项目管理有限公司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以后续签定合同为准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联系人：玥鑫经办</w:t>
      </w:r>
    </w:p>
    <w:p>
      <w:pPr>
        <w:pStyle w:val="null3"/>
      </w:pPr>
      <w:r>
        <w:rPr>
          <w:rFonts w:ascii="仿宋_GB2312" w:hAnsi="仿宋_GB2312" w:cs="仿宋_GB2312" w:eastAsia="仿宋_GB2312"/>
        </w:rPr>
        <w:t>联系电话：17389208679</w:t>
      </w:r>
    </w:p>
    <w:p>
      <w:pPr>
        <w:pStyle w:val="null3"/>
      </w:pPr>
      <w:r>
        <w:rPr>
          <w:rFonts w:ascii="仿宋_GB2312" w:hAnsi="仿宋_GB2312" w:cs="仿宋_GB2312" w:eastAsia="仿宋_GB2312"/>
        </w:rPr>
        <w:t>地址：西安市高新区泰维智链中心一期B座2层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落实司法信息化、智慧法院建设，推进案件线上办理、卷宗数字化流转，解决传统纸质卷宗存储难、查阅慢、易损耗、调卷不便、办案效率低等问题，通过电子卷宗信息建设，实现西安市临潼区人民法院卷宗管理数字化、规范化、智能化，减少纸质卷宗使用，节约办案成本，提高法官办案效率，为智慧法院建设、一站式诉讼服务提供基础数据支撑，助力司法公正高效，采购需满足临潼区人民法院“电子卷宗随案同步生成”工作内容的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913,000.00</w:t>
      </w:r>
    </w:p>
    <w:p>
      <w:pPr>
        <w:pStyle w:val="null3"/>
      </w:pPr>
      <w:r>
        <w:rPr>
          <w:rFonts w:ascii="仿宋_GB2312" w:hAnsi="仿宋_GB2312" w:cs="仿宋_GB2312" w:eastAsia="仿宋_GB2312"/>
        </w:rPr>
        <w:t>采购包最高限价（元）: 913,000.00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2026年临潼法院电子卷宗随案生成服务项目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913,000.00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标的名称：2026年临潼法院电子卷宗随案生成服务项目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spacing w:after="165"/>
              <w:ind w:firstLine="480"/>
            </w:pPr>
            <w:r>
              <w:rPr>
                <w:rFonts w:ascii="仿宋_GB2312" w:hAnsi="仿宋_GB2312" w:cs="仿宋_GB2312" w:eastAsia="仿宋_GB2312"/>
                <w:sz w:val="24"/>
              </w:rPr>
              <w:t>为落实司法信息化、智慧法院建设，推进案件线上办理、卷宗数字化流转，解决传统纸质卷宗存储难、查阅慢、易损耗、调卷不便、办案效率低等问题，通过电子卷宗信息建设，实现</w:t>
            </w:r>
            <w:r>
              <w:rPr>
                <w:rFonts w:ascii="仿宋_GB2312" w:hAnsi="仿宋_GB2312" w:cs="仿宋_GB2312" w:eastAsia="仿宋_GB2312"/>
                <w:sz w:val="24"/>
              </w:rPr>
              <w:t>西安市</w:t>
            </w:r>
            <w:r>
              <w:rPr>
                <w:rFonts w:ascii="仿宋_GB2312" w:hAnsi="仿宋_GB2312" w:cs="仿宋_GB2312" w:eastAsia="仿宋_GB2312"/>
                <w:sz w:val="24"/>
              </w:rPr>
              <w:t>临潼</w:t>
            </w:r>
            <w:r>
              <w:rPr>
                <w:rFonts w:ascii="仿宋_GB2312" w:hAnsi="仿宋_GB2312" w:cs="仿宋_GB2312" w:eastAsia="仿宋_GB2312"/>
                <w:sz w:val="24"/>
              </w:rPr>
              <w:t>区人民</w:t>
            </w:r>
            <w:r>
              <w:rPr>
                <w:rFonts w:ascii="仿宋_GB2312" w:hAnsi="仿宋_GB2312" w:cs="仿宋_GB2312" w:eastAsia="仿宋_GB2312"/>
                <w:sz w:val="24"/>
              </w:rPr>
              <w:t>法院卷宗管理数字化、规范化、智能化，减少纸质卷宗使用，节约办案成本，提高法官办案效率，为智慧法院建设、一站式诉讼服务提供基础数据支撑，助力司法公正高效，</w:t>
            </w:r>
            <w:r>
              <w:rPr>
                <w:rFonts w:ascii="仿宋_GB2312" w:hAnsi="仿宋_GB2312" w:cs="仿宋_GB2312" w:eastAsia="仿宋_GB2312"/>
                <w:sz w:val="24"/>
              </w:rPr>
              <w:t>采购需满足临潼区人民法院</w:t>
            </w:r>
            <w:r>
              <w:rPr>
                <w:rFonts w:ascii="仿宋_GB2312" w:hAnsi="仿宋_GB2312" w:cs="仿宋_GB2312" w:eastAsia="仿宋_GB2312"/>
                <w:sz w:val="24"/>
              </w:rPr>
              <w:t>“</w:t>
            </w:r>
            <w:r>
              <w:rPr>
                <w:rFonts w:ascii="仿宋_GB2312" w:hAnsi="仿宋_GB2312" w:cs="仿宋_GB2312" w:eastAsia="仿宋_GB2312"/>
                <w:sz w:val="24"/>
              </w:rPr>
              <w:t>电子卷宗随案</w:t>
            </w:r>
            <w:r>
              <w:rPr>
                <w:rFonts w:ascii="仿宋_GB2312" w:hAnsi="仿宋_GB2312" w:cs="仿宋_GB2312" w:eastAsia="仿宋_GB2312"/>
                <w:sz w:val="24"/>
              </w:rPr>
              <w:t>同步</w:t>
            </w:r>
            <w:r>
              <w:rPr>
                <w:rFonts w:ascii="仿宋_GB2312" w:hAnsi="仿宋_GB2312" w:cs="仿宋_GB2312" w:eastAsia="仿宋_GB2312"/>
                <w:sz w:val="24"/>
              </w:rPr>
              <w:t>生成</w:t>
            </w:r>
            <w:r>
              <w:rPr>
                <w:rFonts w:ascii="仿宋_GB2312" w:hAnsi="仿宋_GB2312" w:cs="仿宋_GB2312" w:eastAsia="仿宋_GB2312"/>
                <w:sz w:val="24"/>
              </w:rPr>
              <w:t>”</w:t>
            </w:r>
            <w:r>
              <w:rPr>
                <w:rFonts w:ascii="仿宋_GB2312" w:hAnsi="仿宋_GB2312" w:cs="仿宋_GB2312" w:eastAsia="仿宋_GB2312"/>
                <w:sz w:val="24"/>
              </w:rPr>
              <w:t>工作内容</w:t>
            </w:r>
            <w:r>
              <w:rPr>
                <w:rFonts w:ascii="仿宋_GB2312" w:hAnsi="仿宋_GB2312" w:cs="仿宋_GB2312" w:eastAsia="仿宋_GB2312"/>
                <w:sz w:val="24"/>
              </w:rPr>
              <w:t>的</w:t>
            </w:r>
            <w:r>
              <w:rPr>
                <w:rFonts w:ascii="仿宋_GB2312" w:hAnsi="仿宋_GB2312" w:cs="仿宋_GB2312" w:eastAsia="仿宋_GB2312"/>
                <w:sz w:val="24"/>
              </w:rPr>
              <w:t>需求。</w:t>
            </w:r>
          </w:p>
          <w:p>
            <w:pPr>
              <w:pStyle w:val="null3"/>
              <w:spacing w:after="165"/>
              <w:ind w:firstLine="480"/>
            </w:pPr>
            <w:r>
              <w:rPr>
                <w:rFonts w:ascii="仿宋_GB2312" w:hAnsi="仿宋_GB2312" w:cs="仿宋_GB2312" w:eastAsia="仿宋_GB2312"/>
                <w:sz w:val="24"/>
                <w:b/>
              </w:rPr>
              <w:t>二、服务内容</w:t>
            </w:r>
          </w:p>
          <w:p>
            <w:pPr>
              <w:pStyle w:val="null3"/>
              <w:spacing w:after="165"/>
              <w:ind w:firstLine="480"/>
            </w:pPr>
            <w:r>
              <w:rPr>
                <w:rFonts w:ascii="仿宋_GB2312" w:hAnsi="仿宋_GB2312" w:cs="仿宋_GB2312" w:eastAsia="仿宋_GB2312"/>
                <w:sz w:val="24"/>
              </w:rPr>
              <w:t>工作内容：档案借调、目录著录、档案扫描、图像质检、扫描数据备份、档案归还等工作，档案约具体工作内容以甲方实际需求为准。</w:t>
            </w:r>
          </w:p>
          <w:p>
            <w:pPr>
              <w:pStyle w:val="null3"/>
              <w:spacing w:after="165"/>
              <w:ind w:firstLine="480"/>
            </w:pPr>
            <w:r>
              <w:rPr>
                <w:rFonts w:ascii="仿宋_GB2312" w:hAnsi="仿宋_GB2312" w:cs="仿宋_GB2312" w:eastAsia="仿宋_GB2312"/>
                <w:sz w:val="24"/>
              </w:rPr>
              <w:t>项目实施地点：西安市临潼区人民法院指定地点</w:t>
            </w:r>
          </w:p>
          <w:p>
            <w:pPr>
              <w:pStyle w:val="null3"/>
              <w:spacing w:after="165"/>
              <w:ind w:firstLine="480"/>
            </w:pPr>
            <w:r>
              <w:rPr>
                <w:rFonts w:ascii="仿宋_GB2312" w:hAnsi="仿宋_GB2312" w:cs="仿宋_GB2312" w:eastAsia="仿宋_GB2312"/>
                <w:sz w:val="24"/>
              </w:rPr>
              <w:t>项目总金额：</w:t>
            </w:r>
            <w:r>
              <w:rPr>
                <w:rFonts w:ascii="仿宋_GB2312" w:hAnsi="仿宋_GB2312" w:cs="仿宋_GB2312" w:eastAsia="仿宋_GB2312"/>
                <w:sz w:val="24"/>
                <w:u w:val="single"/>
              </w:rPr>
              <w:t>人民币</w:t>
            </w:r>
            <w:r>
              <w:rPr>
                <w:rFonts w:ascii="仿宋_GB2312" w:hAnsi="仿宋_GB2312" w:cs="仿宋_GB2312" w:eastAsia="仿宋_GB2312"/>
                <w:sz w:val="24"/>
                <w:u w:val="single"/>
              </w:rPr>
              <w:t>913000.00元</w:t>
            </w:r>
            <w:r>
              <w:rPr>
                <w:rFonts w:ascii="仿宋_GB2312" w:hAnsi="仿宋_GB2312" w:cs="仿宋_GB2312" w:eastAsia="仿宋_GB2312"/>
                <w:sz w:val="24"/>
              </w:rPr>
              <w:t>（玖拾壹万叁仟元整）</w:t>
            </w:r>
          </w:p>
          <w:p>
            <w:pPr>
              <w:pStyle w:val="null3"/>
              <w:spacing w:after="165"/>
              <w:ind w:firstLine="480"/>
            </w:pPr>
            <w:r>
              <w:rPr>
                <w:rFonts w:ascii="仿宋_GB2312" w:hAnsi="仿宋_GB2312" w:cs="仿宋_GB2312" w:eastAsia="仿宋_GB2312"/>
                <w:sz w:val="24"/>
              </w:rPr>
              <w:t>即时档案扫描：</w:t>
            </w:r>
            <w:r>
              <w:rPr>
                <w:rFonts w:ascii="仿宋_GB2312" w:hAnsi="仿宋_GB2312" w:cs="仿宋_GB2312" w:eastAsia="仿宋_GB2312"/>
                <w:sz w:val="24"/>
                <w:u w:val="single"/>
              </w:rPr>
              <w:t>约</w:t>
            </w:r>
            <w:r>
              <w:rPr>
                <w:rFonts w:ascii="仿宋_GB2312" w:hAnsi="仿宋_GB2312" w:cs="仿宋_GB2312" w:eastAsia="仿宋_GB2312"/>
                <w:sz w:val="24"/>
                <w:u w:val="single"/>
              </w:rPr>
              <w:t>190万页</w:t>
            </w:r>
          </w:p>
          <w:p>
            <w:pPr>
              <w:pStyle w:val="null3"/>
              <w:spacing w:after="165"/>
              <w:ind w:firstLine="480"/>
            </w:pPr>
            <w:r>
              <w:rPr>
                <w:rFonts w:ascii="仿宋_GB2312" w:hAnsi="仿宋_GB2312" w:cs="仿宋_GB2312" w:eastAsia="仿宋_GB2312"/>
                <w:sz w:val="24"/>
              </w:rPr>
              <w:t>电子卷宗随案同步生成</w:t>
            </w:r>
            <w:r>
              <w:rPr>
                <w:rFonts w:ascii="仿宋_GB2312" w:hAnsi="仿宋_GB2312" w:cs="仿宋_GB2312" w:eastAsia="仿宋_GB2312"/>
                <w:sz w:val="24"/>
              </w:rPr>
              <w:t>:</w:t>
            </w:r>
            <w:r>
              <w:rPr>
                <w:rFonts w:ascii="仿宋_GB2312" w:hAnsi="仿宋_GB2312" w:cs="仿宋_GB2312" w:eastAsia="仿宋_GB2312"/>
                <w:sz w:val="24"/>
                <w:u w:val="single"/>
              </w:rPr>
              <w:t>约</w:t>
            </w:r>
            <w:r>
              <w:rPr>
                <w:rFonts w:ascii="仿宋_GB2312" w:hAnsi="仿宋_GB2312" w:cs="仿宋_GB2312" w:eastAsia="仿宋_GB2312"/>
                <w:sz w:val="24"/>
                <w:u w:val="single"/>
              </w:rPr>
              <w:t>890案</w:t>
            </w:r>
          </w:p>
          <w:p>
            <w:pPr>
              <w:pStyle w:val="null3"/>
              <w:spacing w:after="165"/>
              <w:ind w:firstLine="480"/>
            </w:pPr>
            <w:r>
              <w:rPr>
                <w:rFonts w:ascii="仿宋_GB2312" w:hAnsi="仿宋_GB2312" w:cs="仿宋_GB2312" w:eastAsia="仿宋_GB2312"/>
                <w:sz w:val="24"/>
              </w:rPr>
              <w:t>分项报价最高限价</w:t>
            </w:r>
            <w:r>
              <w:rPr>
                <w:rFonts w:ascii="仿宋_GB2312" w:hAnsi="仿宋_GB2312" w:cs="仿宋_GB2312" w:eastAsia="仿宋_GB2312"/>
                <w:sz w:val="24"/>
              </w:rPr>
              <w:t>:</w:t>
            </w:r>
          </w:p>
          <w:tbl>
            <w:tblPr>
              <w:tblBorders>
                <w:top w:val="none" w:color="000000" w:sz="4"/>
                <w:left w:val="none" w:color="000000" w:sz="4"/>
                <w:bottom w:val="none" w:color="000000" w:sz="4"/>
                <w:right w:val="none" w:color="000000" w:sz="4"/>
                <w:insideH w:val="none"/>
                <w:insideV w:val="none"/>
              </w:tblBorders>
            </w:tblPr>
            <w:tblGrid>
              <w:gridCol w:w="1110"/>
              <w:gridCol w:w="558"/>
              <w:gridCol w:w="878"/>
            </w:tblGrid>
            <w:tr>
              <w:tc>
                <w:tcPr>
                  <w:tcW w:type="dxa" w:w="11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ind w:firstLine="480"/>
                  </w:pPr>
                  <w:r>
                    <w:rPr>
                      <w:rFonts w:ascii="仿宋_GB2312" w:hAnsi="仿宋_GB2312" w:cs="仿宋_GB2312" w:eastAsia="仿宋_GB2312"/>
                      <w:sz w:val="24"/>
                    </w:rPr>
                    <w:t>项    目</w:t>
                  </w:r>
                </w:p>
              </w:tc>
              <w:tc>
                <w:tcPr>
                  <w:tcW w:type="dxa" w:w="55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ind w:firstLine="480"/>
                  </w:pPr>
                  <w:r>
                    <w:rPr>
                      <w:rFonts w:ascii="仿宋_GB2312" w:hAnsi="仿宋_GB2312" w:cs="仿宋_GB2312" w:eastAsia="仿宋_GB2312"/>
                      <w:sz w:val="24"/>
                    </w:rPr>
                    <w:t>单位</w:t>
                  </w:r>
                </w:p>
              </w:tc>
              <w:tc>
                <w:tcPr>
                  <w:tcW w:type="dxa" w:w="8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ind w:firstLine="480"/>
                  </w:pPr>
                  <w:r>
                    <w:rPr>
                      <w:rFonts w:ascii="仿宋_GB2312" w:hAnsi="仿宋_GB2312" w:cs="仿宋_GB2312" w:eastAsia="仿宋_GB2312"/>
                      <w:sz w:val="24"/>
                    </w:rPr>
                    <w:t>限价（元）</w:t>
                  </w:r>
                </w:p>
              </w:tc>
            </w:tr>
            <w:tr>
              <w:tc>
                <w:tcPr>
                  <w:tcW w:type="dxa" w:w="1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即时档案扫描</w:t>
                  </w:r>
                </w:p>
              </w:tc>
              <w:tc>
                <w:tcPr>
                  <w:tcW w:type="dxa" w:w="5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ind w:firstLine="480"/>
                  </w:pPr>
                  <w:r>
                    <w:rPr>
                      <w:rFonts w:ascii="仿宋_GB2312" w:hAnsi="仿宋_GB2312" w:cs="仿宋_GB2312" w:eastAsia="仿宋_GB2312"/>
                      <w:sz w:val="24"/>
                    </w:rPr>
                    <w:t>页</w:t>
                  </w:r>
                </w:p>
              </w:tc>
              <w:tc>
                <w:tcPr>
                  <w:tcW w:type="dxa" w:w="8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ind w:firstLine="480"/>
                  </w:pPr>
                  <w:r>
                    <w:rPr>
                      <w:rFonts w:ascii="仿宋_GB2312" w:hAnsi="仿宋_GB2312" w:cs="仿宋_GB2312" w:eastAsia="仿宋_GB2312"/>
                      <w:sz w:val="24"/>
                    </w:rPr>
                    <w:t>≦0.45</w:t>
                  </w:r>
                </w:p>
              </w:tc>
            </w:tr>
            <w:tr>
              <w:tc>
                <w:tcPr>
                  <w:tcW w:type="dxa" w:w="1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电子卷宗随案同步生成</w:t>
                  </w:r>
                </w:p>
              </w:tc>
              <w:tc>
                <w:tcPr>
                  <w:tcW w:type="dxa" w:w="5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ind w:firstLine="480"/>
                  </w:pPr>
                  <w:r>
                    <w:rPr>
                      <w:rFonts w:ascii="仿宋_GB2312" w:hAnsi="仿宋_GB2312" w:cs="仿宋_GB2312" w:eastAsia="仿宋_GB2312"/>
                      <w:sz w:val="24"/>
                    </w:rPr>
                    <w:t>案</w:t>
                  </w:r>
                </w:p>
              </w:tc>
              <w:tc>
                <w:tcPr>
                  <w:tcW w:type="dxa" w:w="8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ind w:firstLine="480"/>
                  </w:pPr>
                  <w:r>
                    <w:rPr>
                      <w:rFonts w:ascii="仿宋_GB2312" w:hAnsi="仿宋_GB2312" w:cs="仿宋_GB2312" w:eastAsia="仿宋_GB2312"/>
                      <w:sz w:val="24"/>
                    </w:rPr>
                    <w:t>≦65.00</w:t>
                  </w:r>
                </w:p>
              </w:tc>
            </w:tr>
          </w:tbl>
          <w:p>
            <w:pPr>
              <w:pStyle w:val="null3"/>
              <w:spacing w:after="165"/>
              <w:ind w:firstLine="480"/>
            </w:pPr>
            <w:r>
              <w:rPr>
                <w:rFonts w:ascii="仿宋_GB2312" w:hAnsi="仿宋_GB2312" w:cs="仿宋_GB2312" w:eastAsia="仿宋_GB2312"/>
                <w:sz w:val="24"/>
              </w:rPr>
              <w:t>注：</w:t>
            </w:r>
            <w:r>
              <w:rPr>
                <w:rFonts w:ascii="仿宋_GB2312" w:hAnsi="仿宋_GB2312" w:cs="仿宋_GB2312" w:eastAsia="仿宋_GB2312"/>
                <w:sz w:val="24"/>
              </w:rPr>
              <w:t>报价不能超过本项目规定的各项单价最高限价。项目履行过程中，以实际完成数量结合考核标准据实结算。</w:t>
            </w:r>
          </w:p>
          <w:p>
            <w:pPr>
              <w:pStyle w:val="null3"/>
              <w:spacing w:after="165"/>
              <w:jc w:val="left"/>
            </w:pPr>
            <w:r>
              <w:rPr>
                <w:rFonts w:ascii="仿宋_GB2312" w:hAnsi="仿宋_GB2312" w:cs="仿宋_GB2312" w:eastAsia="仿宋_GB2312"/>
                <w:sz w:val="24"/>
                <w:b/>
              </w:rPr>
              <w:t xml:space="preserve">  </w:t>
            </w:r>
            <w:r>
              <w:rPr>
                <w:rFonts w:ascii="仿宋_GB2312" w:hAnsi="仿宋_GB2312" w:cs="仿宋_GB2312" w:eastAsia="仿宋_GB2312"/>
                <w:sz w:val="24"/>
                <w:b/>
              </w:rPr>
              <w:t>三、技术要求</w:t>
            </w:r>
          </w:p>
          <w:p>
            <w:pPr>
              <w:pStyle w:val="null3"/>
              <w:jc w:val="left"/>
            </w:pPr>
            <w:r>
              <w:rPr>
                <w:rFonts w:ascii="仿宋_GB2312" w:hAnsi="仿宋_GB2312" w:cs="仿宋_GB2312" w:eastAsia="仿宋_GB2312"/>
                <w:sz w:val="24"/>
                <w:b/>
              </w:rPr>
              <w:t>一、电子卷宗随案同步生成服务实施标准及依据</w:t>
            </w:r>
          </w:p>
          <w:p>
            <w:pPr>
              <w:pStyle w:val="null3"/>
              <w:ind w:firstLine="400"/>
              <w:jc w:val="both"/>
            </w:pPr>
            <w:r>
              <w:rPr>
                <w:rFonts w:ascii="仿宋_GB2312" w:hAnsi="仿宋_GB2312" w:cs="仿宋_GB2312" w:eastAsia="仿宋_GB2312"/>
                <w:sz w:val="24"/>
              </w:rPr>
              <w:t>本项目的质量要求按照陕西省高级人民法院对电子档案的建设要求和采购单位档案管理相关内部制度执行。依据或参照行业的有关标准规范进行项目实施，具体如下：</w:t>
            </w:r>
          </w:p>
          <w:p>
            <w:pPr>
              <w:pStyle w:val="null3"/>
              <w:ind w:firstLine="480"/>
              <w:jc w:val="both"/>
            </w:pPr>
            <w:r>
              <w:rPr>
                <w:rFonts w:ascii="仿宋_GB2312" w:hAnsi="仿宋_GB2312" w:cs="仿宋_GB2312" w:eastAsia="仿宋_GB2312"/>
                <w:sz w:val="24"/>
              </w:rPr>
              <w:t>（一）《中华人民共和国档案法》：</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DA/T31-2017中华人民共和国档案行业标准《纸质档案数字化技术规范》；</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GB/T18894-2016《电子文档归档与管理规范》；</w:t>
            </w:r>
          </w:p>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DA/T18-1999《档案著录规则》；</w:t>
            </w:r>
          </w:p>
          <w:p>
            <w:pPr>
              <w:pStyle w:val="null3"/>
              <w:ind w:firstLine="480"/>
              <w:jc w:val="both"/>
            </w:pPr>
            <w:r>
              <w:rPr>
                <w:rFonts w:ascii="仿宋_GB2312" w:hAnsi="仿宋_GB2312" w:cs="仿宋_GB2312" w:eastAsia="仿宋_GB2312"/>
                <w:sz w:val="24"/>
              </w:rPr>
              <w:t>（五）</w:t>
            </w:r>
            <w:r>
              <w:rPr>
                <w:rFonts w:ascii="仿宋_GB2312" w:hAnsi="仿宋_GB2312" w:cs="仿宋_GB2312" w:eastAsia="仿宋_GB2312"/>
                <w:sz w:val="24"/>
              </w:rPr>
              <w:t>GB/T7156-2016《文献保密等级代码》；</w:t>
            </w:r>
          </w:p>
          <w:p>
            <w:pPr>
              <w:pStyle w:val="null3"/>
              <w:ind w:firstLine="480"/>
              <w:jc w:val="both"/>
            </w:pPr>
            <w:r>
              <w:rPr>
                <w:rFonts w:ascii="仿宋_GB2312" w:hAnsi="仿宋_GB2312" w:cs="仿宋_GB2312" w:eastAsia="仿宋_GB2312"/>
                <w:sz w:val="24"/>
              </w:rPr>
              <w:t>（六）《信息技术连续色调静态图像的数字压缩及编码第</w:t>
            </w:r>
            <w:r>
              <w:rPr>
                <w:rFonts w:ascii="仿宋_GB2312" w:hAnsi="仿宋_GB2312" w:cs="仿宋_GB2312" w:eastAsia="仿宋_GB2312"/>
                <w:sz w:val="24"/>
              </w:rPr>
              <w:t>1部分：要求和指南》GB/T17235.1-1998;</w:t>
            </w:r>
          </w:p>
          <w:p>
            <w:pPr>
              <w:pStyle w:val="null3"/>
              <w:ind w:firstLine="480"/>
              <w:jc w:val="both"/>
            </w:pPr>
            <w:r>
              <w:rPr>
                <w:rFonts w:ascii="仿宋_GB2312" w:hAnsi="仿宋_GB2312" w:cs="仿宋_GB2312" w:eastAsia="仿宋_GB2312"/>
                <w:sz w:val="24"/>
              </w:rPr>
              <w:t>（七）《信息技术连续色调静态图像的数字压缩及编码第</w:t>
            </w:r>
            <w:r>
              <w:rPr>
                <w:rFonts w:ascii="仿宋_GB2312" w:hAnsi="仿宋_GB2312" w:cs="仿宋_GB2312" w:eastAsia="仿宋_GB2312"/>
                <w:sz w:val="24"/>
              </w:rPr>
              <w:t>2部分：一致性测试》GB/T17235.2-1998;</w:t>
            </w:r>
          </w:p>
          <w:p>
            <w:pPr>
              <w:pStyle w:val="null3"/>
              <w:jc w:val="both"/>
            </w:pPr>
            <w:r>
              <w:rPr>
                <w:rFonts w:ascii="仿宋_GB2312" w:hAnsi="仿宋_GB2312" w:cs="仿宋_GB2312" w:eastAsia="仿宋_GB2312"/>
                <w:sz w:val="24"/>
                <w:b/>
              </w:rPr>
              <w:t>1、电子卷宗随案同步生成服务技术与质量要求：</w:t>
            </w:r>
          </w:p>
          <w:p>
            <w:pPr>
              <w:pStyle w:val="null3"/>
              <w:ind w:firstLine="482"/>
            </w:pPr>
            <w:r>
              <w:rPr>
                <w:rFonts w:ascii="仿宋_GB2312" w:hAnsi="仿宋_GB2312" w:cs="仿宋_GB2312" w:eastAsia="仿宋_GB2312"/>
                <w:sz w:val="24"/>
                <w:b/>
              </w:rPr>
              <w:t>1-1立案阶段</w:t>
            </w:r>
          </w:p>
          <w:p>
            <w:pPr>
              <w:pStyle w:val="null3"/>
              <w:ind w:firstLine="480"/>
            </w:pPr>
            <w:r>
              <w:rPr>
                <w:rFonts w:ascii="仿宋_GB2312" w:hAnsi="仿宋_GB2312" w:cs="仿宋_GB2312" w:eastAsia="仿宋_GB2312"/>
                <w:sz w:val="24"/>
              </w:rPr>
              <w:t>创建电子卷宗：在立案窗口增配专业扫描人员和扫描设备，对当事人提交的立案审查表、当事人身份证明、受理案件通知书、起诉书等案件材料，进行集中快速扫描上传。</w:t>
            </w:r>
          </w:p>
          <w:p>
            <w:pPr>
              <w:pStyle w:val="null3"/>
              <w:ind w:firstLine="480"/>
            </w:pPr>
            <w:r>
              <w:rPr>
                <w:rFonts w:ascii="仿宋_GB2312" w:hAnsi="仿宋_GB2312" w:cs="仿宋_GB2312" w:eastAsia="仿宋_GB2312"/>
                <w:sz w:val="24"/>
              </w:rPr>
              <w:t>分拣材料：扫描人员收到扫描任务后分拣材料，先按照材料所属人分类，再将材料所属人下的证据类和非证据类分开，即进行两次分拣，其中重复材料分拣出来单独存放等相关工作。</w:t>
            </w:r>
          </w:p>
          <w:p>
            <w:pPr>
              <w:pStyle w:val="null3"/>
              <w:ind w:firstLine="480"/>
            </w:pPr>
            <w:r>
              <w:rPr>
                <w:rFonts w:ascii="仿宋_GB2312" w:hAnsi="仿宋_GB2312" w:cs="仿宋_GB2312" w:eastAsia="仿宋_GB2312"/>
                <w:sz w:val="24"/>
              </w:rPr>
              <w:t>扫描上传：利用专业扫描仪进行诉讼材料扫描上传，上传后的图像和目录一一对应。</w:t>
            </w:r>
          </w:p>
          <w:p>
            <w:pPr>
              <w:pStyle w:val="null3"/>
              <w:ind w:firstLine="480"/>
            </w:pPr>
            <w:r>
              <w:rPr>
                <w:rFonts w:ascii="仿宋_GB2312" w:hAnsi="仿宋_GB2312" w:cs="仿宋_GB2312" w:eastAsia="仿宋_GB2312"/>
                <w:sz w:val="24"/>
              </w:rPr>
              <w:t>智能编目：通过图文识别、自然语言处理等技术，将所有电子文件自动区分为一份一份的独立文件，并根据文本、图像判断文本的类型及标题，将每一份文件命名为如应诉通知书、传票等文件名。</w:t>
            </w:r>
          </w:p>
          <w:p>
            <w:pPr>
              <w:pStyle w:val="null3"/>
              <w:ind w:firstLine="480"/>
            </w:pPr>
            <w:r>
              <w:rPr>
                <w:rFonts w:ascii="仿宋_GB2312" w:hAnsi="仿宋_GB2312" w:cs="仿宋_GB2312" w:eastAsia="仿宋_GB2312"/>
                <w:sz w:val="24"/>
              </w:rPr>
              <w:t>智能关联匹配：系统可以自动根据当前案件的当事人信息和案件类型自动进入办案平台数据库进行关联案件信息匹配，用户确认后，即可一键快速上传到办案平台中。</w:t>
            </w:r>
          </w:p>
          <w:p>
            <w:pPr>
              <w:pStyle w:val="null3"/>
              <w:ind w:firstLine="482"/>
            </w:pPr>
            <w:r>
              <w:rPr>
                <w:rFonts w:ascii="仿宋_GB2312" w:hAnsi="仿宋_GB2312" w:cs="仿宋_GB2312" w:eastAsia="仿宋_GB2312"/>
                <w:sz w:val="24"/>
                <w:b/>
              </w:rPr>
              <w:t>1-2庭审阶段</w:t>
            </w:r>
          </w:p>
          <w:p>
            <w:pPr>
              <w:pStyle w:val="null3"/>
              <w:ind w:firstLine="480"/>
            </w:pPr>
            <w:r>
              <w:rPr>
                <w:rFonts w:ascii="仿宋_GB2312" w:hAnsi="仿宋_GB2312" w:cs="仿宋_GB2312" w:eastAsia="仿宋_GB2312"/>
                <w:sz w:val="24"/>
              </w:rPr>
              <w:t>补充材料扫描：案件审理过程中新补充的材料需按分拣流程中的方式分类扫描并归类到相应案件。</w:t>
            </w:r>
          </w:p>
          <w:p>
            <w:pPr>
              <w:pStyle w:val="null3"/>
              <w:ind w:firstLine="482"/>
            </w:pPr>
            <w:r>
              <w:rPr>
                <w:rFonts w:ascii="仿宋_GB2312" w:hAnsi="仿宋_GB2312" w:cs="仿宋_GB2312" w:eastAsia="仿宋_GB2312"/>
                <w:sz w:val="24"/>
                <w:b/>
              </w:rPr>
              <w:t>1-3结案阶段</w:t>
            </w:r>
          </w:p>
          <w:p>
            <w:pPr>
              <w:pStyle w:val="null3"/>
              <w:ind w:firstLine="480"/>
              <w:jc w:val="both"/>
            </w:pPr>
            <w:r>
              <w:rPr>
                <w:rFonts w:ascii="仿宋_GB2312" w:hAnsi="仿宋_GB2312" w:cs="仿宋_GB2312" w:eastAsia="仿宋_GB2312"/>
                <w:sz w:val="24"/>
              </w:rPr>
              <w:t>归目：系统会将编目后的电子文书归类到电子卷宗相应目录，归目人员需逐个检查目录下的电子文书是否归目正确，有偏差的需归目人员手动归到电子卷宗相应目录下，部分文书需人为判断归到哪一类相应目录下等相关工作。</w:t>
            </w:r>
          </w:p>
          <w:p>
            <w:pPr>
              <w:pStyle w:val="null3"/>
              <w:ind w:firstLine="480"/>
              <w:jc w:val="both"/>
            </w:pPr>
            <w:r>
              <w:rPr>
                <w:rFonts w:ascii="仿宋_GB2312" w:hAnsi="仿宋_GB2312" w:cs="仿宋_GB2312" w:eastAsia="仿宋_GB2312"/>
                <w:sz w:val="24"/>
              </w:rPr>
              <w:t>电子卷宗自动归档：生成电子页码、生成归档目录、自动生成必要的归档信息。</w:t>
            </w:r>
          </w:p>
          <w:p>
            <w:pPr>
              <w:pStyle w:val="null3"/>
              <w:ind w:firstLine="480"/>
              <w:jc w:val="both"/>
            </w:pPr>
            <w:r>
              <w:rPr>
                <w:rFonts w:ascii="仿宋_GB2312" w:hAnsi="仿宋_GB2312" w:cs="仿宋_GB2312" w:eastAsia="仿宋_GB2312"/>
                <w:sz w:val="24"/>
              </w:rPr>
              <w:t>送装订：待质检员检查后送装订等相关工作。按照纸质档案有关规定，进行三孔一线手动装订，生成完整的纸质诉讼档案。</w:t>
            </w:r>
          </w:p>
          <w:p>
            <w:pPr>
              <w:pStyle w:val="null3"/>
              <w:ind w:firstLine="480"/>
              <w:jc w:val="both"/>
            </w:pPr>
            <w:r>
              <w:rPr>
                <w:rFonts w:ascii="仿宋_GB2312" w:hAnsi="仿宋_GB2312" w:cs="仿宋_GB2312" w:eastAsia="仿宋_GB2312"/>
                <w:sz w:val="24"/>
              </w:rPr>
              <w:t>案卷归档：将装订后的纸质诉讼档案报送档案室归档。</w:t>
            </w:r>
          </w:p>
          <w:p>
            <w:pPr>
              <w:pStyle w:val="null3"/>
              <w:spacing w:before="315"/>
              <w:jc w:val="both"/>
            </w:pPr>
            <w:r>
              <w:rPr>
                <w:rFonts w:ascii="仿宋_GB2312" w:hAnsi="仿宋_GB2312" w:cs="仿宋_GB2312" w:eastAsia="仿宋_GB2312"/>
                <w:sz w:val="24"/>
                <w:b/>
              </w:rPr>
              <w:t>四、服务要求</w:t>
            </w:r>
          </w:p>
          <w:p>
            <w:pPr>
              <w:pStyle w:val="null3"/>
              <w:jc w:val="left"/>
            </w:pPr>
            <w:r>
              <w:rPr>
                <w:rFonts w:ascii="仿宋_GB2312" w:hAnsi="仿宋_GB2312" w:cs="仿宋_GB2312" w:eastAsia="仿宋_GB2312"/>
                <w:sz w:val="24"/>
              </w:rPr>
              <w:t>在合同执行过程中需要服务商应执行的相关服务标准和应当履行的相关义务。</w:t>
            </w:r>
          </w:p>
          <w:p>
            <w:pPr>
              <w:pStyle w:val="null3"/>
              <w:jc w:val="both"/>
            </w:pPr>
            <w:r>
              <w:rPr>
                <w:rFonts w:ascii="仿宋_GB2312" w:hAnsi="仿宋_GB2312" w:cs="仿宋_GB2312" w:eastAsia="仿宋_GB2312"/>
                <w:sz w:val="24"/>
              </w:rPr>
              <w:t>1.配备成熟稳定的专业管理和服务团队。</w:t>
            </w:r>
          </w:p>
          <w:p>
            <w:pPr>
              <w:pStyle w:val="null3"/>
              <w:jc w:val="both"/>
            </w:pPr>
            <w:r>
              <w:rPr>
                <w:rFonts w:ascii="仿宋_GB2312" w:hAnsi="仿宋_GB2312" w:cs="仿宋_GB2312" w:eastAsia="仿宋_GB2312"/>
                <w:sz w:val="24"/>
              </w:rPr>
              <w:t>2.专业的项目团队，熟练高速扫描、熟悉法院办案流程、卷宗分类、保密规定。</w:t>
            </w:r>
          </w:p>
          <w:p>
            <w:pPr>
              <w:pStyle w:val="null3"/>
              <w:jc w:val="both"/>
            </w:pPr>
            <w:r>
              <w:rPr>
                <w:rFonts w:ascii="仿宋_GB2312" w:hAnsi="仿宋_GB2312" w:cs="仿宋_GB2312" w:eastAsia="仿宋_GB2312"/>
                <w:sz w:val="24"/>
              </w:rPr>
              <w:t>3.档案存储须符合国家标准。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配置能够满足采购需求的相应人员。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质保期：验收合格后一年。 1.交付条件：本次所有服务工作完成。 2.进度要求：合同签订后，按提交案件量每月上报或每季度汇报数据量进行统计，存量扫描、著录完成率约85%。</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数据验收合格并提交后，乙方提供质保</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预付款，自合同签订生效起，达到付款条件起15个工作日内，支付合同总金额的50.0%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进度款，项目实施过程中，根据实施进度验收，验收由乙方提出书面申请报告，甲方确认签字后进行结算，达到付款条件起15个工作日内，支付合同总金额的50.0%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1.供应商最后报价时同步上传“最后分项报价表”至附件。 2.中标供应商在采购结果发布后3个工作日内向代理机构提交纸质版响应文件以便于存档，响应文件正本1份，副本1份，电子版文件2份（以U盘为载体，电子版内容包括Word版本、签字盖章扫描后的PDF版本响应文件）。纸质响应文件均须A4纸打印，分别各自装订成册并编制目录和页码并加盖鲜章。 3.线下递交响应文件地点：西安市高新区泰维智链中心一期B座2层 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供应商需提供具有财务审计资质单位出具的2025年度财务报告或开标前六个月内其基本账户银行出具的资信证明或财政部门认可的政府采购专业担保机构出具的担保函，以上形式的证明资料提供任何一种即可。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提供已缴纳的2025年10月1日以来至少一个月的纳税证明或完税证明，纳税证明或完税证明上应有代收机构或税务机关的公章或业务专用章。依法免税的投标人应提供相关文件证明。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已缴纳的2025年10月1日以来至少一个月的社会保障资金缴存单据或社保机构开具的社会保险参保缴费情况证明。成立时间至提交投标文件截止时间不足一个月或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法定代表人直接参加投标的须出具法定代表人身份证（须与营业执照上信息一致），法定代表人授权代表参加投标的须出具法定代表人授权书及授权代表身份证。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 的不同单位，不得同时参加同一项目的投标。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联合体投标及分包</w:t>
            </w:r>
          </w:p>
        </w:tc>
        <w:tc>
          <w:tcPr>
            <w:tcW w:type="dxa" w:w="3322"/>
          </w:tcPr>
          <w:p>
            <w:pPr>
              <w:pStyle w:val="null3"/>
            </w:pPr>
            <w:r>
              <w:rPr>
                <w:rFonts w:ascii="仿宋_GB2312" w:hAnsi="仿宋_GB2312" w:cs="仿宋_GB2312" w:eastAsia="仿宋_GB2312"/>
              </w:rPr>
              <w:t>本项目不接受联合体投标，不允许分包。</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投标人须具备国家保密局颁发的乙级及以上的涉密档案数字化加工的“国家秘密载体印制资质证书”。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响应文件应按要求加盖公章或签字</w:t>
            </w:r>
          </w:p>
        </w:tc>
        <w:tc>
          <w:tcPr>
            <w:tcW w:type="dxa" w:w="1661"/>
          </w:tcPr>
          <w:p>
            <w:pPr>
              <w:pStyle w:val="null3"/>
            </w:pPr>
            <w:r>
              <w:rPr>
                <w:rFonts w:ascii="仿宋_GB2312" w:hAnsi="仿宋_GB2312" w:cs="仿宋_GB2312" w:eastAsia="仿宋_GB2312"/>
              </w:rPr>
              <w:t>投标方案.docx 业绩一览表.docx 偏离表..docx 中小企业声明函 报价表 首次分项报价表.docx 响应文件封面 最后分项报价表.docx 残疾人福利性单位声明函 标的清单 供应商应提交的相关资格证明材料..docx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投标报价不能超出采购预算</w:t>
            </w:r>
          </w:p>
        </w:tc>
        <w:tc>
          <w:tcPr>
            <w:tcW w:type="dxa" w:w="1661"/>
          </w:tcPr>
          <w:p>
            <w:pPr>
              <w:pStyle w:val="null3"/>
            </w:pPr>
            <w:r>
              <w:rPr>
                <w:rFonts w:ascii="仿宋_GB2312" w:hAnsi="仿宋_GB2312" w:cs="仿宋_GB2312" w:eastAsia="仿宋_GB2312"/>
              </w:rPr>
              <w:t>响应文件封面 中小企业声明函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响应文件有效期满足招标文件的要求</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满足服务期要求且服务方案能达到采购要求</w:t>
            </w:r>
          </w:p>
        </w:tc>
        <w:tc>
          <w:tcPr>
            <w:tcW w:type="dxa" w:w="1661"/>
          </w:tcPr>
          <w:p>
            <w:pPr>
              <w:pStyle w:val="null3"/>
            </w:pPr>
            <w:r>
              <w:rPr>
                <w:rFonts w:ascii="仿宋_GB2312" w:hAnsi="仿宋_GB2312" w:cs="仿宋_GB2312" w:eastAsia="仿宋_GB2312"/>
              </w:rPr>
              <w:t>响应文件封面 投标方案.docx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不得存在的情形</w:t>
            </w:r>
          </w:p>
        </w:tc>
        <w:tc>
          <w:tcPr>
            <w:tcW w:type="dxa" w:w="3322"/>
          </w:tcPr>
          <w:p>
            <w:pPr>
              <w:pStyle w:val="null3"/>
            </w:pPr>
            <w:r>
              <w:rPr>
                <w:rFonts w:ascii="仿宋_GB2312" w:hAnsi="仿宋_GB2312" w:cs="仿宋_GB2312" w:eastAsia="仿宋_GB2312"/>
              </w:rPr>
              <w:t>供应商无相关法律法规及招标文件规定的不得存在的情形</w:t>
            </w:r>
          </w:p>
        </w:tc>
        <w:tc>
          <w:tcPr>
            <w:tcW w:type="dxa" w:w="1661"/>
          </w:tcPr>
          <w:p>
            <w:pPr>
              <w:pStyle w:val="null3"/>
            </w:pPr>
            <w:r>
              <w:rPr>
                <w:rFonts w:ascii="仿宋_GB2312" w:hAnsi="仿宋_GB2312" w:cs="仿宋_GB2312" w:eastAsia="仿宋_GB2312"/>
              </w:rPr>
              <w:t>响应文件封面 投标方案.docx 偏离表..docx 中小企业声明函 残疾人福利性单位声明函 标的清单 报价表 供应商应提交的相关资格证明材料..docx 响应函 监狱企业的证明文件 首次分项报价表.docx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针对本项目内容提出适用于本项目的服务方案，方案包括：①工作流程；②服务能力；③时间进度情况。④关键节点控制及保障措施 二、评审标准 1.完整性：方案必须全面，对评审内容中的各项要求有详细描述。 2.可实施性：切合本项目实际情况，提出步骤清晰、合理的方案。 3.针对性：方案能够紧扣项目实际情况，内容科学合理。 三、赋分标准（满分12分） ①工作流程：每完全满足一个评审标准得1分；针对评审标准存在有不合理处的得0.5分；内容与本项目无关或未提供的得0分。 ②服务能力：每完全满足一个评审标准得1分；针对评审标准存在有不合理处的得0.5分；内容与本项目无关或未提供的得0分。 ③时间进度情况：每完全满足一个评审标准得1分；针对评审标准存在有不合理处的得0.5分；内容与本项目无关或未提供的得0分。④关键节点控制及保障措施：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保密、安全保证措施</w:t>
            </w:r>
          </w:p>
        </w:tc>
        <w:tc>
          <w:tcPr>
            <w:tcW w:type="dxa" w:w="2492"/>
          </w:tcPr>
          <w:p>
            <w:pPr>
              <w:pStyle w:val="null3"/>
            </w:pPr>
            <w:r>
              <w:rPr>
                <w:rFonts w:ascii="仿宋_GB2312" w:hAnsi="仿宋_GB2312" w:cs="仿宋_GB2312" w:eastAsia="仿宋_GB2312"/>
              </w:rPr>
              <w:t>一、评审内容 针对本项目内容提出适用于本项目的保密、安全保证措施。内容包括①人员保密管理；②卷宗实体和卷宗信息保密措施；③安全保证措施。 二、评审标准 1.完整性：方案必须全面，对评审内容中的各项要求有详细描述。 2.可实施性：切合本项目实际情况，提出步骤清晰、合理的方案。 3.针对性：方案能够紧扣项目实际情况，内容科学合理。 三、赋分标准（满分9分） ①人员保密管理：每完全满足一个评审标准得1分；针对评审标准存在有不合理处的得0.5分；内容与本项目无关或未提供的得0分。 ②卷宗实体和卷宗信息保密措施：每完全满足一个评审标准得1分；针对评审标准存在有不合理处的得0.5分；内容与本项目无关或未提供的得0分。 ③安全保证措施：每完全满足一个评审标准得1分；针对评审标准存在有不合理处的得0.5分；内容与本项目无关或未提供的得0分。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质量控制和风险管理</w:t>
            </w:r>
          </w:p>
        </w:tc>
        <w:tc>
          <w:tcPr>
            <w:tcW w:type="dxa" w:w="2492"/>
          </w:tcPr>
          <w:p>
            <w:pPr>
              <w:pStyle w:val="null3"/>
            </w:pPr>
            <w:r>
              <w:rPr>
                <w:rFonts w:ascii="仿宋_GB2312" w:hAnsi="仿宋_GB2312" w:cs="仿宋_GB2312" w:eastAsia="仿宋_GB2312"/>
              </w:rPr>
              <w:t>一、评审内容 针对本项目内容提出适用于本项目的质量控制和风险管理。内容包括①质量控制；②风险管理。 二、评审标准 1.完整性：方案必须全面，对评审内容中的各项要求有详细描述。 2.可实施性：切合本项目实际情况，提出步骤清晰、合理的方案。 3.针对性：方案能够紧扣项目实际情况，内容科学合理。 三、赋分标准（满分8分） ①质量控制（满分4分）：完全满足评审标准1、2、3得3分，若在此基础上对细节有更深度的质量把控举措得4分；有不合理处得2分；未提供得0分。 ②风险管理（满分4分）：完全满足评审标准1、2、3得3分，若在此基础上对本项目特有风险有精准预案得4分；有不合理处得2分；未提供得0分。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人员培训</w:t>
            </w:r>
          </w:p>
        </w:tc>
        <w:tc>
          <w:tcPr>
            <w:tcW w:type="dxa" w:w="2492"/>
          </w:tcPr>
          <w:p>
            <w:pPr>
              <w:pStyle w:val="null3"/>
            </w:pPr>
            <w:r>
              <w:rPr>
                <w:rFonts w:ascii="仿宋_GB2312" w:hAnsi="仿宋_GB2312" w:cs="仿宋_GB2312" w:eastAsia="仿宋_GB2312"/>
              </w:rPr>
              <w:t>一、评审内容 针对本项目内容提出适用于本项目的人员培训。内容包括①岗位技能；②安全防护意识。 二、评审标准 1.完整性：方案必须全面，对评审内容中的各项要求有详细描述。 2.可实施性：切合本项目实际情况，提出步骤清晰、合理的方案。 3.针对性：方案能够紧扣项目实际情况，内容科学合理。 三、赋分标准（满分6分） ①岗位技能：每完全满足一个评审标准得1分；针对评审标准存在有不合理处的得0.5分；内容与本项目无关或未提供的得0分。 ②安全防护意识：每完全满足一个评审标准得1分；针对评审标准存在有不合理处的得0.5分；内容与本项目无关或未提供的得0分。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设备配备情况</w:t>
            </w:r>
          </w:p>
        </w:tc>
        <w:tc>
          <w:tcPr>
            <w:tcW w:type="dxa" w:w="2492"/>
          </w:tcPr>
          <w:p>
            <w:pPr>
              <w:pStyle w:val="null3"/>
            </w:pPr>
            <w:r>
              <w:rPr>
                <w:rFonts w:ascii="仿宋_GB2312" w:hAnsi="仿宋_GB2312" w:cs="仿宋_GB2312" w:eastAsia="仿宋_GB2312"/>
              </w:rPr>
              <w:t>一、评审内容 针对本项目内容提出适用于本项目的设备配备情况。内容包括①硬件配备情况；②软件配备情况。 二、评审标准 1.完整性：方案必须全面，对评审内容中的各项要求有详细描述。 2.可实施性：切合本项目实际情况，提出步骤清晰、合理的方案。 3.针对性：方案能够紧扣项目实际情况，内容科学合理。 三、赋分标准（满分6分） ①硬件配备情况：每完全满足一个评审标准得1分；针对评审标准存在有不合理处的得0.5分；内容与本项目无关或未提供的得0分。 ②软件配备情况：每完全满足一个评审标准得1分；针对评审标准存在有不合理处的得0.5分；内容与本项目无关或未提供的得0分。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一、评审内容 针对本项目内容提出适用于本项目的应急服务方案。内容包括①应急预案措施；②解决方案。 二、评审标准 1.完整性：方案必须全面，对评审内容中的各项要求有详细描述。 2.可实施性：切合本项目实际情况，提出步骤清晰、合理的方案。 3.针对性：方案能够紧扣项目实际情况，内容科学合理。 三、赋分标准（满分6分） ①应急预案措施：每完全满足一个评审标准得1分；针对评审标准存在有不合理处的得0.5分；内容与本项目无关或未提供的得0分。 ②解决方案：每完全满足一个评审标准得1分；针对评审标准存在有不合理处的得0.5分；内容与本项目无关或未提供的得0分。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内部管理措施</w:t>
            </w:r>
          </w:p>
        </w:tc>
        <w:tc>
          <w:tcPr>
            <w:tcW w:type="dxa" w:w="2492"/>
          </w:tcPr>
          <w:p>
            <w:pPr>
              <w:pStyle w:val="null3"/>
            </w:pPr>
            <w:r>
              <w:rPr>
                <w:rFonts w:ascii="仿宋_GB2312" w:hAnsi="仿宋_GB2312" w:cs="仿宋_GB2312" w:eastAsia="仿宋_GB2312"/>
              </w:rPr>
              <w:t>一、评审内容 针对本项目内容提出适用于本项目的内部管理措施。内容包括①内部管理架构；②工作流程；③自查制度；④激励机制；⑤信息反馈渠道。 二、评审标准 1.完整性：方案必须全面，对评审内容中的各项要求有详细描述。 2.可实施性：切合本项目实际情况，提出步骤清晰、合理的方案。 3.针对性：方案能够紧扣项目实际情况，内容科学合理。 三、赋分标准（满分15分） ①内部管理架构：每完全满足一个评审标准得1分；针对评审标准存在有不合理处的得0.5分；内容与本项目无关或未提供的得0分。 ②工作流程：每完全满足一个评审标准得1分；针对评审标准存在有不合理处的得0.5分；内容与本项目无关或未提供的得0分。 ③自查制度：每完全满足一个评审标准得1分；针对评审标准存在有不合理处的得0.5分；内容与本项目无关或未提供的得0分。 ④激励机制：每完全满足一个评审标准得1分；针对评审标准存在有不合理处的得0.5分；内容与本项目无关或未提供的得0分。 ⑤信息反馈渠道：每完全满足一个评审标准得1分；针对评审标准存在有不合理处的得0.5分；内容与本项目无关或未提供的得0分。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拟派项目团队</w:t>
            </w:r>
          </w:p>
        </w:tc>
        <w:tc>
          <w:tcPr>
            <w:tcW w:type="dxa" w:w="2492"/>
          </w:tcPr>
          <w:p>
            <w:pPr>
              <w:pStyle w:val="null3"/>
            </w:pPr>
            <w:r>
              <w:rPr>
                <w:rFonts w:ascii="仿宋_GB2312" w:hAnsi="仿宋_GB2312" w:cs="仿宋_GB2312" w:eastAsia="仿宋_GB2312"/>
              </w:rPr>
              <w:t>一、评审内容 针对本项目内容提出适用于本项目的项目团队。内容至少包括①项目组织机构图；②人员清单及岗位职责；③项目经验(专业性)。 二、评审标准 1.完整性：方案必须全面，对评审内容中的各项要求有详细描述。 2.可实施性：切合本项目实际情况，提出步骤清晰、合理的方案。 3.针对性：方案能够紧扣项目实际情况，内容科学合理。 三、赋分标准（满分9分） ①项目组织机构图：每完全满足一个评审标准得1分；针对评审标准存在有不合理处的得0.5分；内容与本项目无关或未提供的得0分。 ②人员清单及岗位职责：每完全满足一个评审标准得1分；针对评审标准存在有不合理处的得0.5分；内容与本项目无关或未提供的得0分。 ③项目经验(专业性)：每完全满足一个评审标准得1分；针对评审标准存在有不合理处的得0.5分；内容与本项目无关或未提供的得0分。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售后保障方案</w:t>
            </w:r>
          </w:p>
        </w:tc>
        <w:tc>
          <w:tcPr>
            <w:tcW w:type="dxa" w:w="2492"/>
          </w:tcPr>
          <w:p>
            <w:pPr>
              <w:pStyle w:val="null3"/>
            </w:pPr>
            <w:r>
              <w:rPr>
                <w:rFonts w:ascii="仿宋_GB2312" w:hAnsi="仿宋_GB2312" w:cs="仿宋_GB2312" w:eastAsia="仿宋_GB2312"/>
              </w:rPr>
              <w:t>一、评审内容 针对本项目内容提出适用于本项目的售后保障方案。内容包括①售后服务团队配置；②故障解决和技术支持；③售后服务承诺。 二、评审标准 1.完整性：方案必须全面，对评审内容中的各项要求有详细描述。 2.可实施性：切合本项目实际情况，提出步骤清晰、合理的方案。 3.针对性：方案能够紧扣项目实际情况，内容科学合理。 三、赋分标准（满分9分） ①售后服务团队配置：每完全满足一个评审标准得1分；针对评审标准存在有不合理处的得0.5分；内容与本项目无关或未提供的得0分。 ②故障解决和技术支持：每完全满足一个评审标准得1分；针对评审标准存在有不合理处的得0.5分；内容与本项目无关或未提供的得0分。 ③售后服务承诺：每完全满足一个评审标准得1分；针对评审标准存在有不合理处的得0.5分；内容与本项目无关或未提供的得0分。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供应商提供自2023年4月1日起至本项目投标截止时间止（以合同签订时间为准）承担过的档案数字化加工同类项目业绩。每提供1个得2分，最高得6分。 （注：须提供合同首页、服务名称、金额页、盖章页的复印件并加盖单位公章， 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拟派团队人员具有档案相关专业培训证书或保密相关专业培训证书，每提供1个有效证书得1分，最高得4分。（注：须提供有效期内的证书复印件并加盖投标人公章，否则不得分）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 本项目专门面向中小企业采购、不再给予价格优惠。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详见附件：首次分项报价表.docx</w:t>
      </w:r>
    </w:p>
    <w:p>
      <w:pPr>
        <w:pStyle w:val="null3"/>
        <w:ind w:firstLine="960"/>
      </w:pPr>
      <w:r>
        <w:rPr>
          <w:rFonts w:ascii="仿宋_GB2312" w:hAnsi="仿宋_GB2312" w:cs="仿宋_GB2312" w:eastAsia="仿宋_GB2312"/>
        </w:rPr>
        <w:t>详见附件：最后分项报价表.docx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