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360" w:lineRule="auto"/>
        <w:rPr>
          <w:rStyle w:val="16"/>
          <w:rFonts w:asciiTheme="minorEastAsia" w:hAnsiTheme="minorEastAsia" w:eastAsiaTheme="minorEastAsia" w:cstheme="minorEastAsia"/>
          <w:sz w:val="36"/>
          <w:szCs w:val="36"/>
        </w:rPr>
      </w:pPr>
      <w:r>
        <w:rPr>
          <w:rStyle w:val="16"/>
          <w:rFonts w:hint="eastAsia" w:asciiTheme="minorEastAsia" w:hAnsiTheme="minorEastAsia" w:eastAsiaTheme="minorEastAsia" w:cstheme="minorEastAsia"/>
          <w:sz w:val="36"/>
          <w:szCs w:val="36"/>
        </w:rPr>
        <w:t xml:space="preserve"> </w:t>
      </w:r>
    </w:p>
    <w:p>
      <w:pPr>
        <w:pStyle w:val="7"/>
        <w:ind w:left="840" w:hanging="420"/>
        <w:rPr>
          <w:rFonts w:asciiTheme="minorEastAsia" w:hAnsiTheme="minorEastAsia" w:eastAsiaTheme="minorEastAsia" w:cstheme="minorEastAsia"/>
        </w:rPr>
      </w:pPr>
    </w:p>
    <w:p>
      <w:pPr>
        <w:tabs>
          <w:tab w:val="left" w:pos="6228"/>
        </w:tabs>
        <w:spacing w:before="54"/>
        <w:ind w:left="447" w:firstLine="643" w:firstLineChars="200"/>
        <w:jc w:val="left"/>
        <w:rPr>
          <w:rFonts w:hint="eastAsia" w:asciiTheme="minorEastAsia" w:hAnsiTheme="minorEastAsia" w:eastAsiaTheme="minorEastAsia" w:cstheme="minorEastAsia"/>
          <w:b/>
          <w:sz w:val="32"/>
        </w:rPr>
      </w:pPr>
      <w:r>
        <w:rPr>
          <w:rFonts w:hint="eastAsia" w:asciiTheme="minorEastAsia" w:hAnsiTheme="minorEastAsia" w:eastAsiaTheme="minorEastAsia" w:cstheme="minorEastAsia"/>
          <w:b/>
          <w:sz w:val="32"/>
        </w:rPr>
        <w:t>政府采购合同</w:t>
      </w:r>
      <w:r>
        <w:rPr>
          <w:rFonts w:hint="eastAsia" w:asciiTheme="minorEastAsia" w:hAnsiTheme="minorEastAsia" w:eastAsiaTheme="minorEastAsia" w:cstheme="minorEastAsia"/>
          <w:b/>
          <w:sz w:val="32"/>
        </w:rPr>
        <w:tab/>
      </w:r>
    </w:p>
    <w:p>
      <w:pPr>
        <w:tabs>
          <w:tab w:val="left" w:pos="6228"/>
        </w:tabs>
        <w:spacing w:before="54"/>
        <w:ind w:left="447" w:firstLine="611" w:firstLineChars="200"/>
        <w:jc w:val="left"/>
        <w:rPr>
          <w:rFonts w:asciiTheme="minorEastAsia" w:hAnsiTheme="minorEastAsia" w:eastAsiaTheme="minorEastAsia" w:cstheme="minorEastAsia"/>
          <w:b/>
          <w:sz w:val="32"/>
        </w:rPr>
      </w:pPr>
      <w:r>
        <w:rPr>
          <w:rFonts w:hint="eastAsia" w:asciiTheme="minorEastAsia" w:hAnsiTheme="minorEastAsia" w:eastAsiaTheme="minorEastAsia" w:cstheme="minorEastAsia"/>
          <w:b/>
          <w:w w:val="95"/>
          <w:sz w:val="32"/>
        </w:rPr>
        <w:t>合同编号：</w:t>
      </w:r>
    </w:p>
    <w:p>
      <w:pPr>
        <w:pStyle w:val="6"/>
        <w:rPr>
          <w:rFonts w:asciiTheme="minorEastAsia" w:hAnsiTheme="minorEastAsia" w:eastAsiaTheme="minorEastAsia" w:cstheme="minorEastAsia"/>
          <w:b/>
          <w:sz w:val="20"/>
        </w:rPr>
      </w:pPr>
    </w:p>
    <w:p>
      <w:pPr>
        <w:pStyle w:val="6"/>
        <w:rPr>
          <w:rFonts w:asciiTheme="minorEastAsia" w:hAnsiTheme="minorEastAsia" w:eastAsiaTheme="minorEastAsia" w:cstheme="minorEastAsia"/>
          <w:b/>
          <w:sz w:val="20"/>
        </w:rPr>
      </w:pPr>
    </w:p>
    <w:p>
      <w:pPr>
        <w:pStyle w:val="6"/>
        <w:rPr>
          <w:rFonts w:asciiTheme="minorEastAsia" w:hAnsiTheme="minorEastAsia" w:eastAsiaTheme="minorEastAsia" w:cstheme="minorEastAsia"/>
          <w:b/>
          <w:sz w:val="20"/>
        </w:rPr>
      </w:pPr>
    </w:p>
    <w:p>
      <w:pPr>
        <w:pStyle w:val="6"/>
        <w:rPr>
          <w:rFonts w:asciiTheme="minorEastAsia" w:hAnsiTheme="minorEastAsia" w:eastAsiaTheme="minorEastAsia" w:cstheme="minorEastAsia"/>
          <w:b/>
          <w:sz w:val="20"/>
        </w:rPr>
      </w:pPr>
    </w:p>
    <w:p>
      <w:pPr>
        <w:spacing w:before="385"/>
        <w:ind w:left="920" w:right="754"/>
        <w:jc w:val="center"/>
        <w:rPr>
          <w:rFonts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lang w:eastAsia="zh-CN"/>
        </w:rPr>
        <w:t>2026年临潼法院电子卷宗随案生成服务项目</w:t>
      </w:r>
    </w:p>
    <w:p>
      <w:pPr>
        <w:pStyle w:val="6"/>
        <w:rPr>
          <w:rFonts w:asciiTheme="minorEastAsia" w:hAnsiTheme="minorEastAsia" w:eastAsiaTheme="minorEastAsia" w:cstheme="minorEastAsia"/>
          <w:b/>
          <w:sz w:val="40"/>
        </w:rPr>
      </w:pPr>
    </w:p>
    <w:p>
      <w:pPr>
        <w:pStyle w:val="6"/>
        <w:rPr>
          <w:rFonts w:asciiTheme="minorEastAsia" w:hAnsiTheme="minorEastAsia" w:eastAsiaTheme="minorEastAsia" w:cstheme="minorEastAsia"/>
          <w:b/>
          <w:sz w:val="40"/>
        </w:rPr>
      </w:pPr>
    </w:p>
    <w:p>
      <w:pPr>
        <w:pStyle w:val="6"/>
        <w:rPr>
          <w:rFonts w:asciiTheme="minorEastAsia" w:hAnsiTheme="minorEastAsia" w:eastAsiaTheme="minorEastAsia" w:cstheme="minorEastAsia"/>
          <w:b/>
          <w:sz w:val="40"/>
        </w:rPr>
      </w:pPr>
    </w:p>
    <w:p/>
    <w:p>
      <w:pPr>
        <w:pStyle w:val="6"/>
        <w:spacing w:before="7"/>
        <w:rPr>
          <w:rFonts w:asciiTheme="minorEastAsia" w:hAnsiTheme="minorEastAsia" w:eastAsiaTheme="minorEastAsia" w:cstheme="minorEastAsia"/>
          <w:b/>
          <w:sz w:val="28"/>
        </w:rPr>
      </w:pPr>
    </w:p>
    <w:p>
      <w:pPr>
        <w:pStyle w:val="3"/>
        <w:tabs>
          <w:tab w:val="left" w:pos="5316"/>
        </w:tabs>
        <w:spacing w:before="0"/>
        <w:ind w:right="425" w:firstLine="2442" w:firstLineChars="800"/>
        <w:rPr>
          <w:rFonts w:asciiTheme="minorEastAsia" w:hAnsiTheme="minorEastAsia" w:eastAsiaTheme="minorEastAsia" w:cstheme="minorEastAsia"/>
          <w:b/>
          <w:bCs/>
        </w:rPr>
      </w:pPr>
      <w:bookmarkStart w:id="0" w:name="_Toc5027"/>
      <w:r>
        <w:rPr>
          <w:rFonts w:hint="eastAsia" w:asciiTheme="minorEastAsia" w:hAnsiTheme="minorEastAsia" w:eastAsiaTheme="minorEastAsia" w:cstheme="minorEastAsia"/>
          <w:b/>
          <w:bCs/>
          <w:w w:val="95"/>
        </w:rPr>
        <w:t>采购人：</w:t>
      </w:r>
      <w:bookmarkEnd w:id="0"/>
      <w:r>
        <w:rPr>
          <w:rFonts w:hint="eastAsia" w:asciiTheme="minorEastAsia" w:hAnsiTheme="minorEastAsia" w:eastAsiaTheme="minorEastAsia" w:cstheme="minorEastAsia"/>
          <w:b/>
          <w:bCs/>
          <w:u w:val="single"/>
        </w:rPr>
        <w:t xml:space="preserve"> </w:t>
      </w:r>
      <w:r>
        <w:rPr>
          <w:rFonts w:hint="eastAsia" w:asciiTheme="minorEastAsia" w:hAnsiTheme="minorEastAsia" w:eastAsiaTheme="minorEastAsia" w:cstheme="minorEastAsia"/>
          <w:b/>
          <w:bCs/>
          <w:u w:val="single"/>
          <w:lang w:val="en-US" w:eastAsia="zh-CN"/>
        </w:rPr>
        <w:t>西安市临潼区人民法院</w:t>
      </w:r>
      <w:r>
        <w:rPr>
          <w:rFonts w:hint="eastAsia" w:asciiTheme="minorEastAsia" w:hAnsiTheme="minorEastAsia" w:eastAsiaTheme="minorEastAsia" w:cstheme="minorEastAsia"/>
          <w:b/>
          <w:bCs/>
          <w:u w:val="single"/>
        </w:rPr>
        <w:tab/>
      </w:r>
      <w:r>
        <w:rPr>
          <w:rFonts w:hint="eastAsia" w:asciiTheme="minorEastAsia" w:hAnsiTheme="minorEastAsia" w:eastAsiaTheme="minorEastAsia" w:cstheme="minorEastAsia"/>
          <w:b/>
          <w:bCs/>
          <w:u w:val="single"/>
        </w:rPr>
        <w:t xml:space="preserve">      </w:t>
      </w:r>
    </w:p>
    <w:p>
      <w:pPr>
        <w:pStyle w:val="6"/>
        <w:spacing w:before="5"/>
        <w:rPr>
          <w:rFonts w:asciiTheme="minorEastAsia" w:hAnsiTheme="minorEastAsia" w:eastAsiaTheme="minorEastAsia" w:cstheme="minorEastAsia"/>
          <w:b/>
          <w:bCs/>
        </w:rPr>
      </w:pPr>
    </w:p>
    <w:p>
      <w:pPr>
        <w:pStyle w:val="3"/>
        <w:tabs>
          <w:tab w:val="left" w:pos="5316"/>
        </w:tabs>
        <w:spacing w:before="0"/>
        <w:ind w:right="425" w:firstLine="2442" w:firstLineChars="800"/>
        <w:rPr>
          <w:rFonts w:hint="eastAsia" w:asciiTheme="minorEastAsia" w:hAnsiTheme="minorEastAsia" w:eastAsiaTheme="minorEastAsia" w:cstheme="minorEastAsia"/>
          <w:b/>
          <w:bCs/>
          <w:sz w:val="28"/>
          <w:szCs w:val="28"/>
        </w:rPr>
      </w:pPr>
      <w:bookmarkStart w:id="1" w:name="_Toc4907"/>
      <w:r>
        <w:rPr>
          <w:rFonts w:hint="eastAsia" w:asciiTheme="minorEastAsia" w:hAnsiTheme="minorEastAsia" w:eastAsiaTheme="minorEastAsia" w:cstheme="minorEastAsia"/>
          <w:b/>
          <w:bCs/>
          <w:w w:val="95"/>
        </w:rPr>
        <w:t>供应商：</w:t>
      </w:r>
      <w:bookmarkEnd w:id="1"/>
      <w:r>
        <w:rPr>
          <w:rFonts w:hint="eastAsia" w:asciiTheme="minorEastAsia" w:hAnsiTheme="minorEastAsia" w:eastAsiaTheme="minorEastAsia" w:cstheme="minorEastAsia"/>
          <w:b/>
          <w:bCs/>
          <w:w w:val="95"/>
          <w:u w:val="single"/>
        </w:rPr>
        <w:t xml:space="preserve">         </w:t>
      </w:r>
      <w:bookmarkStart w:id="2" w:name="_Toc17163"/>
      <w:r>
        <w:rPr>
          <w:rFonts w:hint="eastAsia" w:asciiTheme="minorEastAsia" w:hAnsiTheme="minorEastAsia" w:eastAsiaTheme="minorEastAsia" w:cstheme="minorEastAsia"/>
          <w:b/>
          <w:bCs/>
          <w:u w:val="single"/>
        </w:rPr>
        <w:t xml:space="preserve">                    </w:t>
      </w:r>
    </w:p>
    <w:p>
      <w:pPr>
        <w:pStyle w:val="3"/>
        <w:spacing w:before="172"/>
        <w:ind w:right="751"/>
        <w:jc w:val="center"/>
        <w:rPr>
          <w:rFonts w:asciiTheme="minorEastAsia" w:hAnsiTheme="minorEastAsia" w:eastAsiaTheme="minorEastAsia" w:cstheme="minorEastAsia"/>
          <w:b/>
          <w:bCs/>
        </w:rPr>
        <w:sectPr>
          <w:headerReference r:id="rId3" w:type="default"/>
          <w:footerReference r:id="rId4" w:type="default"/>
          <w:pgSz w:w="11910" w:h="16840"/>
          <w:pgMar w:top="1380" w:right="780" w:bottom="1380" w:left="940" w:header="882" w:footer="1181" w:gutter="0"/>
          <w:cols w:space="720" w:num="1"/>
        </w:sectPr>
      </w:pP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二〇二</w:t>
      </w:r>
      <w:r>
        <w:rPr>
          <w:rFonts w:hint="eastAsia" w:asciiTheme="minorEastAsia" w:hAnsiTheme="minorEastAsia" w:eastAsiaTheme="minorEastAsia" w:cstheme="minorEastAsia"/>
          <w:b/>
          <w:bCs/>
          <w:sz w:val="28"/>
          <w:szCs w:val="28"/>
          <w:lang w:val="en-US" w:eastAsia="zh-CN"/>
        </w:rPr>
        <w:t>六</w:t>
      </w:r>
      <w:r>
        <w:rPr>
          <w:rFonts w:hint="eastAsia" w:asciiTheme="minorEastAsia" w:hAnsiTheme="minorEastAsia" w:eastAsiaTheme="minorEastAsia" w:cstheme="minorEastAsia"/>
          <w:b/>
          <w:bCs/>
          <w:sz w:val="28"/>
          <w:szCs w:val="28"/>
        </w:rPr>
        <w:t>年</w:t>
      </w:r>
      <w:r>
        <w:rPr>
          <w:rFonts w:hint="eastAsia" w:asciiTheme="minorEastAsia" w:hAnsiTheme="minorEastAsia" w:eastAsiaTheme="minorEastAsia" w:cstheme="minorEastAsia"/>
          <w:b/>
          <w:bCs/>
          <w:u w:val="single"/>
        </w:rPr>
        <w:t xml:space="preserve">  </w:t>
      </w:r>
      <w:r>
        <w:rPr>
          <w:rFonts w:hint="eastAsia" w:asciiTheme="minorEastAsia" w:hAnsiTheme="minorEastAsia" w:eastAsiaTheme="minorEastAsia" w:cstheme="minorEastAsia"/>
          <w:b/>
          <w:bCs/>
          <w:sz w:val="28"/>
          <w:szCs w:val="28"/>
        </w:rPr>
        <w:t>月</w:t>
      </w:r>
      <w:bookmarkEnd w:id="2"/>
    </w:p>
    <w:p>
      <w:pPr>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第一条：合同单位</w:t>
      </w:r>
    </w:p>
    <w:p>
      <w:pPr>
        <w:spacing w:line="360"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甲方：</w:t>
      </w:r>
      <w:r>
        <w:rPr>
          <w:rFonts w:hint="eastAsia" w:asciiTheme="minorEastAsia" w:hAnsiTheme="minorEastAsia" w:eastAsiaTheme="minorEastAsia" w:cstheme="minorEastAsia"/>
          <w:b/>
          <w:sz w:val="24"/>
          <w:lang w:val="en-US" w:eastAsia="zh-CN"/>
        </w:rPr>
        <w:t>西安市临潼区人民法院</w:t>
      </w:r>
      <w:r>
        <w:rPr>
          <w:rFonts w:hint="eastAsia" w:asciiTheme="minorEastAsia" w:hAnsiTheme="minorEastAsia" w:eastAsiaTheme="minorEastAsia" w:cstheme="minorEastAsia"/>
          <w:b/>
          <w:sz w:val="24"/>
        </w:rPr>
        <w:t xml:space="preserve"> </w:t>
      </w:r>
    </w:p>
    <w:p>
      <w:pPr>
        <w:spacing w:line="360" w:lineRule="auto"/>
        <w:rPr>
          <w:rFonts w:hint="default"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地址：</w:t>
      </w:r>
      <w:r>
        <w:rPr>
          <w:rFonts w:hint="eastAsia" w:asciiTheme="minorEastAsia" w:hAnsiTheme="minorEastAsia" w:eastAsiaTheme="minorEastAsia" w:cstheme="minorEastAsia"/>
          <w:b/>
          <w:sz w:val="24"/>
          <w:lang w:val="en-US" w:eastAsia="zh-CN"/>
        </w:rPr>
        <w:t>西安市临潼区人民北路4号</w:t>
      </w:r>
    </w:p>
    <w:p>
      <w:pPr>
        <w:spacing w:line="360" w:lineRule="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电话：</w:t>
      </w:r>
    </w:p>
    <w:p>
      <w:pPr>
        <w:bidi w:val="0"/>
      </w:pPr>
    </w:p>
    <w:p>
      <w:pPr>
        <w:spacing w:line="360" w:lineRule="auto"/>
        <w:rPr>
          <w:rFonts w:hint="default"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乙方</w:t>
      </w:r>
      <w:r>
        <w:rPr>
          <w:rFonts w:hint="eastAsia" w:asciiTheme="minorEastAsia" w:hAnsiTheme="minorEastAsia" w:eastAsiaTheme="minorEastAsia" w:cstheme="minorEastAsia"/>
          <w:b/>
          <w:sz w:val="24"/>
          <w:lang w:eastAsia="zh-CN"/>
        </w:rPr>
        <w:t>：</w:t>
      </w:r>
    </w:p>
    <w:p>
      <w:pPr>
        <w:autoSpaceDE w:val="0"/>
        <w:autoSpaceDN w:val="0"/>
        <w:spacing w:line="360" w:lineRule="auto"/>
        <w:ind w:left="5760" w:hanging="5783" w:hangingChars="2400"/>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地址：</w:t>
      </w:r>
    </w:p>
    <w:p>
      <w:pPr>
        <w:spacing w:line="360" w:lineRule="auto"/>
        <w:rPr>
          <w:rFonts w:hint="default"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电话：</w:t>
      </w:r>
    </w:p>
    <w:p>
      <w:pPr>
        <w:spacing w:line="360" w:lineRule="auto"/>
        <w:ind w:left="1063" w:hanging="1063"/>
        <w:rPr>
          <w:rFonts w:hint="default" w:asciiTheme="minorEastAsia" w:hAnsiTheme="minorEastAsia" w:eastAsiaTheme="minorEastAsia" w:cstheme="minorEastAsia"/>
          <w:b/>
          <w:sz w:val="24"/>
          <w:lang w:val="en-US" w:eastAsia="zh-CN"/>
        </w:rPr>
      </w:pPr>
      <w:r>
        <w:rPr>
          <w:rFonts w:hint="eastAsia" w:asciiTheme="minorEastAsia" w:hAnsiTheme="minorEastAsia" w:eastAsiaTheme="minorEastAsia" w:cstheme="minorEastAsia"/>
          <w:b/>
          <w:sz w:val="24"/>
        </w:rPr>
        <w:t>第二条： 项目名称：</w:t>
      </w:r>
    </w:p>
    <w:p>
      <w:pPr>
        <w:spacing w:line="360" w:lineRule="auto"/>
        <w:ind w:left="1063" w:hanging="1063"/>
        <w:rPr>
          <w:rFonts w:asciiTheme="minorEastAsia" w:hAnsiTheme="minorEastAsia" w:eastAsiaTheme="minorEastAsia" w:cstheme="minorEastAsia"/>
          <w:sz w:val="24"/>
        </w:rPr>
      </w:pPr>
      <w:r>
        <w:rPr>
          <w:rFonts w:hint="eastAsia" w:asciiTheme="minorEastAsia" w:hAnsiTheme="minorEastAsia" w:eastAsiaTheme="minorEastAsia" w:cstheme="minorEastAsia"/>
          <w:b/>
          <w:sz w:val="24"/>
        </w:rPr>
        <w:t>第三条： 项目内容：</w:t>
      </w:r>
      <w:r>
        <w:rPr>
          <w:rFonts w:hint="eastAsia" w:asciiTheme="minorEastAsia" w:hAnsiTheme="minorEastAsia" w:eastAsiaTheme="minorEastAsia" w:cstheme="minorEastAsia"/>
          <w:sz w:val="24"/>
        </w:rPr>
        <w:t xml:space="preserve"> </w:t>
      </w:r>
    </w:p>
    <w:p>
      <w:pPr>
        <w:pStyle w:val="2"/>
        <w:ind w:firstLine="480" w:firstLineChars="200"/>
        <w:rPr>
          <w:rFonts w:hint="eastAsia" w:eastAsia="仿宋"/>
          <w:b w:val="0"/>
          <w:bCs w:val="0"/>
          <w:lang w:eastAsia="zh-CN"/>
        </w:rPr>
      </w:pPr>
      <w:bookmarkStart w:id="3" w:name="_GoBack"/>
      <w:bookmarkEnd w:id="3"/>
      <w:r>
        <w:rPr>
          <w:rFonts w:hint="eastAsia" w:asciiTheme="minorEastAsia" w:hAnsiTheme="minorEastAsia" w:eastAsiaTheme="minorEastAsia" w:cstheme="minorEastAsia"/>
          <w:b w:val="0"/>
          <w:bCs w:val="0"/>
          <w:sz w:val="24"/>
          <w:szCs w:val="24"/>
          <w:lang w:eastAsia="zh-CN"/>
        </w:rPr>
        <w:t>为落实司法信息化、智慧法院建设，推进案件线上办理、卷宗数字化流转，解决传统纸质卷宗存储难、查阅慢、易损耗、调卷不便、办案效率低等问题，通过电子卷宗信息建设，实现临潼法院卷宗管理数字化、规范化、智能化，减少纸质卷宗使用，节约办案成本，提高法官办案效率，为智慧法院建设、一站式诉讼服务提供基础数据支撑，助力司法公正高效。</w:t>
      </w:r>
    </w:p>
    <w:p>
      <w:pPr>
        <w:spacing w:line="360" w:lineRule="auto"/>
        <w:rPr>
          <w:rFonts w:ascii="宋体" w:hAnsi="宋体" w:eastAsia="宋体" w:cs="宋体"/>
          <w:b/>
          <w:color w:val="000000"/>
          <w:sz w:val="24"/>
        </w:rPr>
      </w:pPr>
      <w:r>
        <w:rPr>
          <w:rFonts w:ascii="宋体" w:hAnsi="宋体" w:eastAsia="宋体" w:cs="宋体"/>
          <w:b/>
          <w:color w:val="000000"/>
          <w:sz w:val="24"/>
        </w:rPr>
        <w:t>第四条：</w:t>
      </w:r>
      <w:r>
        <w:rPr>
          <w:rFonts w:hint="eastAsia" w:ascii="宋体" w:hAnsi="宋体" w:eastAsia="宋体" w:cs="宋体"/>
          <w:b/>
          <w:color w:val="000000"/>
          <w:sz w:val="24"/>
        </w:rPr>
        <w:t>服务要求</w:t>
      </w:r>
    </w:p>
    <w:p>
      <w:pPr>
        <w:spacing w:line="360" w:lineRule="auto"/>
        <w:jc w:val="left"/>
        <w:rPr>
          <w:rFonts w:ascii="宋体" w:hAnsi="宋体" w:eastAsia="宋体" w:cs="宋体"/>
          <w:b/>
          <w:bCs/>
          <w:sz w:val="24"/>
        </w:rPr>
      </w:pPr>
      <w:r>
        <w:rPr>
          <w:rFonts w:hint="eastAsia" w:ascii="宋体" w:hAnsi="宋体" w:eastAsia="宋体" w:cs="宋体"/>
          <w:b/>
          <w:color w:val="000000"/>
          <w:sz w:val="24"/>
        </w:rPr>
        <w:t xml:space="preserve">    一</w:t>
      </w:r>
      <w:r>
        <w:rPr>
          <w:rFonts w:hint="eastAsia" w:ascii="宋体" w:hAnsi="宋体" w:eastAsia="宋体" w:cs="宋体"/>
          <w:b/>
          <w:color w:val="000000"/>
          <w:sz w:val="24"/>
          <w:highlight w:val="none"/>
        </w:rPr>
        <w:t>、电子卷宗随案生成服务实施标准及依据</w:t>
      </w:r>
    </w:p>
    <w:p>
      <w:pPr>
        <w:spacing w:line="360" w:lineRule="auto"/>
        <w:ind w:firstLine="480"/>
        <w:rPr>
          <w:rFonts w:ascii="宋体" w:hAnsi="宋体" w:eastAsia="宋体" w:cs="宋体"/>
          <w:sz w:val="24"/>
        </w:rPr>
      </w:pPr>
      <w:r>
        <w:rPr>
          <w:rFonts w:ascii="宋体" w:hAnsi="宋体" w:eastAsia="宋体" w:cs="宋体"/>
          <w:sz w:val="24"/>
        </w:rPr>
        <w:t>本项目的质量要求按照陕西省高级人民法院对电子档案的建设要求来执行。依据或参照行业的有关标准规范进行项目实施，具体如下：</w:t>
      </w:r>
    </w:p>
    <w:p>
      <w:pPr>
        <w:spacing w:line="360" w:lineRule="auto"/>
        <w:ind w:firstLine="480"/>
        <w:rPr>
          <w:rFonts w:ascii="宋体" w:hAnsi="宋体" w:eastAsia="宋体" w:cs="宋体"/>
          <w:color w:val="000000"/>
          <w:sz w:val="24"/>
        </w:rPr>
      </w:pPr>
      <w:r>
        <w:rPr>
          <w:rFonts w:ascii="宋体" w:hAnsi="宋体" w:eastAsia="宋体" w:cs="宋体"/>
          <w:color w:val="000000"/>
          <w:sz w:val="24"/>
        </w:rPr>
        <w:t>（一）DA/T 31-2017中华人民共和国档案行业标准《纸质档案数字化技术规范》；</w:t>
      </w:r>
    </w:p>
    <w:p>
      <w:pPr>
        <w:spacing w:line="360" w:lineRule="auto"/>
        <w:ind w:firstLine="480"/>
        <w:rPr>
          <w:rFonts w:ascii="宋体" w:hAnsi="宋体" w:eastAsia="宋体" w:cs="宋体"/>
          <w:color w:val="000000"/>
          <w:sz w:val="24"/>
        </w:rPr>
      </w:pPr>
      <w:r>
        <w:rPr>
          <w:rFonts w:ascii="宋体" w:hAnsi="宋体" w:eastAsia="宋体" w:cs="宋体"/>
          <w:color w:val="000000"/>
          <w:sz w:val="24"/>
        </w:rPr>
        <w:t>（二）DA/T18-1999《档案著录规则》；</w:t>
      </w:r>
    </w:p>
    <w:p>
      <w:pPr>
        <w:spacing w:line="360" w:lineRule="auto"/>
        <w:ind w:firstLine="480"/>
        <w:rPr>
          <w:rFonts w:ascii="宋体" w:hAnsi="宋体" w:eastAsia="宋体" w:cs="宋体"/>
          <w:color w:val="000000"/>
          <w:sz w:val="24"/>
        </w:rPr>
      </w:pPr>
      <w:r>
        <w:rPr>
          <w:rFonts w:ascii="宋体" w:hAnsi="宋体" w:eastAsia="宋体" w:cs="宋体"/>
          <w:color w:val="000000"/>
          <w:sz w:val="24"/>
        </w:rPr>
        <w:t>（三）GB/T 18894-2016《电子文档归档与管理规范》；</w:t>
      </w:r>
    </w:p>
    <w:p>
      <w:pPr>
        <w:spacing w:line="360" w:lineRule="auto"/>
        <w:ind w:firstLine="480"/>
        <w:rPr>
          <w:rFonts w:ascii="宋体" w:hAnsi="宋体" w:eastAsia="宋体" w:cs="宋体"/>
          <w:color w:val="000000"/>
          <w:sz w:val="24"/>
        </w:rPr>
      </w:pPr>
      <w:r>
        <w:rPr>
          <w:rFonts w:ascii="宋体" w:hAnsi="宋体" w:eastAsia="宋体" w:cs="宋体"/>
          <w:color w:val="000000"/>
          <w:sz w:val="24"/>
        </w:rPr>
        <w:t>（四）《档案法》；</w:t>
      </w:r>
    </w:p>
    <w:p>
      <w:pPr>
        <w:spacing w:line="360" w:lineRule="auto"/>
        <w:ind w:firstLine="480"/>
        <w:rPr>
          <w:rFonts w:ascii="宋体" w:hAnsi="宋体" w:eastAsia="宋体" w:cs="宋体"/>
          <w:color w:val="000000"/>
          <w:sz w:val="24"/>
        </w:rPr>
      </w:pPr>
      <w:r>
        <w:rPr>
          <w:rFonts w:ascii="宋体" w:hAnsi="宋体" w:eastAsia="宋体" w:cs="宋体"/>
          <w:color w:val="000000"/>
          <w:sz w:val="24"/>
        </w:rPr>
        <w:t>（五）GB/T7156-2016《文献保密等级代码》；</w:t>
      </w:r>
    </w:p>
    <w:p>
      <w:pPr>
        <w:spacing w:line="360" w:lineRule="auto"/>
        <w:ind w:firstLine="480"/>
        <w:rPr>
          <w:rFonts w:ascii="宋体" w:hAnsi="宋体" w:eastAsia="宋体" w:cs="宋体"/>
          <w:color w:val="000000"/>
          <w:sz w:val="24"/>
        </w:rPr>
      </w:pPr>
      <w:r>
        <w:rPr>
          <w:rFonts w:ascii="宋体" w:hAnsi="宋体" w:eastAsia="宋体" w:cs="宋体"/>
          <w:color w:val="000000"/>
          <w:sz w:val="24"/>
        </w:rPr>
        <w:t>（六）《信息技术连续色调静态图像的数字压缩及编码第1部分：要求和指南》GB/T 17235.1-1998;</w:t>
      </w:r>
    </w:p>
    <w:p>
      <w:pPr>
        <w:spacing w:line="360" w:lineRule="auto"/>
        <w:ind w:firstLine="480"/>
      </w:pPr>
      <w:r>
        <w:rPr>
          <w:rFonts w:ascii="宋体" w:hAnsi="宋体" w:eastAsia="宋体" w:cs="宋体"/>
          <w:color w:val="000000"/>
          <w:sz w:val="24"/>
        </w:rPr>
        <w:t>（七）《信息技术连续色调静态图像的数字压缩及编码第2部分：一致性测试》GB/T17235.2-1998;</w:t>
      </w:r>
    </w:p>
    <w:p>
      <w:pPr>
        <w:spacing w:line="560" w:lineRule="exact"/>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w:t>
      </w:r>
      <w:r>
        <w:rPr>
          <w:rFonts w:hint="eastAsia" w:ascii="宋体" w:hAnsi="宋体" w:eastAsia="宋体" w:cs="宋体"/>
          <w:b/>
          <w:color w:val="000000"/>
          <w:sz w:val="24"/>
          <w:highlight w:val="none"/>
        </w:rPr>
        <w:t>电子卷宗随案生成服务</w:t>
      </w:r>
      <w:r>
        <w:rPr>
          <w:rFonts w:ascii="宋体" w:hAnsi="宋体" w:eastAsia="宋体" w:cs="宋体"/>
          <w:b/>
          <w:color w:val="000000"/>
          <w:sz w:val="24"/>
          <w:highlight w:val="none"/>
        </w:rPr>
        <w:t>技术与质量要求</w:t>
      </w:r>
      <w:r>
        <w:rPr>
          <w:rFonts w:hint="eastAsia" w:ascii="宋体" w:hAnsi="宋体" w:eastAsia="宋体" w:cs="宋体"/>
          <w:b/>
          <w:color w:val="000000" w:themeColor="text1"/>
          <w:sz w:val="24"/>
          <w14:textFill>
            <w14:solidFill>
              <w14:schemeClr w14:val="tx1"/>
            </w14:solidFill>
          </w14:textFill>
        </w:rPr>
        <w:t>：</w:t>
      </w:r>
    </w:p>
    <w:p>
      <w:pPr>
        <w:pStyle w:val="18"/>
        <w:spacing w:line="360" w:lineRule="auto"/>
        <w:ind w:firstLine="482"/>
        <w:rPr>
          <w:rFonts w:ascii="宋体" w:hAnsi="宋体" w:cs="宋体"/>
          <w:b/>
          <w:bCs/>
          <w:sz w:val="24"/>
        </w:rPr>
      </w:pPr>
      <w:r>
        <w:rPr>
          <w:rFonts w:hint="eastAsia" w:ascii="宋体" w:hAnsi="宋体" w:cs="宋体"/>
          <w:b/>
          <w:bCs/>
          <w:sz w:val="24"/>
        </w:rPr>
        <w:t>1-1立案阶段</w:t>
      </w:r>
    </w:p>
    <w:p>
      <w:pPr>
        <w:pStyle w:val="18"/>
        <w:spacing w:line="360" w:lineRule="auto"/>
        <w:ind w:firstLine="480"/>
        <w:rPr>
          <w:rFonts w:ascii="宋体" w:hAnsi="宋体" w:cs="宋体"/>
          <w:sz w:val="24"/>
        </w:rPr>
      </w:pPr>
      <w:r>
        <w:rPr>
          <w:rFonts w:hint="eastAsia" w:ascii="宋体" w:hAnsi="宋体" w:cs="宋体"/>
          <w:sz w:val="24"/>
        </w:rPr>
        <w:t>创建电子卷宗：在立案窗口增配专业扫描人员和扫描设备，对当事人提交的立案审查表、当事人身份证明、受理案件通知书、起诉书等案件材料，进行集中快速扫描上传。</w:t>
      </w:r>
    </w:p>
    <w:p>
      <w:pPr>
        <w:pStyle w:val="18"/>
        <w:spacing w:line="360" w:lineRule="auto"/>
        <w:ind w:firstLine="480"/>
        <w:rPr>
          <w:rFonts w:ascii="宋体" w:hAnsi="宋体" w:cs="宋体"/>
          <w:sz w:val="24"/>
        </w:rPr>
      </w:pPr>
      <w:r>
        <w:rPr>
          <w:rFonts w:hint="eastAsia" w:ascii="宋体" w:hAnsi="宋体" w:cs="宋体"/>
          <w:sz w:val="24"/>
        </w:rPr>
        <w:t>分拣材料：扫描人员收到扫描任务后分拣材料，先按照材料所属人分类，再将材料所属人下的证据类和非证据类分开，即进行两次分拣，其中重复材料分拣出来单独存放等相关工作。</w:t>
      </w:r>
    </w:p>
    <w:p>
      <w:pPr>
        <w:pStyle w:val="18"/>
        <w:spacing w:line="360" w:lineRule="auto"/>
        <w:ind w:firstLine="480"/>
        <w:rPr>
          <w:rFonts w:ascii="宋体" w:hAnsi="宋体" w:cs="宋体"/>
          <w:sz w:val="24"/>
        </w:rPr>
      </w:pPr>
      <w:r>
        <w:rPr>
          <w:rFonts w:hint="eastAsia" w:ascii="宋体" w:hAnsi="宋体" w:cs="宋体"/>
          <w:sz w:val="24"/>
        </w:rPr>
        <w:t>扫描上传：利用专业扫描仪进行诉讼材料扫描上传，上传后的图像和目录一一对应。</w:t>
      </w:r>
    </w:p>
    <w:p>
      <w:pPr>
        <w:pStyle w:val="18"/>
        <w:spacing w:line="360" w:lineRule="auto"/>
        <w:ind w:firstLine="480"/>
        <w:rPr>
          <w:rFonts w:ascii="宋体" w:hAnsi="宋体" w:cs="宋体"/>
          <w:sz w:val="24"/>
        </w:rPr>
      </w:pPr>
      <w:r>
        <w:rPr>
          <w:rFonts w:hint="eastAsia" w:ascii="宋体" w:hAnsi="宋体" w:cs="宋体"/>
          <w:sz w:val="24"/>
        </w:rPr>
        <w:t>智能编目：通过图文识别、自然语言处理等技术，将所有电子文件自动区分为一份一份的独立文件，并根据文本、图像判断文本的类型及标题，将每一份文件命名为如应诉通知书、传票等文件名。</w:t>
      </w:r>
    </w:p>
    <w:p>
      <w:pPr>
        <w:pStyle w:val="18"/>
        <w:spacing w:line="360" w:lineRule="auto"/>
        <w:ind w:firstLine="480"/>
        <w:rPr>
          <w:rFonts w:ascii="宋体" w:hAnsi="宋体" w:cs="宋体"/>
          <w:sz w:val="24"/>
        </w:rPr>
      </w:pPr>
      <w:r>
        <w:rPr>
          <w:rFonts w:hint="eastAsia" w:ascii="宋体" w:hAnsi="宋体" w:cs="宋体"/>
          <w:sz w:val="24"/>
        </w:rPr>
        <w:t>智能关联匹配：系统可以自动根据当前案件的当事人信息和案件类型自动进入办案平台数据库进行关联案件信息匹配，用户确认后，即可一键快速上传到办案平台中。</w:t>
      </w:r>
    </w:p>
    <w:p>
      <w:pPr>
        <w:pStyle w:val="18"/>
        <w:spacing w:line="360" w:lineRule="auto"/>
        <w:ind w:firstLine="482"/>
        <w:rPr>
          <w:rFonts w:hint="eastAsia" w:ascii="宋体" w:hAnsi="宋体" w:cs="宋体"/>
          <w:b/>
          <w:bCs/>
          <w:sz w:val="24"/>
        </w:rPr>
      </w:pPr>
    </w:p>
    <w:p>
      <w:pPr>
        <w:pStyle w:val="18"/>
        <w:spacing w:line="360" w:lineRule="auto"/>
        <w:ind w:firstLine="482"/>
        <w:rPr>
          <w:rFonts w:ascii="宋体" w:hAnsi="宋体" w:cs="宋体"/>
          <w:b/>
          <w:bCs/>
          <w:sz w:val="24"/>
        </w:rPr>
      </w:pPr>
      <w:r>
        <w:rPr>
          <w:rFonts w:hint="eastAsia" w:ascii="宋体" w:hAnsi="宋体" w:cs="宋体"/>
          <w:b/>
          <w:bCs/>
          <w:sz w:val="24"/>
        </w:rPr>
        <w:t>1-2庭审阶段</w:t>
      </w:r>
    </w:p>
    <w:p>
      <w:pPr>
        <w:pStyle w:val="18"/>
        <w:spacing w:line="360" w:lineRule="auto"/>
        <w:ind w:firstLine="480"/>
        <w:rPr>
          <w:rFonts w:ascii="宋体" w:hAnsi="宋体" w:cs="宋体"/>
          <w:sz w:val="24"/>
        </w:rPr>
      </w:pPr>
      <w:r>
        <w:rPr>
          <w:rFonts w:hint="eastAsia" w:ascii="宋体" w:hAnsi="宋体" w:cs="宋体"/>
          <w:sz w:val="24"/>
        </w:rPr>
        <w:t>补充材料扫描：案件审理过程中新补充的材料需按分拣流程中的方式分类扫描并归类到相应案件。</w:t>
      </w:r>
    </w:p>
    <w:p>
      <w:pPr>
        <w:pStyle w:val="18"/>
        <w:spacing w:line="360" w:lineRule="auto"/>
        <w:ind w:firstLine="482"/>
        <w:rPr>
          <w:rFonts w:hint="eastAsia" w:ascii="宋体" w:hAnsi="宋体" w:cs="宋体"/>
          <w:b/>
          <w:bCs/>
          <w:sz w:val="24"/>
        </w:rPr>
      </w:pPr>
    </w:p>
    <w:p>
      <w:pPr>
        <w:pStyle w:val="18"/>
        <w:spacing w:line="360" w:lineRule="auto"/>
        <w:ind w:firstLine="482"/>
        <w:rPr>
          <w:rFonts w:ascii="宋体" w:hAnsi="宋体" w:cs="宋体"/>
          <w:b/>
          <w:bCs/>
          <w:sz w:val="24"/>
        </w:rPr>
      </w:pPr>
      <w:r>
        <w:rPr>
          <w:rFonts w:hint="eastAsia" w:ascii="宋体" w:hAnsi="宋体" w:cs="宋体"/>
          <w:b/>
          <w:bCs/>
          <w:sz w:val="24"/>
        </w:rPr>
        <w:t>1-3结案阶段</w:t>
      </w:r>
    </w:p>
    <w:p>
      <w:pPr>
        <w:spacing w:line="360" w:lineRule="auto"/>
        <w:ind w:firstLine="480" w:firstLineChars="200"/>
        <w:rPr>
          <w:rFonts w:ascii="宋体" w:hAnsi="宋体" w:eastAsia="宋体" w:cs="宋体"/>
          <w:sz w:val="24"/>
          <w:szCs w:val="22"/>
        </w:rPr>
      </w:pPr>
      <w:r>
        <w:rPr>
          <w:rFonts w:hint="eastAsia" w:ascii="宋体" w:hAnsi="宋体" w:eastAsia="宋体" w:cs="宋体"/>
          <w:sz w:val="24"/>
          <w:szCs w:val="22"/>
        </w:rPr>
        <w:t>归目：系统会将编目后的电子文书归类到电子卷宗相应目录，归目人员需逐个检查目录下的电子文书是否归目正确，有偏差的需归目人员手动归到电子卷宗相应目录下，部分文书需人为判断归到哪一类相应目录下等相关工作。</w:t>
      </w:r>
    </w:p>
    <w:p>
      <w:pPr>
        <w:spacing w:line="360" w:lineRule="auto"/>
        <w:ind w:firstLine="480" w:firstLineChars="200"/>
        <w:rPr>
          <w:rFonts w:ascii="宋体" w:hAnsi="宋体" w:eastAsia="宋体" w:cs="宋体"/>
          <w:sz w:val="24"/>
          <w:szCs w:val="22"/>
        </w:rPr>
      </w:pPr>
      <w:r>
        <w:rPr>
          <w:rFonts w:hint="eastAsia" w:ascii="宋体" w:hAnsi="宋体" w:eastAsia="宋体" w:cs="宋体"/>
          <w:sz w:val="24"/>
          <w:szCs w:val="22"/>
        </w:rPr>
        <w:t>电子卷宗自动归档：生成电子页码、生成归档目录、自动生成必要的归档信息。</w:t>
      </w:r>
    </w:p>
    <w:p>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送装订：待质检员检查后送装订等相关工作。按照纸质档案有关规定，进行三孔一线手动装订，生成完整的纸质诉讼档案。</w:t>
      </w:r>
    </w:p>
    <w:p>
      <w:pPr>
        <w:spacing w:line="360" w:lineRule="auto"/>
        <w:ind w:firstLine="480" w:firstLineChars="200"/>
        <w:rPr>
          <w:rFonts w:ascii="宋体" w:hAnsi="宋体" w:eastAsia="宋体" w:cs="宋体"/>
          <w:b/>
          <w:bCs/>
          <w:sz w:val="24"/>
          <w:szCs w:val="22"/>
        </w:rPr>
      </w:pPr>
      <w:r>
        <w:rPr>
          <w:rFonts w:hint="eastAsia" w:ascii="宋体" w:hAnsi="宋体" w:eastAsia="宋体" w:cs="宋体"/>
          <w:sz w:val="24"/>
          <w:szCs w:val="22"/>
        </w:rPr>
        <w:t>案卷归档：将装订后的纸质诉讼档案报送档案室归档。</w:t>
      </w:r>
    </w:p>
    <w:p>
      <w:pPr>
        <w:spacing w:line="360" w:lineRule="auto"/>
        <w:rPr>
          <w:rFonts w:ascii="宋体" w:hAnsi="宋体" w:eastAsia="宋体" w:cs="宋体"/>
          <w:b/>
          <w:sz w:val="24"/>
        </w:rPr>
      </w:pPr>
    </w:p>
    <w:p>
      <w:pPr>
        <w:spacing w:line="360" w:lineRule="auto"/>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五</w:t>
      </w:r>
      <w:r>
        <w:rPr>
          <w:rFonts w:ascii="宋体" w:hAnsi="宋体" w:eastAsia="宋体" w:cs="宋体"/>
          <w:b/>
          <w:sz w:val="24"/>
        </w:rPr>
        <w:t>条：合同价款</w:t>
      </w:r>
    </w:p>
    <w:tbl>
      <w:tblPr>
        <w:tblStyle w:val="14"/>
        <w:tblW w:w="8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2223"/>
        <w:gridCol w:w="1127"/>
        <w:gridCol w:w="1799"/>
        <w:gridCol w:w="1670"/>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9" w:type="dxa"/>
          </w:tcPr>
          <w:p>
            <w:pPr>
              <w:pStyle w:val="2"/>
              <w:jc w:val="center"/>
              <w:rPr>
                <w:rFonts w:hint="eastAsia" w:eastAsia="宋体"/>
                <w:vertAlign w:val="baseline"/>
                <w:lang w:val="en-US" w:eastAsia="zh-CN"/>
              </w:rPr>
            </w:pPr>
            <w:r>
              <w:rPr>
                <w:rFonts w:hint="eastAsia" w:eastAsia="宋体"/>
                <w:vertAlign w:val="baseline"/>
                <w:lang w:val="en-US" w:eastAsia="zh-CN"/>
              </w:rPr>
              <w:t>序号</w:t>
            </w:r>
          </w:p>
        </w:tc>
        <w:tc>
          <w:tcPr>
            <w:tcW w:w="2223" w:type="dxa"/>
          </w:tcPr>
          <w:p>
            <w:pPr>
              <w:pStyle w:val="2"/>
              <w:jc w:val="center"/>
              <w:rPr>
                <w:rFonts w:hint="eastAsia" w:eastAsia="宋体"/>
                <w:vertAlign w:val="baseline"/>
                <w:lang w:val="en-US" w:eastAsia="zh-CN"/>
              </w:rPr>
            </w:pPr>
            <w:r>
              <w:rPr>
                <w:rFonts w:hint="eastAsia" w:eastAsia="宋体"/>
                <w:vertAlign w:val="baseline"/>
                <w:lang w:val="en-US" w:eastAsia="zh-CN"/>
              </w:rPr>
              <w:t>服务名称</w:t>
            </w:r>
          </w:p>
        </w:tc>
        <w:tc>
          <w:tcPr>
            <w:tcW w:w="1127" w:type="dxa"/>
          </w:tcPr>
          <w:p>
            <w:pPr>
              <w:pStyle w:val="2"/>
              <w:jc w:val="center"/>
              <w:rPr>
                <w:rFonts w:hint="eastAsia" w:eastAsia="宋体"/>
                <w:vertAlign w:val="baseline"/>
                <w:lang w:val="en-US" w:eastAsia="zh-CN"/>
              </w:rPr>
            </w:pPr>
            <w:r>
              <w:rPr>
                <w:rFonts w:hint="eastAsia" w:eastAsia="宋体"/>
                <w:vertAlign w:val="baseline"/>
                <w:lang w:val="en-US" w:eastAsia="zh-CN"/>
              </w:rPr>
              <w:t>单位</w:t>
            </w:r>
          </w:p>
        </w:tc>
        <w:tc>
          <w:tcPr>
            <w:tcW w:w="1799" w:type="dxa"/>
          </w:tcPr>
          <w:p>
            <w:pPr>
              <w:pStyle w:val="2"/>
              <w:jc w:val="center"/>
              <w:rPr>
                <w:vertAlign w:val="baseline"/>
              </w:rPr>
            </w:pPr>
            <w:r>
              <w:rPr>
                <w:rFonts w:hint="eastAsia" w:ascii="Calibri" w:hAnsi="Calibri" w:eastAsia="宋体"/>
                <w:vertAlign w:val="baseline"/>
                <w:lang w:eastAsia="zh-CN"/>
              </w:rPr>
              <w:t>单价报价（元）</w:t>
            </w:r>
          </w:p>
        </w:tc>
        <w:tc>
          <w:tcPr>
            <w:tcW w:w="1670" w:type="dxa"/>
          </w:tcPr>
          <w:p>
            <w:pPr>
              <w:pStyle w:val="2"/>
              <w:jc w:val="center"/>
              <w:rPr>
                <w:vertAlign w:val="baseline"/>
              </w:rPr>
            </w:pPr>
            <w:r>
              <w:rPr>
                <w:rFonts w:hint="eastAsia" w:ascii="Calibri" w:hAnsi="Calibri" w:eastAsia="宋体"/>
                <w:vertAlign w:val="baseline"/>
                <w:lang w:eastAsia="zh-CN"/>
              </w:rPr>
              <w:t>报价总价（元）</w:t>
            </w:r>
          </w:p>
        </w:tc>
        <w:tc>
          <w:tcPr>
            <w:tcW w:w="1190" w:type="dxa"/>
          </w:tcPr>
          <w:p>
            <w:pPr>
              <w:pStyle w:val="2"/>
              <w:jc w:val="center"/>
              <w:rPr>
                <w:vertAlign w:val="baseline"/>
              </w:rPr>
            </w:pPr>
            <w:r>
              <w:rPr>
                <w:rFonts w:hint="eastAsia" w:ascii="Calibri" w:hAnsi="Calibri" w:eastAsia="宋体"/>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trPr>
        <w:tc>
          <w:tcPr>
            <w:tcW w:w="729" w:type="dxa"/>
          </w:tcPr>
          <w:p>
            <w:pPr>
              <w:pStyle w:val="2"/>
              <w:ind w:firstLine="241" w:firstLineChars="100"/>
              <w:rPr>
                <w:rFonts w:hint="eastAsia" w:eastAsia="宋体"/>
                <w:vertAlign w:val="baseline"/>
                <w:lang w:val="en-US" w:eastAsia="zh-CN"/>
              </w:rPr>
            </w:pPr>
            <w:r>
              <w:rPr>
                <w:rFonts w:hint="eastAsia" w:eastAsia="宋体"/>
                <w:vertAlign w:val="baseline"/>
                <w:lang w:val="en-US" w:eastAsia="zh-CN"/>
              </w:rPr>
              <w:t>1</w:t>
            </w:r>
          </w:p>
        </w:tc>
        <w:tc>
          <w:tcPr>
            <w:tcW w:w="2223" w:type="dxa"/>
          </w:tcPr>
          <w:p>
            <w:pPr>
              <w:pStyle w:val="2"/>
              <w:keepNext/>
              <w:keepLines/>
              <w:pageBreakBefore w:val="0"/>
              <w:widowControl w:val="0"/>
              <w:kinsoku/>
              <w:wordWrap/>
              <w:overflowPunct/>
              <w:topLinePunct w:val="0"/>
              <w:autoSpaceDE/>
              <w:autoSpaceDN/>
              <w:bidi w:val="0"/>
              <w:adjustRightInd w:val="0"/>
              <w:snapToGrid/>
              <w:spacing w:line="240" w:lineRule="auto"/>
              <w:textAlignment w:val="baseline"/>
              <w:rPr>
                <w:vertAlign w:val="baseline"/>
              </w:rPr>
            </w:pPr>
            <w:r>
              <w:rPr>
                <w:rFonts w:ascii="宋体" w:hAnsi="宋体" w:eastAsia="宋体" w:cs="宋体"/>
                <w:sz w:val="24"/>
              </w:rPr>
              <w:t>即时档案扫描</w:t>
            </w:r>
          </w:p>
        </w:tc>
        <w:tc>
          <w:tcPr>
            <w:tcW w:w="1127" w:type="dxa"/>
          </w:tcPr>
          <w:p>
            <w:pPr>
              <w:pStyle w:val="2"/>
              <w:spacing w:line="240" w:lineRule="auto"/>
              <w:jc w:val="center"/>
              <w:rPr>
                <w:vertAlign w:val="baseline"/>
              </w:rPr>
            </w:pPr>
            <w:r>
              <w:rPr>
                <w:rFonts w:hint="eastAsia" w:ascii="宋体" w:hAnsi="宋体" w:eastAsia="宋体" w:cs="宋体"/>
                <w:sz w:val="24"/>
                <w:lang w:val="en-US" w:eastAsia="zh-CN"/>
              </w:rPr>
              <w:t>190万</w:t>
            </w:r>
            <w:r>
              <w:rPr>
                <w:rFonts w:ascii="宋体" w:hAnsi="宋体" w:eastAsia="宋体" w:cs="宋体"/>
                <w:sz w:val="24"/>
              </w:rPr>
              <w:t>页</w:t>
            </w:r>
          </w:p>
        </w:tc>
        <w:tc>
          <w:tcPr>
            <w:tcW w:w="1799" w:type="dxa"/>
          </w:tcPr>
          <w:p>
            <w:pPr>
              <w:pStyle w:val="2"/>
              <w:spacing w:line="240" w:lineRule="auto"/>
              <w:rPr>
                <w:vertAlign w:val="baseline"/>
              </w:rPr>
            </w:pPr>
          </w:p>
        </w:tc>
        <w:tc>
          <w:tcPr>
            <w:tcW w:w="1670" w:type="dxa"/>
            <w:shd w:val="clear" w:color="auto" w:fill="auto"/>
            <w:vAlign w:val="center"/>
          </w:tcPr>
          <w:p>
            <w:pPr>
              <w:pStyle w:val="2"/>
              <w:spacing w:line="240" w:lineRule="auto"/>
              <w:rPr>
                <w:rFonts w:hint="default" w:ascii="Calibri" w:hAnsi="Calibri" w:eastAsia="宋体" w:cs="Times New Roman"/>
                <w:kern w:val="2"/>
                <w:sz w:val="21"/>
                <w:szCs w:val="24"/>
                <w:vertAlign w:val="baseline"/>
                <w:lang w:val="en-US" w:eastAsia="zh-CN" w:bidi="ar-SA"/>
              </w:rPr>
            </w:pPr>
          </w:p>
        </w:tc>
        <w:tc>
          <w:tcPr>
            <w:tcW w:w="1190" w:type="dxa"/>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9" w:type="dxa"/>
          </w:tcPr>
          <w:p>
            <w:pPr>
              <w:pStyle w:val="2"/>
              <w:ind w:firstLine="241" w:firstLineChars="100"/>
              <w:rPr>
                <w:rFonts w:hint="eastAsia" w:eastAsia="宋体"/>
                <w:vertAlign w:val="baseline"/>
                <w:lang w:val="en-US" w:eastAsia="zh-CN"/>
              </w:rPr>
            </w:pPr>
            <w:r>
              <w:rPr>
                <w:rFonts w:hint="eastAsia" w:eastAsia="宋体"/>
                <w:vertAlign w:val="baseline"/>
                <w:lang w:val="en-US" w:eastAsia="zh-CN"/>
              </w:rPr>
              <w:t>2</w:t>
            </w:r>
          </w:p>
        </w:tc>
        <w:tc>
          <w:tcPr>
            <w:tcW w:w="2223" w:type="dxa"/>
          </w:tcPr>
          <w:p>
            <w:pPr>
              <w:pStyle w:val="2"/>
              <w:spacing w:line="240" w:lineRule="auto"/>
              <w:rPr>
                <w:vertAlign w:val="baseline"/>
              </w:rPr>
            </w:pPr>
            <w:r>
              <w:rPr>
                <w:rFonts w:hint="eastAsia" w:ascii="宋体" w:hAnsi="宋体" w:eastAsia="宋体" w:cs="宋体"/>
                <w:sz w:val="24"/>
                <w:highlight w:val="none"/>
                <w:lang w:eastAsia="zh-CN"/>
              </w:rPr>
              <w:t>电子卷宗随案生成</w:t>
            </w:r>
          </w:p>
        </w:tc>
        <w:tc>
          <w:tcPr>
            <w:tcW w:w="1127" w:type="dxa"/>
          </w:tcPr>
          <w:p>
            <w:pPr>
              <w:pStyle w:val="2"/>
              <w:spacing w:line="240" w:lineRule="auto"/>
              <w:jc w:val="center"/>
              <w:rPr>
                <w:vertAlign w:val="baseline"/>
              </w:rPr>
            </w:pPr>
            <w:r>
              <w:rPr>
                <w:rFonts w:hint="eastAsia" w:ascii="宋体" w:hAnsi="宋体" w:eastAsia="宋体" w:cs="宋体"/>
                <w:sz w:val="24"/>
                <w:lang w:val="en-US" w:eastAsia="zh-CN"/>
              </w:rPr>
              <w:t>890</w:t>
            </w:r>
            <w:r>
              <w:rPr>
                <w:rFonts w:hint="eastAsia" w:ascii="宋体" w:hAnsi="宋体" w:eastAsia="宋体" w:cs="宋体"/>
                <w:sz w:val="24"/>
                <w:lang w:eastAsia="zh-CN"/>
              </w:rPr>
              <w:t>案</w:t>
            </w:r>
          </w:p>
        </w:tc>
        <w:tc>
          <w:tcPr>
            <w:tcW w:w="1799" w:type="dxa"/>
          </w:tcPr>
          <w:p>
            <w:pPr>
              <w:pStyle w:val="2"/>
              <w:spacing w:line="240" w:lineRule="auto"/>
              <w:jc w:val="center"/>
              <w:rPr>
                <w:vertAlign w:val="baseline"/>
              </w:rPr>
            </w:pPr>
          </w:p>
        </w:tc>
        <w:tc>
          <w:tcPr>
            <w:tcW w:w="1670" w:type="dxa"/>
          </w:tcPr>
          <w:p>
            <w:pPr>
              <w:pStyle w:val="2"/>
              <w:spacing w:line="240" w:lineRule="auto"/>
              <w:rPr>
                <w:vertAlign w:val="baseline"/>
              </w:rPr>
            </w:pPr>
          </w:p>
        </w:tc>
        <w:tc>
          <w:tcPr>
            <w:tcW w:w="1190" w:type="dxa"/>
          </w:tcPr>
          <w:p>
            <w:pPr>
              <w:pStyle w:val="2"/>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9" w:type="dxa"/>
            <w:shd w:val="clear" w:color="auto" w:fill="auto"/>
            <w:vAlign w:val="top"/>
          </w:tcPr>
          <w:p>
            <w:pPr>
              <w:pStyle w:val="2"/>
              <w:ind w:firstLine="241" w:firstLineChars="100"/>
              <w:rPr>
                <w:rFonts w:hint="eastAsia" w:ascii="Tahoma" w:hAnsi="Tahoma" w:eastAsia="宋体" w:cs="Times New Roman"/>
                <w:b/>
                <w:bCs/>
                <w:kern w:val="44"/>
                <w:sz w:val="24"/>
                <w:szCs w:val="44"/>
                <w:vertAlign w:val="baseline"/>
                <w:lang w:val="en-US" w:eastAsia="zh-CN" w:bidi="ar-SA"/>
              </w:rPr>
            </w:pPr>
            <w:r>
              <w:rPr>
                <w:rFonts w:hint="eastAsia" w:eastAsia="宋体"/>
                <w:vertAlign w:val="baseline"/>
                <w:lang w:val="en-US" w:eastAsia="zh-CN"/>
              </w:rPr>
              <w:t>3</w:t>
            </w:r>
          </w:p>
        </w:tc>
        <w:tc>
          <w:tcPr>
            <w:tcW w:w="2223" w:type="dxa"/>
            <w:shd w:val="clear" w:color="auto" w:fill="auto"/>
            <w:vAlign w:val="top"/>
          </w:tcPr>
          <w:p>
            <w:pPr>
              <w:pStyle w:val="2"/>
              <w:jc w:val="center"/>
              <w:rPr>
                <w:rFonts w:hint="eastAsia" w:ascii="Tahoma" w:hAnsi="Tahoma" w:eastAsia="宋体" w:cs="Times New Roman"/>
                <w:b/>
                <w:bCs/>
                <w:kern w:val="44"/>
                <w:sz w:val="24"/>
                <w:szCs w:val="44"/>
                <w:vertAlign w:val="baseline"/>
                <w:lang w:val="en-US" w:eastAsia="zh-CN" w:bidi="ar-SA"/>
              </w:rPr>
            </w:pPr>
            <w:r>
              <w:rPr>
                <w:rFonts w:hint="eastAsia" w:eastAsia="宋体"/>
                <w:sz w:val="28"/>
                <w:szCs w:val="28"/>
                <w:vertAlign w:val="baseline"/>
                <w:lang w:val="en-US" w:eastAsia="zh-CN"/>
              </w:rPr>
              <w:t>合   计</w:t>
            </w:r>
          </w:p>
        </w:tc>
        <w:tc>
          <w:tcPr>
            <w:tcW w:w="5786" w:type="dxa"/>
            <w:gridSpan w:val="4"/>
          </w:tcPr>
          <w:p>
            <w:pPr>
              <w:pStyle w:val="2"/>
              <w:rPr>
                <w:vertAlign w:val="baseline"/>
              </w:rPr>
            </w:pPr>
          </w:p>
        </w:tc>
      </w:tr>
    </w:tbl>
    <w:p>
      <w:pPr>
        <w:spacing w:line="360" w:lineRule="auto"/>
        <w:ind w:firstLine="480" w:firstLineChars="200"/>
        <w:outlineLvl w:val="1"/>
        <w:rPr>
          <w:rFonts w:hint="eastAsia" w:ascii="宋体" w:hAnsi="宋体" w:eastAsia="宋体" w:cs="宋体"/>
          <w:bCs/>
          <w:sz w:val="24"/>
        </w:rPr>
      </w:pPr>
    </w:p>
    <w:p>
      <w:pPr>
        <w:spacing w:line="360" w:lineRule="auto"/>
        <w:ind w:firstLine="480" w:firstLineChars="200"/>
        <w:outlineLvl w:val="1"/>
        <w:rPr>
          <w:rFonts w:ascii="宋体" w:hAnsi="宋体" w:eastAsia="宋体" w:cs="宋体"/>
          <w:b/>
          <w:sz w:val="24"/>
        </w:rPr>
      </w:pPr>
      <w:r>
        <w:rPr>
          <w:rFonts w:hint="eastAsia" w:ascii="宋体" w:hAnsi="宋体" w:eastAsia="宋体" w:cs="宋体"/>
          <w:bCs/>
          <w:sz w:val="24"/>
        </w:rPr>
        <w:t>本项目为总价合同，合同总价为：</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rPr>
        <w:t>元（大写：</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rPr>
        <w:t xml:space="preserve"> </w:t>
      </w:r>
      <w:r>
        <w:rPr>
          <w:rFonts w:hint="eastAsia" w:ascii="宋体" w:hAnsi="宋体" w:eastAsia="宋体" w:cs="宋体"/>
          <w:szCs w:val="21"/>
          <w:u w:val="single"/>
        </w:rPr>
        <w:t xml:space="preserve"> </w:t>
      </w:r>
      <w:r>
        <w:rPr>
          <w:rFonts w:hint="eastAsia" w:ascii="宋体" w:hAnsi="宋体" w:eastAsia="宋体" w:cs="宋体"/>
          <w:bCs/>
          <w:sz w:val="24"/>
          <w:u w:val="single"/>
          <w:lang w:val="en-US" w:eastAsia="zh-CN"/>
        </w:rPr>
        <w:t>元整</w:t>
      </w:r>
      <w:r>
        <w:rPr>
          <w:rFonts w:hint="eastAsia" w:ascii="宋体" w:hAnsi="宋体" w:eastAsia="宋体" w:cs="宋体"/>
          <w:szCs w:val="21"/>
        </w:rPr>
        <w:t>），</w:t>
      </w:r>
      <w:r>
        <w:rPr>
          <w:rFonts w:hint="eastAsia" w:ascii="宋体" w:hAnsi="宋体" w:eastAsia="宋体" w:cs="宋体"/>
          <w:bCs/>
          <w:sz w:val="24"/>
        </w:rPr>
        <w:t>在合同履行期间不因为市场价格或其他任何原因而发生变动</w:t>
      </w:r>
      <w:r>
        <w:rPr>
          <w:rFonts w:ascii="宋体" w:hAnsi="宋体" w:eastAsia="宋体" w:cs="宋体"/>
          <w:bCs/>
          <w:spacing w:val="4"/>
          <w:sz w:val="24"/>
        </w:rPr>
        <w:t>。</w:t>
      </w:r>
    </w:p>
    <w:p>
      <w:pPr>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六</w:t>
      </w:r>
      <w:r>
        <w:rPr>
          <w:rFonts w:ascii="宋体" w:hAnsi="宋体" w:eastAsia="宋体" w:cs="宋体"/>
          <w:b/>
          <w:sz w:val="24"/>
        </w:rPr>
        <w:t>条：施工保证</w:t>
      </w:r>
    </w:p>
    <w:p>
      <w:pPr>
        <w:spacing w:line="360" w:lineRule="auto"/>
        <w:ind w:firstLine="480"/>
        <w:rPr>
          <w:rFonts w:ascii="宋体" w:hAnsi="宋体" w:eastAsia="宋体" w:cs="宋体"/>
          <w:sz w:val="24"/>
        </w:rPr>
      </w:pPr>
      <w:r>
        <w:rPr>
          <w:rFonts w:ascii="宋体" w:hAnsi="宋体" w:eastAsia="宋体" w:cs="宋体"/>
          <w:sz w:val="24"/>
        </w:rPr>
        <w:t>1、甲方需提供不小于</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rPr>
        <w:t>平方的场地，配备文</w:t>
      </w:r>
      <w:r>
        <w:rPr>
          <w:rFonts w:hint="eastAsia" w:ascii="宋体" w:hAnsi="宋体" w:eastAsia="宋体" w:cs="宋体"/>
          <w:sz w:val="24"/>
          <w:highlight w:val="none"/>
          <w:lang w:val="en-US" w:eastAsia="zh-CN"/>
        </w:rPr>
        <w:t>件</w:t>
      </w:r>
      <w:r>
        <w:rPr>
          <w:rFonts w:ascii="宋体" w:hAnsi="宋体" w:eastAsia="宋体" w:cs="宋体"/>
          <w:sz w:val="24"/>
        </w:rPr>
        <w:t>柜、饮水等必要设施。</w:t>
      </w:r>
    </w:p>
    <w:p>
      <w:pPr>
        <w:spacing w:line="360" w:lineRule="auto"/>
        <w:ind w:firstLine="480"/>
        <w:rPr>
          <w:rFonts w:ascii="宋体" w:hAnsi="宋体" w:eastAsia="宋体" w:cs="宋体"/>
          <w:sz w:val="24"/>
        </w:rPr>
      </w:pPr>
      <w:r>
        <w:rPr>
          <w:rFonts w:ascii="宋体" w:hAnsi="宋体" w:eastAsia="宋体" w:cs="宋体"/>
          <w:sz w:val="24"/>
        </w:rPr>
        <w:t>2、甲方需指派一名以上人员负责乙方项目实施人员的疑难解答与工作监督。</w:t>
      </w:r>
    </w:p>
    <w:p>
      <w:pPr>
        <w:spacing w:line="360" w:lineRule="auto"/>
        <w:ind w:firstLine="480"/>
        <w:rPr>
          <w:rFonts w:ascii="宋体" w:hAnsi="宋体" w:eastAsia="宋体" w:cs="宋体"/>
          <w:sz w:val="24"/>
        </w:rPr>
      </w:pPr>
      <w:r>
        <w:rPr>
          <w:rFonts w:ascii="宋体" w:hAnsi="宋体" w:eastAsia="宋体" w:cs="宋体"/>
          <w:b/>
          <w:sz w:val="24"/>
        </w:rPr>
        <w:t>3</w:t>
      </w:r>
      <w:r>
        <w:rPr>
          <w:rFonts w:ascii="宋体" w:hAnsi="宋体" w:eastAsia="宋体" w:cs="宋体"/>
          <w:sz w:val="24"/>
        </w:rPr>
        <w:t xml:space="preserve">、合同签定之日起15个工作日内，乙方人员须进入施工现场。 </w:t>
      </w:r>
    </w:p>
    <w:p>
      <w:pPr>
        <w:spacing w:line="360" w:lineRule="auto"/>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七</w:t>
      </w:r>
      <w:r>
        <w:rPr>
          <w:rFonts w:ascii="宋体" w:hAnsi="宋体" w:eastAsia="宋体" w:cs="宋体"/>
          <w:b/>
          <w:sz w:val="24"/>
        </w:rPr>
        <w:t>条：成品档案移交与验收</w:t>
      </w:r>
    </w:p>
    <w:p>
      <w:pPr>
        <w:spacing w:line="360" w:lineRule="auto"/>
        <w:ind w:firstLine="480"/>
        <w:rPr>
          <w:rFonts w:ascii="宋体" w:hAnsi="宋体" w:eastAsia="宋体" w:cs="宋体"/>
          <w:sz w:val="24"/>
        </w:rPr>
      </w:pPr>
      <w:r>
        <w:rPr>
          <w:rFonts w:ascii="宋体" w:hAnsi="宋体" w:eastAsia="宋体" w:cs="宋体"/>
          <w:sz w:val="24"/>
        </w:rPr>
        <w:t>1、成品档案移交与验收：乙方完成的成品档案分批次送甲方验收并移交给甲方。具体验收由甲方验收小组进行。</w:t>
      </w:r>
    </w:p>
    <w:p>
      <w:pPr>
        <w:spacing w:line="360" w:lineRule="auto"/>
        <w:ind w:firstLine="480"/>
        <w:rPr>
          <w:rFonts w:ascii="宋体" w:hAnsi="宋体" w:eastAsia="宋体" w:cs="宋体"/>
          <w:sz w:val="24"/>
        </w:rPr>
      </w:pPr>
      <w:r>
        <w:rPr>
          <w:rFonts w:ascii="宋体" w:hAnsi="宋体" w:eastAsia="宋体" w:cs="宋体"/>
          <w:sz w:val="24"/>
        </w:rPr>
        <w:t>2、档案验收：成品档案移交后，由甲方进行验收，验收工作按档案成品移交分批次验收，并同时由甲方负责提交验收报告。</w:t>
      </w:r>
    </w:p>
    <w:p>
      <w:pPr>
        <w:spacing w:line="360" w:lineRule="auto"/>
        <w:ind w:firstLine="480"/>
        <w:rPr>
          <w:rFonts w:ascii="宋体" w:hAnsi="宋体" w:eastAsia="宋体" w:cs="宋体"/>
          <w:sz w:val="24"/>
        </w:rPr>
      </w:pPr>
      <w:r>
        <w:rPr>
          <w:rFonts w:ascii="宋体" w:hAnsi="宋体" w:eastAsia="宋体" w:cs="宋体"/>
          <w:sz w:val="24"/>
        </w:rPr>
        <w:t>3、数据验收合格并提交后，乙方提供免费质保。</w:t>
      </w:r>
    </w:p>
    <w:p>
      <w:pPr>
        <w:spacing w:line="360" w:lineRule="auto"/>
        <w:ind w:firstLine="480"/>
        <w:rPr>
          <w:rFonts w:ascii="宋体" w:hAnsi="宋体" w:eastAsia="宋体" w:cs="宋体"/>
          <w:sz w:val="24"/>
        </w:rPr>
      </w:pPr>
      <w:r>
        <w:rPr>
          <w:rFonts w:ascii="宋体" w:hAnsi="宋体" w:eastAsia="宋体" w:cs="宋体"/>
          <w:sz w:val="24"/>
        </w:rPr>
        <w:t>4、成品数字化扫描数据符合</w:t>
      </w:r>
      <w:r>
        <w:rPr>
          <w:rFonts w:hint="eastAsia" w:ascii="宋体" w:hAnsi="宋体" w:eastAsia="宋体" w:cs="宋体"/>
          <w:sz w:val="24"/>
          <w:lang w:val="en-US" w:eastAsia="zh-CN"/>
        </w:rPr>
        <w:t>甲方</w:t>
      </w:r>
      <w:r>
        <w:rPr>
          <w:rFonts w:ascii="宋体" w:hAnsi="宋体" w:eastAsia="宋体" w:cs="宋体"/>
          <w:sz w:val="24"/>
        </w:rPr>
        <w:t>档案管理要求标准。</w:t>
      </w:r>
    </w:p>
    <w:p>
      <w:pPr>
        <w:spacing w:line="360" w:lineRule="auto"/>
        <w:ind w:firstLine="480"/>
        <w:rPr>
          <w:rFonts w:hint="eastAsia" w:ascii="宋体" w:hAnsi="宋体" w:eastAsia="宋体" w:cs="宋体"/>
          <w:b/>
          <w:sz w:val="24"/>
        </w:rPr>
      </w:pP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p>
    <w:p>
      <w:pPr>
        <w:spacing w:line="360" w:lineRule="auto"/>
        <w:rPr>
          <w:rFonts w:ascii="宋体" w:hAnsi="宋体" w:eastAsia="宋体" w:cs="宋体"/>
          <w:b/>
          <w:sz w:val="24"/>
        </w:rPr>
      </w:pPr>
      <w:r>
        <w:rPr>
          <w:rFonts w:hint="eastAsia" w:ascii="宋体" w:hAnsi="宋体" w:eastAsia="宋体" w:cs="宋体"/>
          <w:b/>
          <w:sz w:val="24"/>
        </w:rPr>
        <w:t>第八条：</w:t>
      </w:r>
      <w:r>
        <w:rPr>
          <w:rFonts w:ascii="宋体" w:hAnsi="宋体" w:eastAsia="宋体" w:cs="宋体"/>
          <w:b/>
          <w:sz w:val="24"/>
        </w:rPr>
        <w:t>付款</w:t>
      </w:r>
    </w:p>
    <w:p>
      <w:pPr>
        <w:spacing w:line="360" w:lineRule="auto"/>
        <w:ind w:firstLine="480"/>
        <w:rPr>
          <w:rFonts w:ascii="宋体" w:hAnsi="宋体" w:eastAsia="宋体" w:cs="宋体"/>
          <w:sz w:val="24"/>
        </w:rPr>
      </w:pPr>
      <w:r>
        <w:rPr>
          <w:rFonts w:ascii="宋体" w:hAnsi="宋体" w:eastAsia="宋体" w:cs="宋体"/>
          <w:sz w:val="24"/>
        </w:rPr>
        <w:t>1.</w:t>
      </w:r>
      <w:r>
        <w:rPr>
          <w:rFonts w:hint="eastAsia" w:ascii="宋体" w:hAnsi="宋体" w:cs="宋体"/>
          <w:color w:val="000000" w:themeColor="text1"/>
          <w:sz w:val="24"/>
          <w:highlight w:val="none"/>
          <w:lang w:eastAsia="zh-CN"/>
          <w14:textFill>
            <w14:solidFill>
              <w14:schemeClr w14:val="tx1"/>
            </w14:solidFill>
          </w14:textFill>
        </w:rPr>
        <w:t>自合同签订生效起</w:t>
      </w:r>
      <w:r>
        <w:rPr>
          <w:rFonts w:hint="eastAsia" w:ascii="宋体" w:hAnsi="宋体" w:cs="宋体"/>
          <w:color w:val="000000" w:themeColor="text1"/>
          <w:sz w:val="24"/>
          <w:highlight w:val="none"/>
          <w:lang w:val="en-US" w:eastAsia="zh-CN"/>
          <w14:textFill>
            <w14:solidFill>
              <w14:schemeClr w14:val="tx1"/>
            </w14:solidFill>
          </w14:textFill>
        </w:rPr>
        <w:t>15日内，甲方向乙方支付合同金额的50%;</w:t>
      </w:r>
      <w:r>
        <w:rPr>
          <w:rFonts w:hint="eastAsia" w:ascii="宋体" w:hAnsi="宋体" w:eastAsia="宋体" w:cs="宋体"/>
          <w:b w:val="0"/>
          <w:color w:val="000000" w:themeColor="text1"/>
          <w:kern w:val="2"/>
          <w:sz w:val="24"/>
          <w:szCs w:val="22"/>
          <w:highlight w:val="none"/>
          <w:lang w:val="en-US" w:eastAsia="zh-CN" w:bidi="ar-SA"/>
          <w14:textFill>
            <w14:solidFill>
              <w14:schemeClr w14:val="tx1"/>
            </w14:solidFill>
          </w14:textFill>
        </w:rPr>
        <w:t>项目实施过程中，根据实施进度验收，验收由乙方提出书面申请报告，甲方确认签字后进行结算，达到付款条件起15日内，支付合同金额剩余的50%。</w:t>
      </w:r>
    </w:p>
    <w:p>
      <w:pPr>
        <w:spacing w:before="156" w:after="156" w:line="360" w:lineRule="auto"/>
        <w:ind w:firstLine="420"/>
        <w:rPr>
          <w:rFonts w:ascii="宋体" w:hAnsi="宋体" w:eastAsia="宋体" w:cs="宋体"/>
          <w:sz w:val="24"/>
        </w:rPr>
      </w:pPr>
      <w:r>
        <w:rPr>
          <w:rFonts w:ascii="宋体" w:hAnsi="宋体" w:eastAsia="宋体" w:cs="宋体"/>
          <w:sz w:val="24"/>
        </w:rPr>
        <w:t xml:space="preserve"> 2. 支付方式：银行转账。</w:t>
      </w:r>
    </w:p>
    <w:p>
      <w:pPr>
        <w:spacing w:before="156" w:after="156" w:line="360" w:lineRule="auto"/>
        <w:ind w:firstLine="420"/>
        <w:rPr>
          <w:rFonts w:ascii="宋体" w:hAnsi="宋体" w:eastAsia="宋体" w:cs="宋体"/>
          <w:sz w:val="24"/>
        </w:rPr>
      </w:pPr>
      <w:r>
        <w:rPr>
          <w:rFonts w:ascii="宋体" w:hAnsi="宋体" w:eastAsia="宋体" w:cs="宋体"/>
          <w:sz w:val="24"/>
        </w:rPr>
        <w:t xml:space="preserve"> 3. 乙方需向甲方出具合法有效的完税发票，甲方进行支付结算。</w:t>
      </w:r>
    </w:p>
    <w:p>
      <w:pPr>
        <w:spacing w:line="360" w:lineRule="auto"/>
        <w:rPr>
          <w:rFonts w:ascii="宋体" w:hAnsi="宋体" w:eastAsia="宋体" w:cs="宋体"/>
          <w:b/>
          <w:sz w:val="24"/>
        </w:rPr>
      </w:pPr>
      <w:r>
        <w:rPr>
          <w:rFonts w:ascii="宋体" w:hAnsi="宋体" w:eastAsia="宋体" w:cs="宋体"/>
          <w:b/>
          <w:sz w:val="24"/>
        </w:rPr>
        <w:t>第</w:t>
      </w:r>
      <w:r>
        <w:rPr>
          <w:rFonts w:hint="eastAsia" w:ascii="宋体" w:hAnsi="宋体" w:eastAsia="宋体" w:cs="宋体"/>
          <w:b/>
          <w:sz w:val="24"/>
        </w:rPr>
        <w:t>九</w:t>
      </w:r>
      <w:r>
        <w:rPr>
          <w:rFonts w:ascii="宋体" w:hAnsi="宋体" w:eastAsia="宋体" w:cs="宋体"/>
          <w:b/>
          <w:sz w:val="24"/>
        </w:rPr>
        <w:t>条：违约责任</w:t>
      </w:r>
    </w:p>
    <w:p>
      <w:pPr>
        <w:spacing w:line="360" w:lineRule="auto"/>
        <w:ind w:firstLine="480"/>
        <w:rPr>
          <w:rFonts w:ascii="宋体" w:hAnsi="宋体" w:eastAsia="宋体" w:cs="宋体"/>
          <w:sz w:val="24"/>
          <w:highlight w:val="none"/>
        </w:rPr>
      </w:pPr>
      <w:r>
        <w:rPr>
          <w:rFonts w:ascii="宋体" w:hAnsi="宋体" w:eastAsia="宋体" w:cs="宋体"/>
          <w:sz w:val="24"/>
        </w:rPr>
        <w:t>1、乙方未能在要求时间内完成施工</w:t>
      </w:r>
      <w:r>
        <w:rPr>
          <w:rFonts w:ascii="宋体" w:hAnsi="宋体" w:eastAsia="宋体" w:cs="宋体"/>
          <w:sz w:val="24"/>
          <w:highlight w:val="none"/>
        </w:rPr>
        <w:t>，超出时间部分按每天0.01%扣除。</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2、数据验收完成后，甲方未在约定时间付清余款，按延迟付款总额每天0.01%承担违约金。</w:t>
      </w:r>
    </w:p>
    <w:p>
      <w:pPr>
        <w:spacing w:line="360" w:lineRule="auto"/>
        <w:rPr>
          <w:rFonts w:ascii="宋体" w:hAnsi="宋体" w:eastAsia="宋体" w:cs="宋体"/>
          <w:sz w:val="24"/>
        </w:rPr>
      </w:pPr>
      <w:r>
        <w:rPr>
          <w:rFonts w:ascii="宋体" w:hAnsi="宋体" w:eastAsia="宋体" w:cs="宋体"/>
          <w:b/>
          <w:sz w:val="24"/>
        </w:rPr>
        <w:t>第十条</w:t>
      </w:r>
      <w:r>
        <w:rPr>
          <w:rFonts w:ascii="宋体" w:hAnsi="宋体" w:eastAsia="宋体" w:cs="宋体"/>
          <w:sz w:val="24"/>
        </w:rPr>
        <w:t>：解决纠纷方式：出现纠纷时，首先双方协商解决，如果协商不能解决时，按有关法律程序解决；</w:t>
      </w:r>
    </w:p>
    <w:p>
      <w:pPr>
        <w:spacing w:line="360" w:lineRule="auto"/>
        <w:rPr>
          <w:rFonts w:ascii="宋体" w:hAnsi="宋体" w:eastAsia="宋体" w:cs="宋体"/>
          <w:b/>
          <w:sz w:val="24"/>
        </w:rPr>
      </w:pPr>
    </w:p>
    <w:p>
      <w:pPr>
        <w:spacing w:line="360" w:lineRule="auto"/>
        <w:rPr>
          <w:rFonts w:ascii="宋体" w:hAnsi="宋体" w:eastAsia="宋体" w:cs="宋体"/>
          <w:sz w:val="24"/>
          <w:u w:val="single"/>
        </w:rPr>
      </w:pPr>
      <w:r>
        <w:rPr>
          <w:rFonts w:ascii="宋体" w:hAnsi="宋体" w:eastAsia="宋体" w:cs="宋体"/>
          <w:b/>
          <w:sz w:val="24"/>
        </w:rPr>
        <w:t>第十</w:t>
      </w:r>
      <w:r>
        <w:rPr>
          <w:rFonts w:hint="eastAsia" w:ascii="宋体" w:hAnsi="宋体" w:eastAsia="宋体" w:cs="宋体"/>
          <w:b/>
          <w:sz w:val="24"/>
        </w:rPr>
        <w:t>一</w:t>
      </w:r>
      <w:r>
        <w:rPr>
          <w:rFonts w:ascii="宋体" w:hAnsi="宋体" w:eastAsia="宋体" w:cs="宋体"/>
          <w:b/>
          <w:sz w:val="24"/>
        </w:rPr>
        <w:t>条：</w:t>
      </w:r>
      <w:r>
        <w:rPr>
          <w:rFonts w:ascii="宋体" w:hAnsi="宋体" w:eastAsia="宋体" w:cs="宋体"/>
          <w:sz w:val="24"/>
        </w:rPr>
        <w:t>其它约定事项：</w:t>
      </w:r>
      <w:r>
        <w:rPr>
          <w:rFonts w:ascii="宋体" w:hAnsi="宋体" w:eastAsia="宋体" w:cs="宋体"/>
          <w:sz w:val="24"/>
          <w:u w:val="single"/>
        </w:rPr>
        <w:t>未尽事宜双方协商解决；</w:t>
      </w:r>
    </w:p>
    <w:p>
      <w:pPr>
        <w:spacing w:line="360" w:lineRule="auto"/>
        <w:rPr>
          <w:rFonts w:ascii="宋体" w:hAnsi="宋体" w:eastAsia="宋体" w:cs="宋体"/>
          <w:b/>
          <w:sz w:val="24"/>
        </w:rPr>
      </w:pPr>
    </w:p>
    <w:p>
      <w:pPr>
        <w:spacing w:line="560" w:lineRule="exact"/>
        <w:ind w:right="0"/>
        <w:rPr>
          <w:rFonts w:hint="eastAsia" w:ascii="宋体" w:hAnsi="宋体" w:eastAsia="宋体" w:cs="宋体"/>
          <w:sz w:val="24"/>
          <w:lang w:eastAsia="zh-CN"/>
        </w:rPr>
      </w:pPr>
      <w:r>
        <w:rPr>
          <w:rFonts w:ascii="宋体" w:hAnsi="宋体" w:eastAsia="宋体" w:cs="宋体"/>
          <w:b/>
          <w:sz w:val="24"/>
        </w:rPr>
        <w:t>第十</w:t>
      </w:r>
      <w:r>
        <w:rPr>
          <w:rFonts w:hint="eastAsia" w:ascii="宋体" w:hAnsi="宋体" w:eastAsia="宋体" w:cs="宋体"/>
          <w:b/>
          <w:sz w:val="24"/>
        </w:rPr>
        <w:t>二</w:t>
      </w:r>
      <w:r>
        <w:rPr>
          <w:rFonts w:ascii="宋体" w:hAnsi="宋体" w:eastAsia="宋体" w:cs="宋体"/>
          <w:b/>
          <w:sz w:val="24"/>
        </w:rPr>
        <w:t>条：</w:t>
      </w:r>
      <w:r>
        <w:rPr>
          <w:rFonts w:ascii="宋体" w:hAnsi="宋体" w:eastAsia="宋体" w:cs="宋体"/>
          <w:sz w:val="24"/>
        </w:rPr>
        <w:t>本合同</w:t>
      </w:r>
      <w:r>
        <w:rPr>
          <w:rFonts w:hint="eastAsia" w:ascii="宋体" w:hAnsi="宋体" w:eastAsia="宋体" w:cs="宋体"/>
          <w:sz w:val="24"/>
        </w:rPr>
        <w:t>共一式肆份，甲乙双方各执贰份</w:t>
      </w:r>
      <w:r>
        <w:rPr>
          <w:rFonts w:ascii="宋体" w:hAnsi="宋体" w:eastAsia="宋体" w:cs="宋体"/>
          <w:sz w:val="24"/>
        </w:rPr>
        <w:t>。</w:t>
      </w:r>
    </w:p>
    <w:p>
      <w:pPr>
        <w:spacing w:line="360" w:lineRule="auto"/>
        <w:rPr>
          <w:rFonts w:ascii="宋体" w:hAnsi="宋体" w:eastAsia="宋体" w:cs="宋体"/>
          <w:sz w:val="24"/>
        </w:rPr>
      </w:pPr>
    </w:p>
    <w:p>
      <w:pPr>
        <w:spacing w:line="360" w:lineRule="auto"/>
        <w:rPr>
          <w:rFonts w:ascii="宋体" w:hAnsi="宋体" w:eastAsia="宋体" w:cs="宋体"/>
          <w:sz w:val="24"/>
          <w:shd w:val="clear" w:color="auto" w:fill="FFFFFF"/>
        </w:rPr>
      </w:pPr>
    </w:p>
    <w:p>
      <w:pPr>
        <w:spacing w:line="360" w:lineRule="auto"/>
        <w:ind w:firstLine="240" w:firstLineChars="100"/>
        <w:rPr>
          <w:rFonts w:ascii="宋体" w:hAnsi="宋体" w:eastAsia="宋体" w:cs="宋体"/>
          <w:sz w:val="24"/>
          <w:shd w:val="clear" w:color="auto" w:fill="FFFFFF"/>
        </w:rPr>
      </w:pPr>
      <w:r>
        <w:rPr>
          <w:rFonts w:ascii="宋体" w:hAnsi="宋体" w:eastAsia="宋体" w:cs="宋体"/>
          <w:sz w:val="24"/>
          <w:shd w:val="clear" w:color="auto" w:fill="FFFFFF"/>
        </w:rPr>
        <w:t>甲方：</w:t>
      </w:r>
      <w:r>
        <w:rPr>
          <w:rFonts w:hint="eastAsia" w:ascii="宋体" w:hAnsi="宋体" w:eastAsia="宋体" w:cs="宋体"/>
          <w:sz w:val="24"/>
          <w:shd w:val="clear" w:color="auto" w:fill="FFFFFF"/>
          <w:lang w:val="en-US" w:eastAsia="zh-CN"/>
        </w:rPr>
        <w:t>西安市临潼区人民法院</w:t>
      </w:r>
      <w:r>
        <w:rPr>
          <w:rFonts w:hint="eastAsia" w:asciiTheme="minorEastAsia" w:hAnsiTheme="minorEastAsia" w:eastAsiaTheme="minorEastAsia" w:cstheme="minorEastAsia"/>
          <w:b/>
          <w:sz w:val="24"/>
        </w:rPr>
        <w:t xml:space="preserve"> </w:t>
      </w:r>
      <w:r>
        <w:rPr>
          <w:rFonts w:hint="eastAsia" w:asciiTheme="minorEastAsia" w:hAnsiTheme="minorEastAsia" w:eastAsiaTheme="minorEastAsia" w:cstheme="minorEastAsia"/>
          <w:b/>
          <w:sz w:val="24"/>
          <w:lang w:val="en-US" w:eastAsia="zh-CN"/>
        </w:rPr>
        <w:t xml:space="preserve">      </w:t>
      </w:r>
      <w:r>
        <w:rPr>
          <w:rFonts w:ascii="宋体" w:hAnsi="宋体" w:eastAsia="宋体" w:cs="宋体"/>
          <w:sz w:val="24"/>
          <w:shd w:val="clear" w:color="auto" w:fill="FFFFFF"/>
        </w:rPr>
        <w:t>乙方：</w:t>
      </w:r>
    </w:p>
    <w:p>
      <w:pPr>
        <w:spacing w:line="360" w:lineRule="auto"/>
        <w:ind w:firstLine="240" w:firstLineChars="100"/>
        <w:rPr>
          <w:rFonts w:ascii="宋体" w:hAnsi="宋体" w:eastAsia="宋体" w:cs="宋体"/>
          <w:sz w:val="24"/>
          <w:shd w:val="clear" w:color="auto" w:fill="FFFFFF"/>
        </w:rPr>
      </w:pPr>
    </w:p>
    <w:p>
      <w:pPr>
        <w:spacing w:line="360" w:lineRule="auto"/>
        <w:ind w:firstLine="240" w:firstLineChars="100"/>
        <w:rPr>
          <w:rFonts w:ascii="宋体" w:hAnsi="宋体" w:eastAsia="宋体" w:cs="宋体"/>
          <w:sz w:val="24"/>
          <w:shd w:val="clear" w:color="auto" w:fill="FFFFFF"/>
        </w:rPr>
      </w:pPr>
      <w:r>
        <w:rPr>
          <w:rFonts w:ascii="宋体" w:hAnsi="宋体" w:eastAsia="宋体" w:cs="宋体"/>
          <w:sz w:val="24"/>
          <w:shd w:val="clear" w:color="auto" w:fill="FFFFFF"/>
        </w:rPr>
        <w:t>法人代表或授权代表：</w:t>
      </w:r>
      <w:r>
        <w:rPr>
          <w:rFonts w:hint="eastAsia" w:ascii="宋体" w:hAnsi="宋体" w:eastAsia="宋体" w:cs="宋体"/>
          <w:sz w:val="24"/>
          <w:shd w:val="clear" w:color="auto" w:fill="FFFFFF"/>
          <w:lang w:val="en-US" w:eastAsia="zh-CN"/>
        </w:rPr>
        <w:t xml:space="preserve">             </w:t>
      </w:r>
      <w:r>
        <w:rPr>
          <w:rFonts w:ascii="宋体" w:hAnsi="宋体" w:eastAsia="宋体" w:cs="宋体"/>
          <w:sz w:val="24"/>
          <w:shd w:val="clear" w:color="auto" w:fill="FFFFFF"/>
        </w:rPr>
        <w:t>法人代表或授权代表：</w:t>
      </w:r>
    </w:p>
    <w:p>
      <w:pPr>
        <w:spacing w:line="360" w:lineRule="auto"/>
        <w:ind w:firstLine="240" w:firstLineChars="100"/>
        <w:rPr>
          <w:rFonts w:hint="eastAsia" w:ascii="宋体" w:hAnsi="宋体" w:eastAsia="宋体" w:cs="宋体"/>
          <w:sz w:val="24"/>
          <w:shd w:val="clear" w:color="auto" w:fill="FFFFFF"/>
          <w:lang w:eastAsia="zh-CN"/>
        </w:rPr>
      </w:pPr>
      <w:r>
        <w:rPr>
          <w:rFonts w:hint="eastAsia" w:ascii="宋体" w:hAnsi="宋体" w:eastAsia="宋体" w:cs="宋体"/>
          <w:sz w:val="24"/>
          <w:shd w:val="clear" w:color="auto" w:fill="FFFFFF"/>
          <w:lang w:val="en-US" w:eastAsia="zh-CN"/>
        </w:rPr>
        <w:t xml:space="preserve">                                 </w:t>
      </w:r>
      <w:r>
        <w:rPr>
          <w:rFonts w:hint="eastAsia" w:ascii="宋体" w:hAnsi="宋体" w:eastAsia="宋体" w:cs="宋体"/>
          <w:sz w:val="24"/>
          <w:shd w:val="clear" w:color="auto" w:fill="FFFFFF"/>
        </w:rPr>
        <w:t>开户银行：</w:t>
      </w:r>
    </w:p>
    <w:p>
      <w:pPr>
        <w:spacing w:line="360" w:lineRule="auto"/>
        <w:ind w:firstLine="4320" w:firstLineChars="1800"/>
        <w:rPr>
          <w:rFonts w:hint="default" w:ascii="宋体" w:hAnsi="宋体" w:eastAsia="宋体" w:cs="宋体"/>
          <w:sz w:val="24"/>
          <w:shd w:val="clear" w:color="auto" w:fill="FFFFFF"/>
          <w:lang w:val="en-US" w:eastAsia="zh-CN"/>
        </w:rPr>
      </w:pPr>
      <w:r>
        <w:rPr>
          <w:rFonts w:hint="eastAsia" w:ascii="宋体" w:hAnsi="宋体" w:eastAsia="宋体" w:cs="宋体"/>
          <w:sz w:val="24"/>
          <w:shd w:val="clear" w:color="auto" w:fill="FFFFFF"/>
          <w:lang w:eastAsia="zh-CN"/>
        </w:rPr>
        <w:t>帐号：</w:t>
      </w:r>
    </w:p>
    <w:p>
      <w:pPr>
        <w:spacing w:line="360" w:lineRule="auto"/>
        <w:ind w:firstLine="240" w:firstLineChars="100"/>
        <w:rPr>
          <w:rFonts w:hint="eastAsia" w:ascii="宋体" w:hAnsi="宋体" w:eastAsia="宋体" w:cs="宋体"/>
          <w:sz w:val="24"/>
          <w:lang w:val="en-US" w:eastAsia="zh-CN"/>
        </w:rPr>
      </w:pPr>
      <w:r>
        <w:rPr>
          <w:rFonts w:ascii="宋体" w:hAnsi="宋体" w:eastAsia="宋体" w:cs="宋体"/>
          <w:sz w:val="24"/>
          <w:shd w:val="clear" w:color="auto" w:fill="FFFFFF"/>
        </w:rPr>
        <w:t>签署日期：</w:t>
      </w:r>
      <w:r>
        <w:rPr>
          <w:rFonts w:hint="eastAsia" w:ascii="宋体" w:hAnsi="宋体" w:eastAsia="宋体" w:cs="宋体"/>
          <w:sz w:val="24"/>
          <w:shd w:val="clear" w:color="auto" w:fill="FFFFFF"/>
          <w:lang w:val="en-US" w:eastAsia="zh-CN"/>
        </w:rPr>
        <w:t>2026</w:t>
      </w:r>
      <w:r>
        <w:rPr>
          <w:rFonts w:ascii="宋体" w:hAnsi="宋体" w:eastAsia="宋体" w:cs="宋体"/>
          <w:sz w:val="24"/>
          <w:shd w:val="clear" w:color="auto" w:fill="FFFFFF"/>
        </w:rPr>
        <w:t xml:space="preserve">年   月 </w:t>
      </w:r>
      <w:r>
        <w:rPr>
          <w:rFonts w:hint="eastAsia" w:ascii="宋体" w:hAnsi="宋体" w:eastAsia="宋体" w:cs="宋体"/>
          <w:sz w:val="24"/>
          <w:shd w:val="clear" w:color="auto" w:fill="FFFFFF"/>
          <w:lang w:val="en-US" w:eastAsia="zh-CN"/>
        </w:rPr>
        <w:t xml:space="preserve"> </w:t>
      </w:r>
      <w:r>
        <w:rPr>
          <w:rFonts w:ascii="宋体" w:hAnsi="宋体" w:eastAsia="宋体" w:cs="宋体"/>
          <w:sz w:val="24"/>
          <w:shd w:val="clear" w:color="auto" w:fill="FFFFFF"/>
        </w:rPr>
        <w:t xml:space="preserve"> 日</w:t>
      </w:r>
      <w:r>
        <w:rPr>
          <w:rFonts w:hint="eastAsia" w:ascii="宋体" w:hAnsi="宋体" w:eastAsia="宋体" w:cs="宋体"/>
          <w:sz w:val="24"/>
          <w:shd w:val="clear" w:color="auto" w:fill="FFFFFF"/>
          <w:lang w:val="en-US" w:eastAsia="zh-CN"/>
        </w:rPr>
        <w:t xml:space="preserve">       </w:t>
      </w:r>
      <w:r>
        <w:rPr>
          <w:rFonts w:ascii="宋体" w:hAnsi="宋体" w:eastAsia="宋体" w:cs="宋体"/>
          <w:sz w:val="24"/>
          <w:shd w:val="clear" w:color="auto" w:fill="FFFFFF"/>
        </w:rPr>
        <w:t>签署日期：</w:t>
      </w:r>
      <w:r>
        <w:rPr>
          <w:rFonts w:hint="eastAsia" w:ascii="宋体" w:hAnsi="宋体" w:eastAsia="宋体" w:cs="宋体"/>
          <w:sz w:val="24"/>
          <w:shd w:val="clear" w:color="auto" w:fill="FFFFFF"/>
          <w:lang w:val="en-US" w:eastAsia="zh-CN"/>
        </w:rPr>
        <w:t>2026</w:t>
      </w:r>
      <w:r>
        <w:rPr>
          <w:rFonts w:ascii="宋体" w:hAnsi="宋体" w:eastAsia="宋体" w:cs="宋体"/>
          <w:sz w:val="24"/>
          <w:shd w:val="clear" w:color="auto" w:fill="FFFFFF"/>
        </w:rPr>
        <w:t xml:space="preserve">年  月 </w:t>
      </w:r>
      <w:r>
        <w:rPr>
          <w:rFonts w:hint="eastAsia" w:ascii="宋体" w:hAnsi="宋体" w:eastAsia="宋体" w:cs="宋体"/>
          <w:sz w:val="24"/>
          <w:shd w:val="clear" w:color="auto" w:fill="FFFFFF"/>
          <w:lang w:val="en-US" w:eastAsia="zh-CN"/>
        </w:rPr>
        <w:t xml:space="preserve"> </w:t>
      </w:r>
      <w:r>
        <w:rPr>
          <w:rFonts w:ascii="宋体" w:hAnsi="宋体" w:eastAsia="宋体" w:cs="宋体"/>
          <w:sz w:val="24"/>
          <w:shd w:val="clear" w:color="auto" w:fill="FFFFFF"/>
        </w:rPr>
        <w:t xml:space="preserve"> 日</w:t>
      </w: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single" w:color="auto" w:sz="4" w:space="1"/>
        <w:left w:val="none" w:color="auto" w:sz="0" w:space="4"/>
        <w:bottom w:val="none" w:color="auto" w:sz="0" w:space="1"/>
        <w:right w:val="none" w:color="auto" w:sz="0" w:space="4"/>
      </w:pBdr>
      <w:tabs>
        <w:tab w:val="left" w:pos="6015"/>
        <w:tab w:val="clear" w:pos="4153"/>
      </w:tabs>
      <w:rPr>
        <w:rFonts w:eastAsia="宋体"/>
        <w:i/>
        <w:iCs/>
      </w:rPr>
    </w:pPr>
    <w:r>
      <w:rPr>
        <w:rFonts w:hint="eastAsia" w:eastAsia="宋体"/>
        <w:b/>
        <w:bCs/>
        <w:i/>
        <w:iCs/>
      </w:rPr>
      <w:t xml:space="preserve">                               </w:t>
    </w:r>
    <w:r>
      <w:rPr>
        <w:rFonts w:hint="eastAsia" w:eastAsia="宋体"/>
        <w:i/>
        <w:i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bidi w:val="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0770D"/>
    <w:rsid w:val="00FC02BF"/>
    <w:rsid w:val="01722330"/>
    <w:rsid w:val="05BD626F"/>
    <w:rsid w:val="06DA7C4D"/>
    <w:rsid w:val="07EC2E3C"/>
    <w:rsid w:val="08D8516E"/>
    <w:rsid w:val="0ABB08A3"/>
    <w:rsid w:val="0FFA00C0"/>
    <w:rsid w:val="10AD5132"/>
    <w:rsid w:val="123B676A"/>
    <w:rsid w:val="12443874"/>
    <w:rsid w:val="13433B2C"/>
    <w:rsid w:val="135D4BEE"/>
    <w:rsid w:val="143A4F2F"/>
    <w:rsid w:val="14983A03"/>
    <w:rsid w:val="17163A31"/>
    <w:rsid w:val="18B47BC0"/>
    <w:rsid w:val="1B8C531B"/>
    <w:rsid w:val="1BCF2EAD"/>
    <w:rsid w:val="1C896A53"/>
    <w:rsid w:val="1E5B61CE"/>
    <w:rsid w:val="1E7F63B3"/>
    <w:rsid w:val="1F9D1CF5"/>
    <w:rsid w:val="20E93F65"/>
    <w:rsid w:val="20EC75B1"/>
    <w:rsid w:val="21433770"/>
    <w:rsid w:val="21F27BBF"/>
    <w:rsid w:val="222F1E4B"/>
    <w:rsid w:val="225E469A"/>
    <w:rsid w:val="232C638A"/>
    <w:rsid w:val="253A73EB"/>
    <w:rsid w:val="271635D9"/>
    <w:rsid w:val="2A830F86"/>
    <w:rsid w:val="2B456A0F"/>
    <w:rsid w:val="2BC845EC"/>
    <w:rsid w:val="2C1C3440"/>
    <w:rsid w:val="2C6170A5"/>
    <w:rsid w:val="2CBE44F7"/>
    <w:rsid w:val="2D0D51B8"/>
    <w:rsid w:val="2EE8585B"/>
    <w:rsid w:val="2EF21577"/>
    <w:rsid w:val="308A7EF5"/>
    <w:rsid w:val="31D241E5"/>
    <w:rsid w:val="32AC094E"/>
    <w:rsid w:val="34A37609"/>
    <w:rsid w:val="35B2271F"/>
    <w:rsid w:val="36541A28"/>
    <w:rsid w:val="39CE4A93"/>
    <w:rsid w:val="3AFA0DF0"/>
    <w:rsid w:val="3BCA4882"/>
    <w:rsid w:val="3C241E9D"/>
    <w:rsid w:val="3C88242C"/>
    <w:rsid w:val="3CE32E77"/>
    <w:rsid w:val="3F80563C"/>
    <w:rsid w:val="3F823162"/>
    <w:rsid w:val="40B25CC9"/>
    <w:rsid w:val="40D33C5E"/>
    <w:rsid w:val="41807B75"/>
    <w:rsid w:val="41BD4926"/>
    <w:rsid w:val="420B6419"/>
    <w:rsid w:val="42494D21"/>
    <w:rsid w:val="44817E8C"/>
    <w:rsid w:val="45080E8A"/>
    <w:rsid w:val="45796DB6"/>
    <w:rsid w:val="464B69A4"/>
    <w:rsid w:val="46D34E82"/>
    <w:rsid w:val="48AB1295"/>
    <w:rsid w:val="492E435B"/>
    <w:rsid w:val="49926698"/>
    <w:rsid w:val="4A49144C"/>
    <w:rsid w:val="4B692739"/>
    <w:rsid w:val="4C105765"/>
    <w:rsid w:val="4CC528E0"/>
    <w:rsid w:val="4CF85674"/>
    <w:rsid w:val="4E106CD4"/>
    <w:rsid w:val="4F18319B"/>
    <w:rsid w:val="4F570639"/>
    <w:rsid w:val="51647545"/>
    <w:rsid w:val="52426781"/>
    <w:rsid w:val="545B4524"/>
    <w:rsid w:val="56EB1DA8"/>
    <w:rsid w:val="579260CE"/>
    <w:rsid w:val="580764A3"/>
    <w:rsid w:val="582B2191"/>
    <w:rsid w:val="5AD61FA7"/>
    <w:rsid w:val="5B231846"/>
    <w:rsid w:val="5B9E1D5B"/>
    <w:rsid w:val="5D0D455B"/>
    <w:rsid w:val="5D5A52C7"/>
    <w:rsid w:val="5F0634FD"/>
    <w:rsid w:val="5F824661"/>
    <w:rsid w:val="5FFD4D5C"/>
    <w:rsid w:val="60C767CF"/>
    <w:rsid w:val="63144A23"/>
    <w:rsid w:val="63417A56"/>
    <w:rsid w:val="63AE3C76"/>
    <w:rsid w:val="64E262CE"/>
    <w:rsid w:val="663D10D4"/>
    <w:rsid w:val="668B5ED5"/>
    <w:rsid w:val="677A13E7"/>
    <w:rsid w:val="677D0530"/>
    <w:rsid w:val="6B301415"/>
    <w:rsid w:val="6CC10EBE"/>
    <w:rsid w:val="6DF826BE"/>
    <w:rsid w:val="6E331948"/>
    <w:rsid w:val="6E545A1D"/>
    <w:rsid w:val="6F562533"/>
    <w:rsid w:val="70F51137"/>
    <w:rsid w:val="725114DB"/>
    <w:rsid w:val="734819F2"/>
    <w:rsid w:val="73FA250A"/>
    <w:rsid w:val="74634609"/>
    <w:rsid w:val="77585F7B"/>
    <w:rsid w:val="77E31623"/>
    <w:rsid w:val="794122C1"/>
    <w:rsid w:val="796E1A86"/>
    <w:rsid w:val="7AE30252"/>
    <w:rsid w:val="7B9F686F"/>
    <w:rsid w:val="7CB97A5C"/>
    <w:rsid w:val="7D106255"/>
    <w:rsid w:val="7DE844FD"/>
    <w:rsid w:val="7DF01535"/>
    <w:rsid w:val="7DF033D3"/>
    <w:rsid w:val="7EA84BEA"/>
    <w:rsid w:val="7F661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1"/>
    <w:basedOn w:val="1"/>
    <w:next w:val="1"/>
    <w:qFormat/>
    <w:uiPriority w:val="99"/>
    <w:pPr>
      <w:keepNext/>
      <w:keepLines/>
      <w:adjustRightInd w:val="0"/>
      <w:spacing w:before="240" w:after="240" w:line="578" w:lineRule="atLeast"/>
      <w:textAlignment w:val="baseline"/>
      <w:outlineLvl w:val="0"/>
    </w:pPr>
    <w:rPr>
      <w:rFonts w:ascii="Tahoma" w:hAnsi="Tahoma"/>
      <w:b/>
      <w:bCs/>
      <w:kern w:val="44"/>
      <w:sz w:val="24"/>
      <w:szCs w:val="44"/>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character" w:default="1" w:styleId="15">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4">
    <w:name w:val="Normal Indent"/>
    <w:basedOn w:val="1"/>
    <w:next w:val="5"/>
    <w:qFormat/>
    <w:uiPriority w:val="0"/>
    <w:pPr>
      <w:spacing w:line="360" w:lineRule="auto"/>
      <w:ind w:firstLine="200" w:firstLineChars="200"/>
    </w:pPr>
    <w:rPr>
      <w:sz w:val="24"/>
      <w:szCs w:val="20"/>
    </w:rPr>
  </w:style>
  <w:style w:type="paragraph" w:styleId="5">
    <w:name w:val="toc 4"/>
    <w:basedOn w:val="1"/>
    <w:next w:val="1"/>
    <w:qFormat/>
    <w:uiPriority w:val="39"/>
    <w:pPr>
      <w:spacing w:line="440" w:lineRule="exact"/>
      <w:ind w:left="840"/>
      <w:jc w:val="left"/>
    </w:pPr>
    <w:rPr>
      <w:rFonts w:ascii="Calibri" w:hAnsi="Calibri"/>
      <w:sz w:val="18"/>
      <w:szCs w:val="18"/>
    </w:rPr>
  </w:style>
  <w:style w:type="paragraph" w:styleId="6">
    <w:name w:val="Body Text"/>
    <w:basedOn w:val="1"/>
    <w:next w:val="1"/>
    <w:qFormat/>
    <w:uiPriority w:val="99"/>
    <w:pPr>
      <w:spacing w:line="360" w:lineRule="auto"/>
    </w:pPr>
    <w:rPr>
      <w:rFonts w:ascii="Tahoma" w:hAnsi="Tahoma"/>
    </w:rPr>
  </w:style>
  <w:style w:type="paragraph" w:styleId="7">
    <w:name w:val="List 2"/>
    <w:basedOn w:val="1"/>
    <w:unhideWhenUsed/>
    <w:qFormat/>
    <w:uiPriority w:val="99"/>
    <w:pPr>
      <w:ind w:left="100" w:leftChars="200" w:hanging="200" w:hangingChars="200"/>
      <w:contextualSpacing/>
    </w:pPr>
  </w:style>
  <w:style w:type="paragraph" w:styleId="8">
    <w:name w:val="footer"/>
    <w:basedOn w:val="1"/>
    <w:qFormat/>
    <w:uiPriority w:val="0"/>
    <w:pPr>
      <w:tabs>
        <w:tab w:val="center" w:pos="4153"/>
        <w:tab w:val="right" w:pos="8306"/>
      </w:tabs>
      <w:adjustRightInd w:val="0"/>
      <w:spacing w:line="240" w:lineRule="atLeast"/>
      <w:jc w:val="left"/>
      <w:textAlignment w:val="baseline"/>
    </w:pPr>
    <w:rPr>
      <w:rFonts w:ascii="Tahoma" w:hAnsi="Tahoma"/>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1">
    <w:name w:val="Normal (Web)"/>
    <w:basedOn w:val="1"/>
    <w:qFormat/>
    <w:uiPriority w:val="0"/>
    <w:pPr>
      <w:spacing w:before="0" w:beforeAutospacing="0" w:after="0" w:afterAutospacing="0"/>
      <w:ind w:left="0" w:right="0"/>
      <w:jc w:val="left"/>
    </w:pPr>
    <w:rPr>
      <w:kern w:val="0"/>
      <w:sz w:val="24"/>
      <w:lang w:val="en-US" w:eastAsia="zh-CN" w:bidi="ar"/>
    </w:rPr>
  </w:style>
  <w:style w:type="paragraph" w:styleId="12">
    <w:name w:val="Title"/>
    <w:basedOn w:val="1"/>
    <w:next w:val="1"/>
    <w:qFormat/>
    <w:uiPriority w:val="0"/>
    <w:pPr>
      <w:spacing w:before="240" w:after="60" w:line="440" w:lineRule="exact"/>
      <w:jc w:val="center"/>
      <w:outlineLvl w:val="0"/>
    </w:pPr>
    <w:rPr>
      <w:rFonts w:ascii="Cambria" w:hAnsi="Cambria"/>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标题 1 Char1"/>
    <w:qFormat/>
    <w:uiPriority w:val="99"/>
    <w:rPr>
      <w:rFonts w:ascii="黑体" w:eastAsia="黑体"/>
      <w:sz w:val="52"/>
      <w:lang w:bidi="ar-SA"/>
    </w:rPr>
  </w:style>
  <w:style w:type="paragraph" w:customStyle="1" w:styleId="17">
    <w:name w:val="_Style 3"/>
    <w:basedOn w:val="2"/>
    <w:next w:val="1"/>
    <w:qFormat/>
    <w:uiPriority w:val="0"/>
    <w:pPr>
      <w:keepLines w:val="0"/>
      <w:widowControl/>
      <w:spacing w:after="0" w:line="256" w:lineRule="auto"/>
      <w:jc w:val="left"/>
    </w:pPr>
    <w:rPr>
      <w:rFonts w:ascii="Calibri Light" w:hAnsi="Calibri Light" w:eastAsia="宋体"/>
      <w:color w:val="2E74B5"/>
      <w:kern w:val="0"/>
      <w:sz w:val="32"/>
      <w:szCs w:val="32"/>
    </w:rPr>
  </w:style>
  <w:style w:type="paragraph" w:styleId="18">
    <w:name w:val="List Paragraph"/>
    <w:basedOn w:val="1"/>
    <w:qFormat/>
    <w:uiPriority w:val="34"/>
    <w:pPr>
      <w:ind w:firstLine="420" w:firstLineChars="200"/>
    </w:pPr>
    <w:rPr>
      <w:rFonts w:ascii="Calibri" w:hAnsi="Calibri" w:eastAsia="宋体"/>
      <w:szCs w:val="22"/>
    </w:rPr>
  </w:style>
  <w:style w:type="paragraph" w:customStyle="1" w:styleId="19">
    <w:name w:val="Heading 6"/>
    <w:basedOn w:val="1"/>
    <w:qFormat/>
    <w:uiPriority w:val="1"/>
    <w:pPr>
      <w:spacing w:before="47"/>
      <w:ind w:left="962"/>
      <w:outlineLvl w:val="6"/>
    </w:pPr>
    <w:rPr>
      <w:b/>
      <w:bCs/>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1926</Words>
  <Characters>2045</Characters>
  <Lines>0</Lines>
  <Paragraphs>0</Paragraphs>
  <TotalTime>139</TotalTime>
  <ScaleCrop>false</ScaleCrop>
  <LinksUpToDate>false</LinksUpToDate>
  <CharactersWithSpaces>2249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2025-06-10T16:31:00Z</dcterms:created>
  <dc:creator>xiaof</dc:creator>
  <cp:lastModifiedBy>Administrator</cp:lastModifiedBy>
  <dcterms:modified xsi:type="dcterms:W3CDTF">2026-05-22T06:02:51Z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eyJoZGlkIjoiY2Y1ODEyY2U5ZGRhZjk1ZmM5NTk3MzYwOGRmOTIzODciLCJ1c2VySWQiOiIzMzEwNTc5NDgifQ==</vt:lpwstr>
  </property>
  <property fmtid="{D5CDD505-2E9C-101B-9397-08002B2CF9AE}" pid="4" name="ICV">
    <vt:lpwstr>DA18064B34684F73B4DBB3C7BF09454A_13</vt:lpwstr>
  </property>
</Properties>
</file>