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val="0"/>
        <w:overflowPunct/>
        <w:topLinePunct w:val="0"/>
        <w:autoSpaceDE/>
        <w:autoSpaceDN/>
        <w:bidi w:val="0"/>
        <w:adjustRightInd/>
        <w:snapToGrid/>
        <w:spacing w:line="360" w:lineRule="auto"/>
        <w:ind w:firstLine="7379" w:firstLineChars="4900"/>
        <w:jc w:val="both"/>
        <w:textAlignment w:val="auto"/>
        <w:rPr>
          <w:rFonts w:hint="eastAsia" w:ascii="宋体" w:hAnsi="宋体" w:eastAsia="宋体" w:cs="宋体"/>
          <w:b/>
          <w:color w:val="auto"/>
          <w:sz w:val="15"/>
          <w:szCs w:val="15"/>
          <w:highlight w:val="none"/>
          <w:bdr w:val="single" w:color="auto" w:sz="4" w:space="0"/>
          <w:shd w:val="pct10" w:color="auto" w:fill="FFFFFF"/>
          <w:lang w:val="en-US" w:eastAsia="zh-CN"/>
        </w:rPr>
      </w:pPr>
    </w:p>
    <w:p>
      <w:pPr>
        <w:keepNext w:val="0"/>
        <w:keepLines w:val="0"/>
        <w:pageBreakBefore w:val="0"/>
        <w:widowControl w:val="0"/>
        <w:shd w:val="clear"/>
        <w:kinsoku/>
        <w:wordWrap w:val="0"/>
        <w:overflowPunct/>
        <w:topLinePunct w:val="0"/>
        <w:autoSpaceDE/>
        <w:autoSpaceDN/>
        <w:bidi w:val="0"/>
        <w:adjustRightInd/>
        <w:snapToGrid/>
        <w:spacing w:line="360" w:lineRule="auto"/>
        <w:ind w:firstLine="7379" w:firstLineChars="4900"/>
        <w:jc w:val="both"/>
        <w:textAlignment w:val="auto"/>
        <w:rPr>
          <w:rFonts w:hint="eastAsia" w:ascii="宋体" w:hAnsi="宋体" w:eastAsia="宋体" w:cs="宋体"/>
          <w:b/>
          <w:color w:val="auto"/>
          <w:sz w:val="15"/>
          <w:szCs w:val="15"/>
          <w:highlight w:val="none"/>
          <w:bdr w:val="single" w:color="auto" w:sz="4" w:space="0"/>
          <w:shd w:val="pct10" w:color="auto" w:fill="FFFFFF"/>
        </w:rPr>
      </w:pPr>
    </w:p>
    <w:p>
      <w:pPr>
        <w:keepNext w:val="0"/>
        <w:keepLines w:val="0"/>
        <w:pageBreakBefore w:val="0"/>
        <w:widowControl w:val="0"/>
        <w:shd w:val="clear"/>
        <w:kinsoku/>
        <w:wordWrap w:val="0"/>
        <w:overflowPunct/>
        <w:topLinePunct w:val="0"/>
        <w:autoSpaceDE/>
        <w:autoSpaceDN/>
        <w:bidi w:val="0"/>
        <w:adjustRightInd/>
        <w:snapToGrid/>
        <w:spacing w:line="360" w:lineRule="auto"/>
        <w:ind w:firstLine="6927" w:firstLineChars="4600"/>
        <w:jc w:val="both"/>
        <w:textAlignment w:val="auto"/>
        <w:rPr>
          <w:rFonts w:hint="eastAsia" w:ascii="宋体" w:hAnsi="宋体" w:eastAsia="宋体" w:cs="宋体"/>
          <w:b/>
          <w:sz w:val="36"/>
          <w:szCs w:val="36"/>
          <w:highlight w:val="none"/>
          <w:bdr w:val="single" w:color="auto" w:sz="4" w:space="0"/>
          <w:shd w:val="pct10" w:color="auto" w:fill="FFFFFF"/>
        </w:rPr>
      </w:pPr>
      <w:r>
        <w:rPr>
          <w:rFonts w:hint="eastAsia" w:ascii="宋体" w:hAnsi="宋体" w:eastAsia="宋体" w:cs="宋体"/>
          <w:b/>
          <w:color w:val="auto"/>
          <w:sz w:val="15"/>
          <w:szCs w:val="15"/>
          <w:highlight w:val="none"/>
          <w:bdr w:val="single" w:color="auto" w:sz="4" w:space="0"/>
          <w:shd w:val="pct10" w:color="auto" w:fill="FFFFFF"/>
        </w:rPr>
        <w:t xml:space="preserve"> </w:t>
      </w:r>
      <w:r>
        <w:rPr>
          <w:rFonts w:hint="eastAsia" w:ascii="宋体" w:hAnsi="宋体" w:eastAsia="宋体" w:cs="宋体"/>
          <w:b/>
          <w:color w:val="auto"/>
          <w:sz w:val="36"/>
          <w:szCs w:val="36"/>
          <w:highlight w:val="none"/>
          <w:bdr w:val="single" w:color="auto" w:sz="4" w:space="0"/>
          <w:shd w:val="pct10" w:color="auto" w:fill="FFFFFF"/>
        </w:rPr>
        <w:t>政府采购项目</w:t>
      </w:r>
    </w:p>
    <w:p>
      <w:pPr>
        <w:pStyle w:val="4"/>
        <w:pageBreakBefore w:val="0"/>
        <w:wordWrap/>
        <w:overflowPunct/>
        <w:topLinePunct w:val="0"/>
        <w:bidi w:val="0"/>
        <w:spacing w:line="560" w:lineRule="exact"/>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kern w:val="2"/>
          <w:sz w:val="36"/>
          <w:szCs w:val="36"/>
          <w:highlight w:val="none"/>
          <w:lang w:val="en-US" w:eastAsia="zh-CN"/>
        </w:rPr>
      </w:pPr>
      <w:r>
        <w:rPr>
          <w:rFonts w:hint="eastAsia" w:ascii="宋体" w:hAnsi="宋体" w:eastAsia="宋体" w:cs="宋体"/>
          <w:b/>
          <w:kern w:val="2"/>
          <w:sz w:val="36"/>
          <w:szCs w:val="36"/>
          <w:highlight w:val="none"/>
          <w:lang w:eastAsia="zh-CN"/>
        </w:rPr>
        <w:t>项目编号</w:t>
      </w:r>
      <w:r>
        <w:rPr>
          <w:rFonts w:hint="eastAsia" w:ascii="宋体" w:hAnsi="宋体" w:cs="宋体"/>
          <w:b/>
          <w:kern w:val="2"/>
          <w:sz w:val="36"/>
          <w:szCs w:val="36"/>
          <w:highlight w:val="none"/>
          <w:lang w:eastAsia="zh-CN"/>
        </w:rPr>
        <w:t>：HRC-ZBDL-2026-00632.1B1</w:t>
      </w:r>
    </w:p>
    <w:p>
      <w:pPr>
        <w:pageBreakBefore w:val="0"/>
        <w:wordWrap/>
        <w:overflowPunct/>
        <w:topLinePunct w:val="0"/>
        <w:bidi w:val="0"/>
        <w:spacing w:line="560" w:lineRule="exact"/>
        <w:jc w:val="left"/>
        <w:rPr>
          <w:rFonts w:hint="eastAsia" w:ascii="宋体" w:hAnsi="宋体" w:cs="宋体"/>
          <w:b/>
          <w:color w:val="auto"/>
          <w:sz w:val="56"/>
          <w:szCs w:val="56"/>
          <w:highlight w:val="none"/>
          <w:lang w:eastAsia="zh-CN"/>
        </w:rPr>
      </w:pPr>
      <w:r>
        <w:rPr>
          <w:rFonts w:hint="eastAsia" w:ascii="宋体" w:hAnsi="宋体" w:eastAsia="宋体" w:cs="宋体"/>
          <w:b/>
          <w:kern w:val="2"/>
          <w:sz w:val="36"/>
          <w:szCs w:val="36"/>
          <w:highlight w:val="none"/>
          <w:lang w:eastAsia="zh-CN"/>
        </w:rPr>
        <w:t>项目名称</w:t>
      </w:r>
      <w:r>
        <w:rPr>
          <w:rFonts w:hint="eastAsia" w:ascii="宋体" w:hAnsi="宋体" w:cs="宋体"/>
          <w:b/>
          <w:kern w:val="2"/>
          <w:sz w:val="36"/>
          <w:szCs w:val="36"/>
          <w:highlight w:val="none"/>
          <w:lang w:eastAsia="zh-CN"/>
        </w:rPr>
        <w:t>：</w:t>
      </w:r>
      <w:r>
        <w:rPr>
          <w:rFonts w:hint="eastAsia" w:ascii="宋体" w:hAnsi="宋体" w:cs="宋体"/>
          <w:b/>
          <w:kern w:val="2"/>
          <w:sz w:val="36"/>
          <w:szCs w:val="36"/>
          <w:highlight w:val="none"/>
          <w:lang w:val="en-US" w:eastAsia="zh-CN"/>
        </w:rPr>
        <w:t>扶风县城新区东二路、西二路、北二路、扶法路排水防涝工程EPC总承包监理（二次）</w:t>
      </w:r>
    </w:p>
    <w:p>
      <w:pPr>
        <w:pageBreakBefore w:val="0"/>
        <w:kinsoku/>
        <w:wordWrap/>
        <w:overflowPunct/>
        <w:topLinePunct w:val="0"/>
        <w:bidi w:val="0"/>
        <w:spacing w:line="360" w:lineRule="auto"/>
        <w:jc w:val="center"/>
        <w:textAlignment w:val="auto"/>
        <w:rPr>
          <w:rFonts w:hint="eastAsia" w:ascii="宋体" w:hAnsi="宋体" w:eastAsia="宋体" w:cs="宋体"/>
          <w:b/>
          <w:bCs/>
          <w:spacing w:val="21"/>
          <w:sz w:val="84"/>
          <w:szCs w:val="84"/>
          <w:highlight w:val="none"/>
        </w:rPr>
      </w:pPr>
    </w:p>
    <w:p>
      <w:pPr>
        <w:bidi w:val="0"/>
        <w:jc w:val="center"/>
        <w:rPr>
          <w:rFonts w:hint="eastAsia"/>
          <w:sz w:val="84"/>
          <w:szCs w:val="84"/>
        </w:rPr>
      </w:pPr>
      <w:bookmarkStart w:id="0" w:name="_Toc11375"/>
      <w:r>
        <w:rPr>
          <w:rFonts w:hint="eastAsia"/>
          <w:sz w:val="84"/>
          <w:szCs w:val="84"/>
        </w:rPr>
        <w:t>竞争性磋商文件</w:t>
      </w:r>
      <w:bookmarkEnd w:id="0"/>
    </w:p>
    <w:p>
      <w:pPr>
        <w:bidi w:val="0"/>
        <w:rPr>
          <w:rFonts w:hint="eastAsia" w:ascii="宋体" w:hAnsi="宋体" w:eastAsia="宋体" w:cs="宋体"/>
        </w:rPr>
      </w:pPr>
    </w:p>
    <w:p>
      <w:pPr>
        <w:pStyle w:val="4"/>
        <w:outlineLvl w:val="9"/>
        <w:rPr>
          <w:rFonts w:hint="eastAsia" w:ascii="宋体" w:hAnsi="宋体" w:eastAsia="宋体" w:cs="宋体"/>
          <w:sz w:val="40"/>
          <w:szCs w:val="40"/>
        </w:rPr>
      </w:pPr>
    </w:p>
    <w:p>
      <w:pPr>
        <w:pageBreakBefore w:val="0"/>
        <w:kinsoku/>
        <w:wordWrap/>
        <w:overflowPunct/>
        <w:topLinePunct w:val="0"/>
        <w:bidi w:val="0"/>
        <w:spacing w:line="360" w:lineRule="auto"/>
        <w:textAlignment w:val="auto"/>
        <w:rPr>
          <w:rFonts w:hint="eastAsia" w:ascii="宋体" w:hAnsi="宋体" w:eastAsia="宋体" w:cs="宋体"/>
          <w:highlight w:val="none"/>
        </w:rPr>
      </w:pPr>
    </w:p>
    <w:p>
      <w:pPr>
        <w:pageBreakBefore w:val="0"/>
        <w:kinsoku/>
        <w:wordWrap/>
        <w:overflowPunct/>
        <w:topLinePunct w:val="0"/>
        <w:bidi w:val="0"/>
        <w:spacing w:line="360" w:lineRule="auto"/>
        <w:ind w:firstLine="2530"/>
        <w:textAlignment w:val="auto"/>
        <w:rPr>
          <w:rFonts w:hint="eastAsia" w:ascii="宋体" w:hAnsi="宋体" w:eastAsia="宋体" w:cs="宋体"/>
          <w:b/>
          <w:sz w:val="36"/>
          <w:szCs w:val="36"/>
          <w:highlight w:val="none"/>
        </w:rPr>
      </w:pPr>
    </w:p>
    <w:p>
      <w:pPr>
        <w:pageBreakBefore w:val="0"/>
        <w:kinsoku/>
        <w:wordWrap/>
        <w:overflowPunct/>
        <w:topLinePunct w:val="0"/>
        <w:bidi w:val="0"/>
        <w:spacing w:line="360" w:lineRule="auto"/>
        <w:ind w:firstLine="2530"/>
        <w:textAlignment w:val="auto"/>
        <w:rPr>
          <w:rFonts w:hint="eastAsia" w:ascii="宋体" w:hAnsi="宋体" w:eastAsia="宋体" w:cs="宋体"/>
          <w:b/>
          <w:sz w:val="36"/>
          <w:szCs w:val="36"/>
          <w:highlight w:val="none"/>
        </w:rPr>
      </w:pPr>
    </w:p>
    <w:p>
      <w:pPr>
        <w:pStyle w:val="42"/>
        <w:rPr>
          <w:rFonts w:hint="eastAsia" w:ascii="宋体" w:hAnsi="宋体" w:eastAsia="宋体" w:cs="宋体"/>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rPr>
          <w:rFonts w:hint="eastAsia" w:ascii="宋体" w:hAnsi="宋体" w:eastAsia="宋体" w:cs="宋体"/>
          <w:b/>
          <w:sz w:val="36"/>
          <w:szCs w:val="36"/>
          <w:highlight w:val="none"/>
          <w:lang w:val="en-US" w:eastAsia="zh-CN"/>
        </w:rPr>
      </w:pPr>
      <w:bookmarkStart w:id="1" w:name="_Toc5716"/>
      <w:r>
        <w:rPr>
          <w:rFonts w:hint="eastAsia" w:ascii="宋体" w:hAnsi="宋体" w:eastAsia="宋体" w:cs="宋体"/>
          <w:b/>
          <w:sz w:val="36"/>
          <w:szCs w:val="36"/>
          <w:highlight w:val="none"/>
          <w:lang w:val="en-US" w:eastAsia="zh-CN"/>
        </w:rPr>
        <w:t>采   购   人：</w:t>
      </w:r>
      <w:bookmarkEnd w:id="1"/>
      <w:bookmarkStart w:id="2" w:name="OLE_LINK6"/>
      <w:r>
        <w:rPr>
          <w:rFonts w:hint="eastAsia" w:ascii="宋体" w:hAnsi="宋体" w:cs="宋体"/>
          <w:b/>
          <w:sz w:val="36"/>
          <w:szCs w:val="36"/>
          <w:highlight w:val="none"/>
          <w:lang w:val="en-US" w:eastAsia="zh-CN"/>
        </w:rPr>
        <w:t>扶风县住房和城乡建设局</w:t>
      </w:r>
      <w:bookmarkEnd w:id="2"/>
    </w:p>
    <w:p>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rPr>
          <w:rFonts w:hint="eastAsia" w:ascii="宋体" w:hAnsi="宋体" w:eastAsia="宋体" w:cs="宋体"/>
          <w:b/>
          <w:sz w:val="36"/>
          <w:szCs w:val="36"/>
          <w:highlight w:val="none"/>
          <w:lang w:val="en-US" w:eastAsia="zh-CN"/>
        </w:rPr>
      </w:pPr>
      <w:bookmarkStart w:id="3" w:name="_Toc16917"/>
      <w:r>
        <w:rPr>
          <w:rFonts w:hint="eastAsia" w:ascii="宋体" w:hAnsi="宋体" w:eastAsia="宋体" w:cs="宋体"/>
          <w:b/>
          <w:sz w:val="36"/>
          <w:szCs w:val="36"/>
          <w:highlight w:val="none"/>
          <w:lang w:val="en-US" w:eastAsia="zh-CN"/>
        </w:rPr>
        <w:t>采购代理机构：</w:t>
      </w:r>
      <w:bookmarkEnd w:id="3"/>
      <w:r>
        <w:rPr>
          <w:rFonts w:hint="eastAsia" w:ascii="宋体" w:hAnsi="宋体" w:cs="宋体"/>
          <w:b/>
          <w:sz w:val="36"/>
          <w:szCs w:val="36"/>
          <w:highlight w:val="none"/>
          <w:lang w:val="en-US" w:eastAsia="zh-CN"/>
        </w:rPr>
        <w:t>华睿诚项目管理有限公司</w:t>
      </w:r>
    </w:p>
    <w:p>
      <w:pPr>
        <w:keepNext w:val="0"/>
        <w:keepLines w:val="0"/>
        <w:pageBreakBefore w:val="0"/>
        <w:widowControl w:val="0"/>
        <w:kinsoku/>
        <w:wordWrap/>
        <w:overflowPunct/>
        <w:topLinePunct w:val="0"/>
        <w:autoSpaceDE/>
        <w:autoSpaceDN/>
        <w:bidi w:val="0"/>
        <w:adjustRightInd/>
        <w:snapToGrid/>
        <w:spacing w:line="360" w:lineRule="auto"/>
        <w:ind w:firstLine="1084" w:firstLineChars="300"/>
        <w:jc w:val="both"/>
        <w:textAlignment w:val="auto"/>
        <w:rPr>
          <w:rFonts w:hint="eastAsia" w:ascii="宋体" w:hAnsi="宋体" w:eastAsia="宋体" w:cs="宋体"/>
          <w:highlight w:val="none"/>
        </w:rPr>
        <w:sectPr>
          <w:headerReference r:id="rId7" w:type="first"/>
          <w:footerReference r:id="rId10" w:type="first"/>
          <w:headerReference r:id="rId5" w:type="default"/>
          <w:footerReference r:id="rId8" w:type="default"/>
          <w:headerReference r:id="rId6" w:type="even"/>
          <w:footerReference r:id="rId9" w:type="even"/>
          <w:endnotePr>
            <w:numFmt w:val="decimal"/>
          </w:endnotePr>
          <w:pgSz w:w="11907" w:h="16840"/>
          <w:pgMar w:top="1440" w:right="1080" w:bottom="1440" w:left="1080" w:header="907" w:footer="654" w:gutter="0"/>
          <w:pgNumType w:fmt="decimal" w:start="1"/>
          <w:cols w:space="720" w:num="1"/>
          <w:docGrid w:linePitch="286" w:charSpace="0"/>
        </w:sectPr>
      </w:pPr>
      <w:r>
        <w:rPr>
          <w:rFonts w:hint="eastAsia" w:ascii="宋体" w:hAnsi="宋体" w:eastAsia="宋体" w:cs="宋体"/>
          <w:b/>
          <w:sz w:val="36"/>
          <w:szCs w:val="36"/>
          <w:highlight w:val="none"/>
          <w:lang w:val="en-US" w:eastAsia="zh-CN"/>
        </w:rPr>
        <w:t>时        间：</w:t>
      </w:r>
      <w:r>
        <w:rPr>
          <w:rFonts w:hint="eastAsia" w:ascii="宋体" w:hAnsi="宋体" w:cs="宋体"/>
          <w:b/>
          <w:sz w:val="36"/>
          <w:szCs w:val="36"/>
          <w:highlight w:val="none"/>
          <w:lang w:val="en-US" w:eastAsia="zh-CN"/>
        </w:rPr>
        <w:t>二零二六年八月</w:t>
      </w:r>
    </w:p>
    <w:sdt>
      <w:sdtPr>
        <w:rPr>
          <w:rFonts w:hint="eastAsia" w:ascii="宋体" w:hAnsi="宋体" w:eastAsia="宋体" w:cs="宋体"/>
          <w:b/>
          <w:bCs/>
          <w:color w:val="000000"/>
          <w:sz w:val="36"/>
          <w:szCs w:val="36"/>
          <w:u w:val="none" w:color="000000"/>
          <w:lang w:val="en-US" w:eastAsia="zh-CN" w:bidi="ar-SA"/>
        </w:rPr>
        <w:id w:val="147474943"/>
        <w15:color w:val="DBDBDB"/>
        <w:docPartObj>
          <w:docPartGallery w:val="Table of Contents"/>
          <w:docPartUnique/>
        </w:docPartObj>
      </w:sdtPr>
      <w:sdtEndPr>
        <w:rPr>
          <w:rFonts w:hint="eastAsia" w:ascii="宋体" w:hAnsi="宋体" w:eastAsia="宋体" w:cs="宋体"/>
          <w:b/>
          <w:bCs/>
          <w:color w:val="000000"/>
          <w:sz w:val="28"/>
          <w:szCs w:val="28"/>
          <w:u w:val="none" w:color="000000"/>
          <w:lang w:val="en-US" w:eastAsia="zh-CN" w:bidi="ar-SA"/>
        </w:rPr>
      </w:sdtEndPr>
      <w:sdtContent>
        <w:p>
          <w:pPr>
            <w:rPr>
              <w:rFonts w:hint="eastAsia" w:ascii="宋体" w:hAnsi="宋体" w:eastAsia="宋体" w:cs="宋体"/>
              <w:b/>
              <w:bCs/>
              <w:color w:val="000000"/>
              <w:sz w:val="36"/>
              <w:szCs w:val="36"/>
              <w:u w:val="none" w:color="000000"/>
              <w:lang w:val="en-US" w:eastAsia="zh-CN" w:bidi="ar-SA"/>
            </w:rPr>
          </w:pPr>
        </w:p>
        <w:p>
          <w:pPr>
            <w:spacing w:before="0" w:beforeLines="0" w:after="0" w:afterLines="0" w:line="240" w:lineRule="auto"/>
            <w:ind w:left="0" w:leftChars="0" w:right="0" w:rightChars="0" w:firstLine="0" w:firstLineChars="0"/>
            <w:jc w:val="center"/>
            <w:rPr>
              <w:rFonts w:hint="eastAsia" w:ascii="宋体" w:hAnsi="宋体" w:eastAsia="宋体" w:cs="宋体"/>
              <w:b/>
              <w:bCs/>
              <w:sz w:val="36"/>
              <w:szCs w:val="36"/>
            </w:rPr>
          </w:pPr>
          <w:r>
            <w:rPr>
              <w:rFonts w:hint="eastAsia" w:ascii="宋体" w:hAnsi="宋体" w:eastAsia="宋体" w:cs="宋体"/>
              <w:b/>
              <w:bCs/>
              <w:sz w:val="36"/>
              <w:szCs w:val="36"/>
            </w:rPr>
            <w:t>目</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录</w:t>
          </w:r>
        </w:p>
        <w:p>
          <w:pPr>
            <w:pStyle w:val="54"/>
            <w:tabs>
              <w:tab w:val="left" w:pos="3546"/>
            </w:tabs>
            <w:rPr>
              <w:rFonts w:hint="eastAsia" w:ascii="宋体" w:hAnsi="宋体" w:eastAsia="宋体" w:cs="宋体"/>
              <w:sz w:val="28"/>
              <w:szCs w:val="28"/>
            </w:rPr>
          </w:pPr>
          <w:r>
            <w:rPr>
              <w:rFonts w:hint="eastAsia" w:ascii="宋体" w:hAnsi="宋体" w:cs="宋体"/>
              <w:sz w:val="28"/>
              <w:szCs w:val="28"/>
              <w:lang w:eastAsia="zh-CN"/>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"1-3" \h \u </w:instrText>
          </w:r>
          <w:r>
            <w:rPr>
              <w:rFonts w:hint="eastAsia" w:ascii="宋体" w:hAnsi="宋体" w:eastAsia="宋体" w:cs="宋体"/>
              <w:sz w:val="28"/>
              <w:szCs w:val="28"/>
            </w:rPr>
            <w:fldChar w:fldCharType="separate"/>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_Toc19753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第一部分 竞争性磋商公告</w:t>
          </w:r>
          <w:r>
            <w:rPr>
              <w:rFonts w:hint="eastAsia" w:ascii="宋体" w:hAnsi="宋体" w:eastAsia="宋体" w:cs="宋体"/>
              <w:sz w:val="28"/>
              <w:szCs w:val="28"/>
            </w:rPr>
            <w:tab/>
          </w:r>
          <w:r>
            <w:rPr>
              <w:rFonts w:hint="eastAsia" w:ascii="宋体" w:hAnsi="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_Toc19753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_Toc9280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第二部分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_Toc9280 \h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_Toc1487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eastAsia="zh-CN"/>
            </w:rPr>
            <w:t xml:space="preserve">第三部分 </w:t>
          </w:r>
          <w:r>
            <w:rPr>
              <w:rFonts w:hint="eastAsia" w:ascii="宋体" w:hAnsi="宋体" w:cs="宋体"/>
              <w:sz w:val="28"/>
              <w:szCs w:val="28"/>
              <w:lang w:val="zh-CN" w:eastAsia="zh-CN"/>
            </w:rPr>
            <w:t>服务</w:t>
          </w:r>
          <w:r>
            <w:rPr>
              <w:rFonts w:hint="eastAsia" w:ascii="宋体" w:hAnsi="宋体" w:eastAsia="宋体" w:cs="宋体"/>
              <w:sz w:val="28"/>
              <w:szCs w:val="28"/>
              <w:lang w:val="zh-CN" w:eastAsia="zh-CN"/>
            </w:rPr>
            <w:t>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_Toc1487 \h </w:instrText>
          </w:r>
          <w:r>
            <w:rPr>
              <w:rFonts w:hint="eastAsia" w:ascii="宋体" w:hAnsi="宋体" w:eastAsia="宋体" w:cs="宋体"/>
              <w:sz w:val="28"/>
              <w:szCs w:val="28"/>
            </w:rPr>
            <w:fldChar w:fldCharType="separate"/>
          </w:r>
          <w:r>
            <w:rPr>
              <w:rFonts w:hint="eastAsia" w:ascii="宋体" w:hAnsi="宋体" w:eastAsia="宋体" w:cs="宋体"/>
              <w:sz w:val="28"/>
              <w:szCs w:val="28"/>
            </w:rPr>
            <w:t>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_Toc4409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eastAsia="zh-CN"/>
            </w:rPr>
            <w:t>第四部分</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商务要求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_Toc4409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_Toc30756 </w:instrText>
          </w:r>
          <w:r>
            <w:rPr>
              <w:rFonts w:hint="eastAsia" w:ascii="宋体" w:hAnsi="宋体" w:eastAsia="宋体" w:cs="宋体"/>
              <w:sz w:val="28"/>
              <w:szCs w:val="28"/>
            </w:rPr>
            <w:fldChar w:fldCharType="separate"/>
          </w:r>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部分 合同范本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_Toc30756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_Toc3036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第六</w:t>
          </w:r>
          <w:r>
            <w:rPr>
              <w:rFonts w:hint="eastAsia" w:ascii="宋体" w:hAnsi="宋体" w:eastAsia="宋体" w:cs="宋体"/>
              <w:sz w:val="28"/>
              <w:szCs w:val="28"/>
              <w:lang w:val="zh-CN" w:eastAsia="zh-CN"/>
            </w:rPr>
            <w:t>部分 竞争性磋商响应文件格式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_Toc3036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54"/>
            <w:tabs>
              <w:tab w:val="right" w:leader="dot" w:pos="9746"/>
            </w:tabs>
            <w:rPr>
              <w:rFonts w:hint="eastAsia" w:ascii="宋体" w:hAnsi="宋体" w:eastAsia="宋体" w:cs="宋体"/>
              <w:sz w:val="28"/>
              <w:szCs w:val="28"/>
            </w:rPr>
          </w:pPr>
        </w:p>
        <w:p>
          <w:r>
            <w:rPr>
              <w:rFonts w:hint="eastAsia" w:ascii="宋体" w:hAnsi="宋体" w:eastAsia="宋体" w:cs="宋体"/>
              <w:sz w:val="28"/>
              <w:szCs w:val="28"/>
            </w:rPr>
            <w:fldChar w:fldCharType="end"/>
          </w:r>
        </w:p>
      </w:sdtContent>
    </w:sdt>
    <w:p>
      <w:pPr>
        <w:pStyle w:val="2"/>
        <w:tabs>
          <w:tab w:val="left" w:pos="8033"/>
        </w:tabs>
        <w:rPr>
          <w:rFonts w:hint="default" w:eastAsia="FangSong_GB2312"/>
          <w:color w:val="auto"/>
          <w:lang w:val="en-US" w:eastAsia="zh-CN"/>
        </w:rPr>
        <w:sectPr>
          <w:headerReference r:id="rId12" w:type="first"/>
          <w:footerReference r:id="rId14" w:type="first"/>
          <w:headerReference r:id="rId11" w:type="default"/>
          <w:footerReference r:id="rId13" w:type="default"/>
          <w:pgSz w:w="11906" w:h="16838"/>
          <w:pgMar w:top="1440" w:right="1080" w:bottom="1440" w:left="1080" w:header="907" w:footer="680" w:gutter="0"/>
          <w:pgNumType w:fmt="decimal"/>
          <w:cols w:space="720" w:num="1"/>
          <w:titlePg/>
          <w:docGrid w:type="lines" w:linePitch="312" w:charSpace="0"/>
        </w:sectPr>
      </w:pPr>
      <w:r>
        <w:rPr>
          <w:rFonts w:hint="eastAsia"/>
          <w:color w:val="auto"/>
          <w:lang w:val="en-US" w:eastAsia="zh-CN"/>
        </w:rPr>
        <w:fldChar w:fldCharType="begin"/>
      </w:r>
      <w:r>
        <w:rPr>
          <w:rFonts w:hint="eastAsia"/>
          <w:lang w:val="en-US" w:eastAsia="zh-CN"/>
        </w:rPr>
        <w:instrText xml:space="preserve"> HYPERLINK \l _Toc6609 </w:instrText>
      </w:r>
      <w:r>
        <w:rPr>
          <w:rFonts w:hint="eastAsia"/>
          <w:lang w:val="en-US" w:eastAsia="zh-CN"/>
        </w:rPr>
        <w:fldChar w:fldCharType="separate"/>
      </w:r>
      <w:r>
        <w:tab/>
      </w:r>
      <w:r>
        <w:rPr>
          <w:rFonts w:hint="eastAsia"/>
          <w:color w:val="auto"/>
          <w:lang w:val="en-US" w:eastAsia="zh-CN"/>
        </w:rPr>
        <w:fldChar w:fldCharType="end"/>
      </w:r>
      <w:r>
        <w:rPr>
          <w:rFonts w:hint="eastAsia"/>
          <w:color w:val="auto"/>
          <w:lang w:val="en-US" w:eastAsia="zh-CN"/>
        </w:rPr>
        <w:t xml:space="preserve">                                                                                                                                                                                                                                                                                                                                                                                                                                                                                                                                                                                                                                                                                                                                                                                                                                                                                                                                                                                                                                                                                                                                                                                                                                                                                                                                                                                                                                                                                                                                                                                                                                                                                                                                                                                                                                                                                                                                                                                                                                                                                                                                                                                                                                                                                                                                                                                                                                                                                                                                                                                                                                                                                                                                                                                                                                                                                                                                                                                                                                                                                                                                                                                                                                                                                                                                                                                                                                                                                                                                                                                                                                                                                                                                                                                                                                                                                                                                                                                                                                                                                                                                                                                                                </w:t>
      </w:r>
      <w:r>
        <w:rPr>
          <w:rFonts w:hint="eastAsia"/>
          <w:color w:val="auto"/>
          <w:lang w:val="en-US" w:eastAsia="zh-CN"/>
        </w:rPr>
        <w:t xml:space="preserve">                                                                                                                                                                                                                                                                                                                                                                                                                                                                                                                                                                                                                                                                                                                                                                                                                                                                                                                                                                                                                                                                                                                                                                                                                                                                                                                                                                                                                                                                                                                                                                                                                                                                                                                                                                                                                                                                                                                                                                                                                                                                                                                                                                                                                                                                                                                                                                                                                                                                                                                                                                                                                                                                                                                                                                                                                                                                                                                                                                                                                                                                                                                                                                                                                                                                                                                                                                                                                                                                                                                                                                                                                                                                                                                                                                                                                                                                                                                                                                                                                                                                                                                                                                                                                </w:t>
      </w:r>
      <w:r>
        <w:rPr>
          <w:rFonts w:hint="eastAsia"/>
          <w:color w:val="auto"/>
          <w:lang w:val="en-US" w:eastAsia="zh-CN"/>
        </w:rPr>
        <w:t xml:space="preserve">                                                                                                                                                                                                                                                                                                                                                                                                                                                                                                                                                                                                                                                                                                                                                                                                                                                                                                                                                                                                                                                                                                                                                                                                                                                                                                                                                                                                                                                                                                                                                                                                                                                                                                                                                                                                                                                                                                                                                                                                                                                                                                                                                                                                                                                                                                                                                                                                                                                                                                                                                                                                                                                                                                                                                                                                                                                                                                                                                                                                                                                                                                                                                                                                                                                                                                                                                                                                                                                                                                                                                                                                                                                                                                                                                                                                                                                                                                                                                                                                                                                                                                                                                                                                                </w:t>
      </w:r>
      <w:r>
        <w:rPr>
          <w:rFonts w:hint="eastAsia"/>
          <w:color w:val="auto"/>
          <w:lang w:val="en-US" w:eastAsia="zh-CN"/>
        </w:rPr>
        <w:t xml:space="preserve">                                                                                                                                                                                                                                                                                                                                                                                                                                                                                                                                                                                                                                                                                                                                                                                                                                                                                                                                                                                                                                                                                                                                                                                                                                                                                                                                                                                                                                                                                                                                                                                                                                                                                                                                                                                                                                                                                                                                                                                                                                                                                                                                                                                                                                                                                                                                                                                                                                                                                                                                                                                                                                                                                                                                                                                                                   </w:t>
      </w:r>
    </w:p>
    <w:p>
      <w:pPr>
        <w:pStyle w:val="3"/>
        <w:keepNext/>
        <w:keepLines/>
        <w:pageBreakBefore w:val="0"/>
        <w:widowControl w:val="0"/>
        <w:kinsoku/>
        <w:wordWrap/>
        <w:overflowPunct/>
        <w:topLinePunct w:val="0"/>
        <w:autoSpaceDE/>
        <w:autoSpaceDN/>
        <w:bidi w:val="0"/>
        <w:adjustRightInd/>
        <w:snapToGrid/>
        <w:spacing w:before="0" w:after="0" w:line="360" w:lineRule="auto"/>
        <w:ind w:firstLine="3213" w:firstLineChars="889"/>
        <w:jc w:val="both"/>
        <w:textAlignment w:val="auto"/>
        <w:rPr>
          <w:rFonts w:hint="eastAsia" w:ascii="宋体" w:hAnsi="宋体" w:eastAsia="宋体" w:cs="宋体"/>
          <w:highlight w:val="none"/>
        </w:rPr>
      </w:pPr>
      <w:bookmarkStart w:id="4" w:name="_Toc30308_WPSOffice_Level1"/>
      <w:bookmarkStart w:id="5" w:name="_Toc10031"/>
      <w:bookmarkStart w:id="6" w:name="_Toc19753"/>
      <w:bookmarkStart w:id="7" w:name="_Toc21438"/>
      <w:bookmarkStart w:id="8" w:name="_Toc13288"/>
      <w:bookmarkStart w:id="9" w:name="_Toc15034"/>
      <w:bookmarkStart w:id="10" w:name="_Toc8581"/>
      <w:bookmarkStart w:id="11" w:name="_Toc16609"/>
      <w:bookmarkStart w:id="12" w:name="_Toc24911"/>
      <w:bookmarkStart w:id="13" w:name="_Toc14394"/>
      <w:r>
        <w:rPr>
          <w:rFonts w:hint="eastAsia" w:ascii="宋体" w:hAnsi="宋体" w:eastAsia="宋体" w:cs="宋体"/>
          <w:highlight w:val="none"/>
        </w:rPr>
        <w:t xml:space="preserve">第一部分  </w:t>
      </w:r>
      <w:bookmarkEnd w:id="4"/>
      <w:bookmarkEnd w:id="5"/>
      <w:r>
        <w:rPr>
          <w:rFonts w:hint="eastAsia" w:ascii="宋体" w:hAnsi="宋体" w:eastAsia="宋体" w:cs="宋体"/>
          <w:highlight w:val="none"/>
        </w:rPr>
        <w:t>竞争性磋商公告</w:t>
      </w:r>
      <w:bookmarkEnd w:id="6"/>
      <w:bookmarkEnd w:id="7"/>
    </w:p>
    <w:p>
      <w:pPr>
        <w:pStyle w:val="100"/>
        <w:outlineLvl w:val="5"/>
        <w:rPr>
          <w:rFonts w:hint="eastAsia" w:ascii="宋体" w:hAnsi="宋体" w:eastAsia="宋体" w:cs="宋体"/>
          <w:sz w:val="28"/>
          <w:szCs w:val="28"/>
        </w:rPr>
      </w:pPr>
      <w:r>
        <w:rPr>
          <w:rFonts w:hint="eastAsia" w:ascii="宋体" w:hAnsi="宋体" w:eastAsia="宋体" w:cs="宋体"/>
          <w:b/>
          <w:sz w:val="28"/>
          <w:szCs w:val="28"/>
        </w:rPr>
        <w:t>项目概况</w:t>
      </w:r>
    </w:p>
    <w:p>
      <w:pPr>
        <w:pStyle w:val="100"/>
        <w:ind w:firstLine="560" w:firstLineChars="200"/>
        <w:rPr>
          <w:rFonts w:hint="eastAsia" w:ascii="宋体" w:hAnsi="宋体" w:eastAsia="宋体" w:cs="宋体"/>
          <w:sz w:val="28"/>
          <w:szCs w:val="28"/>
          <w:highlight w:val="none"/>
        </w:rPr>
      </w:pPr>
      <w:r>
        <w:rPr>
          <w:rFonts w:hint="eastAsia" w:ascii="宋体" w:hAnsi="宋体" w:cs="宋体"/>
          <w:sz w:val="28"/>
          <w:szCs w:val="28"/>
          <w:lang w:eastAsia="zh-CN"/>
        </w:rPr>
        <w:t>扶风县城新区东二路、西二路、北二路、扶法路排水防涝工程EPC总承包监理（二次）</w:t>
      </w:r>
      <w:r>
        <w:rPr>
          <w:rFonts w:hint="eastAsia" w:ascii="宋体" w:hAnsi="宋体" w:eastAsia="宋体" w:cs="宋体"/>
          <w:sz w:val="28"/>
          <w:szCs w:val="28"/>
        </w:rPr>
        <w:t>采购项目的潜</w:t>
      </w:r>
      <w:r>
        <w:rPr>
          <w:rFonts w:hint="eastAsia" w:ascii="宋体" w:hAnsi="宋体" w:eastAsia="宋体" w:cs="宋体"/>
          <w:sz w:val="28"/>
          <w:szCs w:val="28"/>
          <w:highlight w:val="none"/>
        </w:rPr>
        <w:t>在供应商应在【全国公共资源交易平台（陕西省·宝鸡市）】获取采购文件，并于2026年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25</w:t>
      </w:r>
      <w:r>
        <w:rPr>
          <w:rFonts w:hint="eastAsia" w:ascii="宋体" w:hAnsi="宋体" w:eastAsia="宋体" w:cs="宋体"/>
          <w:sz w:val="28"/>
          <w:szCs w:val="28"/>
          <w:highlight w:val="none"/>
        </w:rPr>
        <w:t>日</w:t>
      </w:r>
      <w:r>
        <w:rPr>
          <w:rFonts w:hint="eastAsia" w:ascii="宋体" w:hAnsi="宋体" w:cs="宋体"/>
          <w:sz w:val="28"/>
          <w:szCs w:val="28"/>
          <w:highlight w:val="none"/>
          <w:lang w:val="en-US" w:eastAsia="zh-CN"/>
        </w:rPr>
        <w:t>14</w:t>
      </w:r>
      <w:r>
        <w:rPr>
          <w:rFonts w:hint="eastAsia" w:ascii="宋体" w:hAnsi="宋体" w:eastAsia="宋体" w:cs="宋体"/>
          <w:sz w:val="28"/>
          <w:szCs w:val="28"/>
          <w:highlight w:val="none"/>
        </w:rPr>
        <w:t>时00分（北京时间）前提交响应文件。</w:t>
      </w:r>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一、项目基本情况</w:t>
      </w:r>
    </w:p>
    <w:p>
      <w:pPr>
        <w:pStyle w:val="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项目编号：</w:t>
      </w:r>
      <w:r>
        <w:rPr>
          <w:rFonts w:hint="eastAsia" w:ascii="宋体" w:hAnsi="宋体" w:cs="宋体"/>
          <w:sz w:val="28"/>
          <w:szCs w:val="28"/>
          <w:highlight w:val="none"/>
          <w:lang w:eastAsia="zh-CN"/>
        </w:rPr>
        <w:t>HRC-ZBDL-2026-00632.1B1</w:t>
      </w:r>
    </w:p>
    <w:p>
      <w:pPr>
        <w:pStyle w:val="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项目名称：</w:t>
      </w:r>
      <w:r>
        <w:rPr>
          <w:rFonts w:hint="eastAsia" w:ascii="宋体" w:hAnsi="宋体" w:cs="宋体"/>
          <w:sz w:val="28"/>
          <w:szCs w:val="28"/>
          <w:highlight w:val="none"/>
          <w:lang w:eastAsia="zh-CN"/>
        </w:rPr>
        <w:t>扶风县城新区东二路、西二路、北二路、扶法路排水防涝工程EPC总承包监理（二次）</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采购方式：竞争性磋商</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预算金额：</w:t>
      </w:r>
      <w:r>
        <w:rPr>
          <w:rFonts w:hint="eastAsia" w:ascii="宋体" w:hAnsi="宋体" w:cs="宋体"/>
          <w:sz w:val="28"/>
          <w:szCs w:val="28"/>
          <w:highlight w:val="none"/>
          <w:lang w:val="en-US" w:eastAsia="zh-CN"/>
        </w:rPr>
        <w:t>91</w:t>
      </w:r>
      <w:r>
        <w:rPr>
          <w:rFonts w:hint="eastAsia" w:ascii="宋体" w:hAnsi="宋体" w:eastAsia="宋体" w:cs="宋体"/>
          <w:sz w:val="28"/>
          <w:szCs w:val="28"/>
          <w:highlight w:val="none"/>
        </w:rPr>
        <w:t>0,000.00元</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采购需求：</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合同包1(</w:t>
      </w:r>
      <w:r>
        <w:rPr>
          <w:rFonts w:hint="eastAsia" w:ascii="宋体" w:hAnsi="宋体" w:cs="宋体"/>
          <w:sz w:val="28"/>
          <w:szCs w:val="28"/>
          <w:highlight w:val="none"/>
          <w:lang w:eastAsia="zh-CN"/>
        </w:rPr>
        <w:t>扶风县城新区东二路、西二路、北二路、扶法路排水防涝工程EPC总承包监理（二次）</w:t>
      </w:r>
      <w:r>
        <w:rPr>
          <w:rFonts w:hint="eastAsia" w:ascii="宋体" w:hAnsi="宋体" w:eastAsia="宋体" w:cs="宋体"/>
          <w:sz w:val="28"/>
          <w:szCs w:val="28"/>
          <w:highlight w:val="none"/>
        </w:rPr>
        <w:t>):</w:t>
      </w:r>
    </w:p>
    <w:p>
      <w:pPr>
        <w:pStyle w:val="100"/>
        <w:ind w:firstLine="630"/>
        <w:rPr>
          <w:rFonts w:hint="eastAsia" w:ascii="宋体" w:hAnsi="宋体" w:eastAsia="宋体" w:cs="宋体"/>
          <w:sz w:val="28"/>
          <w:szCs w:val="28"/>
          <w:highlight w:val="none"/>
        </w:rPr>
      </w:pPr>
      <w:r>
        <w:rPr>
          <w:rFonts w:hint="eastAsia" w:ascii="宋体" w:hAnsi="宋体" w:eastAsia="宋体" w:cs="宋体"/>
          <w:sz w:val="28"/>
          <w:szCs w:val="28"/>
          <w:highlight w:val="none"/>
        </w:rPr>
        <w:t>合同包预算金额：</w:t>
      </w:r>
      <w:r>
        <w:rPr>
          <w:rFonts w:hint="eastAsia" w:ascii="宋体" w:hAnsi="宋体" w:cs="宋体"/>
          <w:sz w:val="28"/>
          <w:szCs w:val="28"/>
          <w:highlight w:val="none"/>
          <w:lang w:val="en-US" w:eastAsia="zh-CN"/>
        </w:rPr>
        <w:t>91</w:t>
      </w:r>
      <w:r>
        <w:rPr>
          <w:rFonts w:hint="eastAsia" w:ascii="宋体" w:hAnsi="宋体" w:eastAsia="宋体" w:cs="宋体"/>
          <w:sz w:val="28"/>
          <w:szCs w:val="28"/>
          <w:highlight w:val="none"/>
        </w:rPr>
        <w:t>0,000.00元</w:t>
      </w:r>
    </w:p>
    <w:p>
      <w:pPr>
        <w:pStyle w:val="100"/>
        <w:ind w:firstLine="630"/>
        <w:rPr>
          <w:rFonts w:hint="eastAsia" w:ascii="宋体" w:hAnsi="宋体" w:eastAsia="宋体" w:cs="宋体"/>
          <w:sz w:val="28"/>
          <w:szCs w:val="28"/>
          <w:highlight w:val="none"/>
        </w:rPr>
      </w:pPr>
      <w:r>
        <w:rPr>
          <w:rFonts w:hint="eastAsia" w:ascii="宋体" w:hAnsi="宋体" w:eastAsia="宋体" w:cs="宋体"/>
          <w:sz w:val="28"/>
          <w:szCs w:val="28"/>
          <w:highlight w:val="none"/>
        </w:rPr>
        <w:t>合同包最高限价：</w:t>
      </w:r>
      <w:r>
        <w:rPr>
          <w:rFonts w:hint="eastAsia" w:ascii="宋体" w:hAnsi="宋体" w:cs="宋体"/>
          <w:sz w:val="28"/>
          <w:szCs w:val="28"/>
          <w:highlight w:val="none"/>
          <w:lang w:val="en-US" w:eastAsia="zh-CN"/>
        </w:rPr>
        <w:t>91</w:t>
      </w:r>
      <w:r>
        <w:rPr>
          <w:rFonts w:hint="eastAsia" w:ascii="宋体" w:hAnsi="宋体" w:eastAsia="宋体" w:cs="宋体"/>
          <w:sz w:val="28"/>
          <w:szCs w:val="28"/>
          <w:highlight w:val="none"/>
        </w:rPr>
        <w:t>0,000.00元</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61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品目号</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品目名称</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采购标的</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数量（单位）</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技术规格、参数及要求</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1-1</w:t>
            </w:r>
          </w:p>
        </w:tc>
        <w:tc>
          <w:tcPr>
            <w:tcW w:w="1384" w:type="dxa"/>
          </w:tcPr>
          <w:p>
            <w:pPr>
              <w:pStyle w:val="100"/>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监理服务</w:t>
            </w:r>
          </w:p>
        </w:tc>
        <w:tc>
          <w:tcPr>
            <w:tcW w:w="1384" w:type="dxa"/>
          </w:tcPr>
          <w:p>
            <w:pPr>
              <w:pStyle w:val="100"/>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扶风县城新区东二路、西二路、北二路、扶法路排水防涝工程EPC总承包监理</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1(项)</w:t>
            </w:r>
          </w:p>
        </w:tc>
        <w:tc>
          <w:tcPr>
            <w:tcW w:w="1384" w:type="dxa"/>
          </w:tcPr>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详见采购文件</w:t>
            </w:r>
          </w:p>
        </w:tc>
        <w:tc>
          <w:tcPr>
            <w:tcW w:w="1384" w:type="dxa"/>
          </w:tcPr>
          <w:p>
            <w:pPr>
              <w:pStyle w:val="100"/>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91</w:t>
            </w:r>
            <w:r>
              <w:rPr>
                <w:rFonts w:hint="eastAsia" w:ascii="宋体" w:hAnsi="宋体" w:eastAsia="宋体" w:cs="宋体"/>
                <w:sz w:val="28"/>
                <w:szCs w:val="28"/>
                <w:highlight w:val="none"/>
              </w:rPr>
              <w:t>0,000.00</w:t>
            </w:r>
          </w:p>
        </w:tc>
      </w:tr>
    </w:tbl>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本合同包不接受联合体投标</w:t>
      </w:r>
    </w:p>
    <w:p>
      <w:pPr>
        <w:pStyle w:val="100"/>
        <w:rPr>
          <w:rFonts w:hint="default" w:ascii="宋体" w:hAnsi="宋体" w:eastAsia="宋体" w:cs="宋体"/>
          <w:sz w:val="28"/>
          <w:szCs w:val="28"/>
          <w:highlight w:val="none"/>
          <w:lang w:val="en-US"/>
        </w:rPr>
      </w:pPr>
      <w:r>
        <w:rPr>
          <w:rFonts w:hint="eastAsia" w:ascii="宋体" w:hAnsi="宋体" w:eastAsia="宋体" w:cs="宋体"/>
          <w:sz w:val="28"/>
          <w:szCs w:val="28"/>
          <w:highlight w:val="none"/>
        </w:rPr>
        <w:t xml:space="preserve"> 合同履行期限：</w:t>
      </w:r>
      <w:r>
        <w:rPr>
          <w:rFonts w:hint="eastAsia" w:ascii="宋体" w:hAnsi="宋体" w:cs="宋体"/>
          <w:sz w:val="28"/>
          <w:szCs w:val="28"/>
          <w:highlight w:val="none"/>
          <w:lang w:eastAsia="zh-CN"/>
        </w:rPr>
        <w:t>扶风县城新区东二路、西二路、北二路、扶法路排水防涝工程EPC总承包</w:t>
      </w:r>
      <w:r>
        <w:rPr>
          <w:rFonts w:hint="eastAsia" w:ascii="宋体" w:hAnsi="宋体" w:cs="宋体"/>
          <w:sz w:val="28"/>
          <w:szCs w:val="28"/>
          <w:highlight w:val="none"/>
          <w:lang w:val="en-US" w:eastAsia="zh-CN"/>
        </w:rPr>
        <w:t>全过程监理</w:t>
      </w:r>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二、申请人的资格要求：</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1.满足《中华人民共和国政府采购法》第二十二条规定;</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2.落实政府采购政策需满足的资格要求：</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合同包1(</w:t>
      </w:r>
      <w:r>
        <w:rPr>
          <w:rFonts w:hint="eastAsia" w:ascii="宋体" w:hAnsi="宋体" w:cs="宋体"/>
          <w:sz w:val="28"/>
          <w:szCs w:val="28"/>
          <w:highlight w:val="none"/>
          <w:lang w:eastAsia="zh-CN"/>
        </w:rPr>
        <w:t>扶风县城新区东二路、西二路、北二路、扶法路排水防涝工程EPC总承包监理（二次）</w:t>
      </w:r>
      <w:r>
        <w:rPr>
          <w:rFonts w:hint="eastAsia" w:ascii="宋体" w:hAnsi="宋体" w:eastAsia="宋体" w:cs="宋体"/>
          <w:sz w:val="28"/>
          <w:szCs w:val="28"/>
          <w:highlight w:val="none"/>
        </w:rPr>
        <w:t>)落实政府采购政策需满足的资格要求如下:</w:t>
      </w:r>
    </w:p>
    <w:p>
      <w:pPr>
        <w:pStyle w:val="100"/>
        <w:ind w:left="480"/>
        <w:rPr>
          <w:rFonts w:hint="eastAsia" w:ascii="宋体" w:hAnsi="宋体" w:eastAsia="宋体" w:cs="宋体"/>
          <w:sz w:val="28"/>
          <w:szCs w:val="28"/>
          <w:highlight w:val="none"/>
        </w:rPr>
      </w:pPr>
      <w:r>
        <w:rPr>
          <w:rFonts w:hint="eastAsia" w:ascii="宋体" w:hAnsi="宋体" w:eastAsia="宋体" w:cs="宋体"/>
          <w:sz w:val="28"/>
          <w:szCs w:val="28"/>
          <w:highlight w:val="none"/>
        </w:rPr>
        <w:t>2-1《政府采购促进中小企业发展管理办法》的通知--财库〔2020〕46号；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 xml:space="preserve">2-2财政部司法部关于政府采购支持监狱企业发展有关问题的通知--财库[2014]68号； </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2-3《财政部 发展改革委 生态环境部 市场监管总局关于调整优化节能产品 环境标志产品政府采购执行机制的通知》（财库〔2019〕9号）；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《关于促进残疾人就业政府采购政策的通知》（财库[2017]141号）；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《陕西省中小企业政府采购信用融资办法》陕财办采〔2018〕23号；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《关于运用政府采购政策支持乡村产业振兴的通知》（财库〔2021〕19 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《财政部关于进一步加大政府采购支持中小企业力度的通知》（财政部财库（2022）19号）；</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3.本项目的特定资格要求：</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合同包1(</w:t>
      </w:r>
      <w:r>
        <w:rPr>
          <w:rFonts w:hint="eastAsia" w:ascii="宋体" w:hAnsi="宋体" w:cs="宋体"/>
          <w:sz w:val="28"/>
          <w:szCs w:val="28"/>
          <w:highlight w:val="none"/>
          <w:lang w:eastAsia="zh-CN"/>
        </w:rPr>
        <w:t>扶风县城新区东二路、西二路、北二路、扶法路排水防涝工程EPC总承包监理（二次）</w:t>
      </w:r>
      <w:r>
        <w:rPr>
          <w:rFonts w:hint="eastAsia" w:ascii="宋体" w:hAnsi="宋体" w:eastAsia="宋体" w:cs="宋体"/>
          <w:sz w:val="28"/>
          <w:szCs w:val="28"/>
          <w:highlight w:val="none"/>
        </w:rPr>
        <w:t>)特定资格要求如下:</w:t>
      </w:r>
    </w:p>
    <w:p>
      <w:pPr>
        <w:pStyle w:val="100"/>
        <w:numPr>
          <w:ilvl w:val="0"/>
          <w:numId w:val="0"/>
        </w:numPr>
        <w:ind w:left="480" w:leftChars="0"/>
        <w:rPr>
          <w:rFonts w:hint="eastAsia" w:ascii="宋体" w:hAnsi="宋体" w:eastAsia="宋体" w:cs="宋体"/>
          <w:sz w:val="28"/>
          <w:szCs w:val="28"/>
          <w:highlight w:val="none"/>
        </w:rPr>
      </w:pPr>
      <w:bookmarkStart w:id="14" w:name="OLE_LINK5"/>
      <w:r>
        <w:rPr>
          <w:rFonts w:hint="eastAsia" w:ascii="宋体" w:hAnsi="宋体" w:eastAsia="宋体" w:cs="宋体"/>
          <w:sz w:val="28"/>
          <w:szCs w:val="28"/>
          <w:highlight w:val="none"/>
          <w:lang w:val="en-US" w:eastAsia="zh-Hans"/>
        </w:rPr>
        <w:t>（1）</w:t>
      </w:r>
      <w:r>
        <w:rPr>
          <w:rFonts w:hint="eastAsia" w:ascii="宋体" w:hAnsi="宋体" w:eastAsia="宋体" w:cs="宋体"/>
          <w:sz w:val="28"/>
          <w:szCs w:val="28"/>
          <w:highlight w:val="none"/>
        </w:rPr>
        <w:t>具有独立承担民事责任能力的法人、其他组织或自然人，并出具合法有效的统一社会信用代码的营业执照或事业单位法人证书等国家规定的相关证明,自然人参与的提供其身份证明；</w:t>
      </w:r>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Hans"/>
        </w:rPr>
        <w:t>（2）供应商须具备工程监理综合资质或市政公用工程监理</w:t>
      </w:r>
      <w:r>
        <w:rPr>
          <w:rFonts w:hint="eastAsia" w:ascii="宋体" w:hAnsi="宋体" w:cs="宋体"/>
          <w:sz w:val="28"/>
          <w:szCs w:val="28"/>
          <w:highlight w:val="none"/>
          <w:lang w:val="en-US" w:eastAsia="zh-CN"/>
        </w:rPr>
        <w:t>乙级</w:t>
      </w:r>
      <w:r>
        <w:rPr>
          <w:rFonts w:hint="eastAsia" w:ascii="宋体" w:hAnsi="宋体" w:eastAsia="宋体" w:cs="宋体"/>
          <w:sz w:val="28"/>
          <w:szCs w:val="28"/>
          <w:highlight w:val="none"/>
          <w:lang w:val="en-US" w:eastAsia="zh-Hans"/>
        </w:rPr>
        <w:t>及以上资质；拟派项目总监理工程师须具备国家注册市政公用工程监理工程师执业资格并在本单位注册，且无在监工程（提供无在监承诺书）；</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）财务状况：提供2024年度或2025年度经审计的财务审计报告(成立时间至提交响应文件截止时间不足一年的可提供成立后任意时段的资产负债表)，或其开标前六个月内基本存款账户开户银行出具的资信证明；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）完税证明：提供2025年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月至今已缴纳的至少三个月的纳税证明或完税证明，依法免税的单位应提供相关证明材料；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）社保缴纳情况：提供2025年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）参加本次政府采购活动前三年内，在经营活动中没有重大违法记录声明；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）法定代表人授权书（附法定代表人身份证复印件）及被授权人身份证复印件（法定代表人直接参加磋商只需提供法定代表人身份证复印件加盖公章）；</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不得为“信用中国、中国执行信息公开网”网站中列入失信被执行人和重大税收违法失信主体的供应商，不得为中国政府采购网（www.ccgp.gov.cn）政府采购严重违法失信行为记录名单中被财政部门禁止参加政府采购活动的供应商；</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）磋商担保：须提供磋商保证金交纳凭证（银行汇（存）款回执单）或磋商担保函，复印件须加盖投标人公章；</w:t>
      </w:r>
    </w:p>
    <w:p>
      <w:pPr>
        <w:pStyle w:val="100"/>
        <w:numPr>
          <w:ilvl w:val="0"/>
          <w:numId w:val="0"/>
        </w:numPr>
        <w:ind w:left="480" w:leftChars="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10</w:t>
      </w:r>
      <w:r>
        <w:rPr>
          <w:rFonts w:hint="eastAsia" w:ascii="宋体" w:hAnsi="宋体" w:cs="宋体"/>
          <w:sz w:val="28"/>
          <w:szCs w:val="28"/>
          <w:highlight w:val="none"/>
          <w:lang w:eastAsia="zh-CN"/>
        </w:rPr>
        <w:t>）本项目专门面向中小企业采购(提供中小企业声明函)，非中小企业单位(监狱企业、残疾人福利单位除外)不得参与。</w:t>
      </w:r>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11</w:t>
      </w:r>
      <w:r>
        <w:rPr>
          <w:rFonts w:hint="eastAsia" w:ascii="宋体" w:hAnsi="宋体" w:cs="宋体"/>
          <w:sz w:val="28"/>
          <w:szCs w:val="28"/>
          <w:highlight w:val="none"/>
          <w:lang w:eastAsia="zh-CN"/>
        </w:rPr>
        <w:t>）单位负责人为同一人或者存在控股、管理关系的不同单位，不得参加同一标段投标或者未划分标段的同一招标项目</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）本项目不接受联合体磋商，提供声明函。</w:t>
      </w:r>
      <w:bookmarkEnd w:id="14"/>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三、获取采购文件</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时间：2026年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12</w:t>
      </w:r>
      <w:r>
        <w:rPr>
          <w:rFonts w:hint="eastAsia" w:ascii="宋体" w:hAnsi="宋体" w:eastAsia="宋体" w:cs="宋体"/>
          <w:sz w:val="28"/>
          <w:szCs w:val="28"/>
          <w:highlight w:val="none"/>
        </w:rPr>
        <w:t>日至2026年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19</w:t>
      </w:r>
      <w:r>
        <w:rPr>
          <w:rFonts w:hint="eastAsia" w:ascii="宋体" w:hAnsi="宋体" w:eastAsia="宋体" w:cs="宋体"/>
          <w:sz w:val="28"/>
          <w:szCs w:val="28"/>
          <w:highlight w:val="none"/>
        </w:rPr>
        <w:t>日，每天上午09:00:00至12:00:00，下午14:00:00至17:00:00（北京时间）</w:t>
      </w:r>
    </w:p>
    <w:p>
      <w:pPr>
        <w:pStyle w:val="100"/>
        <w:rPr>
          <w:rFonts w:hint="eastAsia" w:ascii="宋体" w:hAnsi="宋体" w:eastAsia="宋体" w:cs="宋体"/>
          <w:sz w:val="28"/>
          <w:szCs w:val="28"/>
        </w:rPr>
      </w:pPr>
      <w:r>
        <w:rPr>
          <w:rFonts w:hint="eastAsia" w:ascii="宋体" w:hAnsi="宋体" w:eastAsia="宋体" w:cs="宋体"/>
          <w:sz w:val="28"/>
          <w:szCs w:val="28"/>
          <w:highlight w:val="none"/>
        </w:rPr>
        <w:t>途径：【全国公共资源交易平台（陕西省·宝鸡市</w:t>
      </w:r>
      <w:r>
        <w:rPr>
          <w:rFonts w:hint="eastAsia" w:ascii="宋体" w:hAnsi="宋体" w:eastAsia="宋体" w:cs="宋体"/>
          <w:sz w:val="28"/>
          <w:szCs w:val="28"/>
        </w:rPr>
        <w:t>）】</w:t>
      </w:r>
    </w:p>
    <w:p>
      <w:pPr>
        <w:pStyle w:val="100"/>
        <w:rPr>
          <w:rFonts w:hint="eastAsia" w:ascii="宋体" w:hAnsi="宋体" w:eastAsia="宋体" w:cs="宋体"/>
          <w:sz w:val="28"/>
          <w:szCs w:val="28"/>
        </w:rPr>
      </w:pPr>
      <w:r>
        <w:rPr>
          <w:rFonts w:hint="eastAsia" w:ascii="宋体" w:hAnsi="宋体" w:eastAsia="宋体" w:cs="宋体"/>
          <w:sz w:val="28"/>
          <w:szCs w:val="28"/>
        </w:rPr>
        <w:t>方式：在线获取</w:t>
      </w:r>
    </w:p>
    <w:p>
      <w:pPr>
        <w:pStyle w:val="100"/>
        <w:rPr>
          <w:rFonts w:hint="eastAsia" w:ascii="宋体" w:hAnsi="宋体" w:eastAsia="宋体" w:cs="宋体"/>
          <w:sz w:val="28"/>
          <w:szCs w:val="28"/>
        </w:rPr>
      </w:pPr>
      <w:r>
        <w:rPr>
          <w:rFonts w:hint="eastAsia" w:ascii="宋体" w:hAnsi="宋体" w:eastAsia="宋体" w:cs="宋体"/>
          <w:sz w:val="28"/>
          <w:szCs w:val="28"/>
        </w:rPr>
        <w:t>售价：0元</w:t>
      </w:r>
    </w:p>
    <w:p>
      <w:pPr>
        <w:pStyle w:val="100"/>
        <w:outlineLvl w:val="3"/>
        <w:rPr>
          <w:rFonts w:hint="eastAsia" w:ascii="宋体" w:hAnsi="宋体" w:eastAsia="宋体" w:cs="宋体"/>
          <w:sz w:val="28"/>
          <w:szCs w:val="28"/>
        </w:rPr>
      </w:pPr>
      <w:r>
        <w:rPr>
          <w:rFonts w:hint="eastAsia" w:ascii="宋体" w:hAnsi="宋体" w:eastAsia="宋体" w:cs="宋体"/>
          <w:b/>
          <w:sz w:val="28"/>
          <w:szCs w:val="28"/>
        </w:rPr>
        <w:t>四、响应文件提交</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截止时间：</w:t>
      </w:r>
      <w:bookmarkStart w:id="15" w:name="OLE_LINK2"/>
      <w:r>
        <w:rPr>
          <w:rFonts w:hint="eastAsia" w:ascii="宋体" w:hAnsi="宋体" w:eastAsia="宋体" w:cs="宋体"/>
          <w:sz w:val="28"/>
          <w:szCs w:val="28"/>
          <w:highlight w:val="none"/>
        </w:rPr>
        <w:t>2026年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25</w:t>
      </w:r>
      <w:r>
        <w:rPr>
          <w:rFonts w:hint="eastAsia" w:ascii="宋体" w:hAnsi="宋体" w:eastAsia="宋体" w:cs="宋体"/>
          <w:sz w:val="28"/>
          <w:szCs w:val="28"/>
          <w:highlight w:val="none"/>
        </w:rPr>
        <w:t>日14时00分00秒</w:t>
      </w:r>
      <w:bookmarkEnd w:id="15"/>
      <w:r>
        <w:rPr>
          <w:rFonts w:hint="eastAsia" w:ascii="宋体" w:hAnsi="宋体" w:eastAsia="宋体" w:cs="宋体"/>
          <w:sz w:val="28"/>
          <w:szCs w:val="28"/>
          <w:highlight w:val="none"/>
        </w:rPr>
        <w:t>（北京时间）</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地点：【全国公共资源交易平台（陕西省·宝鸡市）】</w:t>
      </w:r>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五、开启</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时间：2026年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25</w:t>
      </w:r>
      <w:r>
        <w:rPr>
          <w:rFonts w:hint="eastAsia" w:ascii="宋体" w:hAnsi="宋体" w:eastAsia="宋体" w:cs="宋体"/>
          <w:sz w:val="28"/>
          <w:szCs w:val="28"/>
          <w:highlight w:val="none"/>
        </w:rPr>
        <w:t>日14时00分00秒（北京时间）</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地点：宝鸡市公共资源交易平台不见面开标大厅</w:t>
      </w:r>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六、公告期限</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自本公告发布之日起3个工作日。</w:t>
      </w:r>
    </w:p>
    <w:p>
      <w:pPr>
        <w:pStyle w:val="100"/>
        <w:outlineLvl w:val="3"/>
        <w:rPr>
          <w:rFonts w:hint="eastAsia" w:ascii="宋体" w:hAnsi="宋体" w:eastAsia="宋体" w:cs="宋体"/>
          <w:sz w:val="28"/>
          <w:szCs w:val="28"/>
          <w:highlight w:val="none"/>
        </w:rPr>
      </w:pPr>
      <w:r>
        <w:rPr>
          <w:rFonts w:hint="eastAsia" w:ascii="宋体" w:hAnsi="宋体" w:eastAsia="宋体" w:cs="宋体"/>
          <w:b/>
          <w:sz w:val="28"/>
          <w:szCs w:val="28"/>
          <w:highlight w:val="none"/>
        </w:rPr>
        <w:t>七、其他补充事宜</w:t>
      </w:r>
    </w:p>
    <w:p>
      <w:pPr>
        <w:pStyle w:val="100"/>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注：1、本公告同时在【陕西省政府采购网】、【全国公共资源交易平台（陕西省·宝鸡市）】发布。</w:t>
      </w:r>
    </w:p>
    <w:p>
      <w:pPr>
        <w:pStyle w:val="100"/>
        <w:ind w:firstLine="560"/>
        <w:jc w:val="both"/>
        <w:rPr>
          <w:rFonts w:hint="eastAsia" w:ascii="宋体" w:hAnsi="宋体" w:eastAsia="宋体" w:cs="宋体"/>
          <w:sz w:val="28"/>
          <w:szCs w:val="28"/>
          <w:highlight w:val="none"/>
        </w:rPr>
      </w:pPr>
      <w:r>
        <w:rPr>
          <w:rFonts w:hint="eastAsia" w:ascii="宋体" w:hAnsi="宋体" w:cs="宋体"/>
          <w:color w:val="000000"/>
          <w:sz w:val="28"/>
          <w:szCs w:val="28"/>
          <w:highlight w:val="none"/>
          <w:lang w:val="en-US" w:eastAsia="zh-CN"/>
        </w:rPr>
        <w:t>2</w:t>
      </w:r>
      <w:r>
        <w:rPr>
          <w:rFonts w:hint="eastAsia" w:ascii="宋体" w:hAnsi="宋体" w:eastAsia="宋体" w:cs="宋体"/>
          <w:color w:val="000000"/>
          <w:sz w:val="28"/>
          <w:szCs w:val="28"/>
          <w:highlight w:val="none"/>
        </w:rPr>
        <w:t>、文件获取方式及注意事项：</w:t>
      </w:r>
    </w:p>
    <w:p>
      <w:pPr>
        <w:pStyle w:val="100"/>
        <w:ind w:firstLine="560"/>
        <w:jc w:val="both"/>
        <w:rPr>
          <w:rFonts w:hint="eastAsia" w:ascii="宋体" w:hAnsi="宋体" w:eastAsia="宋体" w:cs="宋体"/>
          <w:sz w:val="28"/>
          <w:szCs w:val="28"/>
        </w:rPr>
      </w:pPr>
      <w:r>
        <w:rPr>
          <w:rFonts w:hint="eastAsia" w:ascii="宋体" w:hAnsi="宋体" w:cs="宋体"/>
          <w:color w:val="000000"/>
          <w:sz w:val="28"/>
          <w:szCs w:val="28"/>
          <w:lang w:val="en-US" w:eastAsia="zh-CN"/>
        </w:rPr>
        <w:t>2</w:t>
      </w:r>
      <w:r>
        <w:rPr>
          <w:rFonts w:hint="eastAsia" w:ascii="宋体" w:hAnsi="宋体" w:eastAsia="宋体" w:cs="宋体"/>
          <w:color w:val="000000"/>
          <w:sz w:val="28"/>
          <w:szCs w:val="28"/>
        </w:rPr>
        <w:t>-1文件获取：供应商使用捆绑CA证书登录全国公共资源交易平台（陕西省·宝鸡市）宝鸡市公共资源交易中心，选择电子交易平台中的陕西政府采购交易系统进行登录，登录后选择“交易乙方”身份进入供应商界面进行报名。</w:t>
      </w:r>
    </w:p>
    <w:p>
      <w:pPr>
        <w:pStyle w:val="100"/>
        <w:ind w:firstLine="560"/>
        <w:jc w:val="both"/>
        <w:rPr>
          <w:rFonts w:hint="eastAsia" w:ascii="宋体" w:hAnsi="宋体" w:eastAsia="宋体" w:cs="宋体"/>
          <w:sz w:val="28"/>
          <w:szCs w:val="28"/>
        </w:rPr>
      </w:pPr>
      <w:r>
        <w:rPr>
          <w:rFonts w:hint="eastAsia" w:ascii="宋体" w:hAnsi="宋体" w:cs="宋体"/>
          <w:color w:val="000000"/>
          <w:sz w:val="28"/>
          <w:szCs w:val="28"/>
          <w:lang w:val="en-US" w:eastAsia="zh-CN"/>
        </w:rPr>
        <w:t>2</w:t>
      </w:r>
      <w:r>
        <w:rPr>
          <w:rFonts w:hint="eastAsia" w:ascii="宋体" w:hAnsi="宋体" w:eastAsia="宋体" w:cs="宋体"/>
          <w:color w:val="000000"/>
          <w:sz w:val="28"/>
          <w:szCs w:val="28"/>
        </w:rPr>
        <w:t>-2友情提示：</w:t>
      </w:r>
    </w:p>
    <w:p>
      <w:pPr>
        <w:pStyle w:val="100"/>
        <w:ind w:firstLine="560"/>
        <w:jc w:val="both"/>
        <w:rPr>
          <w:rFonts w:hint="eastAsia" w:ascii="宋体" w:hAnsi="宋体" w:eastAsia="宋体" w:cs="宋体"/>
          <w:sz w:val="28"/>
          <w:szCs w:val="28"/>
        </w:rPr>
      </w:pPr>
      <w:r>
        <w:rPr>
          <w:rFonts w:hint="eastAsia" w:ascii="宋体" w:hAnsi="宋体" w:eastAsia="宋体" w:cs="宋体"/>
          <w:color w:val="000000"/>
          <w:sz w:val="28"/>
          <w:szCs w:val="28"/>
        </w:rPr>
        <w:t>（1）本项目为电子化政府采购项目，供应商初次登录宝鸡市公共资源交易平台前应先完成诚信入库登记、CA认证和企业信息绑定。</w:t>
      </w:r>
    </w:p>
    <w:p>
      <w:pPr>
        <w:pStyle w:val="100"/>
        <w:ind w:firstLine="560"/>
        <w:jc w:val="both"/>
        <w:rPr>
          <w:rFonts w:hint="eastAsia" w:ascii="宋体" w:hAnsi="宋体" w:eastAsia="宋体" w:cs="宋体"/>
          <w:sz w:val="28"/>
          <w:szCs w:val="28"/>
        </w:rPr>
      </w:pPr>
      <w:r>
        <w:rPr>
          <w:rFonts w:hint="eastAsia" w:ascii="宋体" w:hAnsi="宋体" w:eastAsia="宋体" w:cs="宋体"/>
          <w:color w:val="000000"/>
          <w:sz w:val="28"/>
          <w:szCs w:val="28"/>
        </w:rPr>
        <w:t>（2）制作电子投标文件（*.SXSTF）需要使用专用制作工具。软件下载及操作说明详见宝鸡市公共资源交易平台〖首页·〉服务指南·〉下载专区〗中的《政府采购项目投标文件制作软件及操作手册》。</w:t>
      </w:r>
    </w:p>
    <w:p>
      <w:pPr>
        <w:pStyle w:val="100"/>
        <w:ind w:firstLine="560"/>
        <w:jc w:val="both"/>
        <w:rPr>
          <w:rFonts w:hint="eastAsia" w:ascii="宋体" w:hAnsi="宋体" w:eastAsia="宋体" w:cs="宋体"/>
          <w:sz w:val="28"/>
          <w:szCs w:val="28"/>
        </w:rPr>
      </w:pPr>
      <w:r>
        <w:rPr>
          <w:rFonts w:hint="eastAsia" w:ascii="宋体" w:hAnsi="宋体" w:eastAsia="宋体" w:cs="宋体"/>
          <w:color w:val="000000"/>
          <w:sz w:val="28"/>
          <w:szCs w:val="28"/>
        </w:rPr>
        <w:t>（3）提交投标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pPr>
        <w:pStyle w:val="100"/>
        <w:ind w:firstLine="560"/>
        <w:jc w:val="both"/>
        <w:rPr>
          <w:rFonts w:hint="eastAsia" w:ascii="宋体" w:hAnsi="宋体" w:eastAsia="宋体" w:cs="宋体"/>
          <w:sz w:val="28"/>
          <w:szCs w:val="28"/>
        </w:rPr>
      </w:pPr>
      <w:r>
        <w:rPr>
          <w:rFonts w:hint="eastAsia" w:ascii="宋体" w:hAnsi="宋体" w:eastAsia="宋体" w:cs="宋体"/>
          <w:color w:val="000000"/>
          <w:sz w:val="28"/>
          <w:szCs w:val="28"/>
        </w:rPr>
        <w:t>（4）本项目为“全流程电子化”“不见面”采购模式，实行线上电子投标方式，各供应商须自行在网上下载磋商文件、缴纳磋商保证金、递交磋商文件、在线参与磋商过程，并登录全国公共资源交易平台（陕西省宝鸡市）宝鸡市公共资源交易中心-服务指南-下载专区-下载“政府采购电子交易-不见面系统操作手册-投标人”，并下载政府采购电子标书制作工具，按照流程制作电子标书并在规定的投标截止时前上传电子投标文件；建议使用IE11浏览器或360极速浏览器兼容模式，同时必须安装陕西省公共资源CA驱动，供应商须自备配音耳麦，确保磋商及报价环节能顺利进行；为了保证远程不见面开标顺利进行，投标人需使用配备相关设备的电脑提前一小时登录网络开标大厅签到。因投标人自身设施故障或自身原因导致无法完成投标的，由投标人自行承担后果。</w:t>
      </w:r>
    </w:p>
    <w:p>
      <w:pPr>
        <w:pStyle w:val="100"/>
        <w:ind w:firstLine="560"/>
        <w:jc w:val="both"/>
        <w:rPr>
          <w:rFonts w:hint="eastAsia" w:ascii="宋体" w:hAnsi="宋体" w:eastAsia="宋体" w:cs="宋体"/>
          <w:sz w:val="28"/>
          <w:szCs w:val="28"/>
        </w:rPr>
      </w:pPr>
      <w:r>
        <w:rPr>
          <w:rFonts w:hint="eastAsia" w:ascii="宋体" w:hAnsi="宋体" w:cs="宋体"/>
          <w:color w:val="000000"/>
          <w:sz w:val="28"/>
          <w:szCs w:val="28"/>
          <w:lang w:val="en-US" w:eastAsia="zh-CN"/>
        </w:rPr>
        <w:t>3</w:t>
      </w:r>
      <w:r>
        <w:rPr>
          <w:rFonts w:hint="eastAsia" w:ascii="宋体" w:hAnsi="宋体" w:eastAsia="宋体" w:cs="宋体"/>
          <w:color w:val="000000"/>
          <w:sz w:val="28"/>
          <w:szCs w:val="28"/>
        </w:rPr>
        <w:t>、磋商响应文件的提交方式：从宝鸡市公共资源交易平台〖首页·〉电子交易平台·〉陕西政府采购交易系统·〉企业端〗登录，登录后切换到〖我的项目〗模块，依次点选〖项目流程·〉项目管理·〉上传响应文件〗上传加密后的电子投标文件（*.SXSTF）。</w:t>
      </w:r>
    </w:p>
    <w:p>
      <w:pPr>
        <w:pStyle w:val="100"/>
        <w:ind w:firstLine="560"/>
        <w:jc w:val="both"/>
        <w:rPr>
          <w:rFonts w:hint="eastAsia" w:ascii="宋体" w:hAnsi="宋体" w:eastAsia="宋体" w:cs="宋体"/>
          <w:sz w:val="28"/>
          <w:szCs w:val="28"/>
        </w:rPr>
      </w:pPr>
      <w:r>
        <w:rPr>
          <w:rFonts w:hint="eastAsia" w:ascii="宋体" w:hAnsi="宋体" w:cs="宋体"/>
          <w:color w:val="000000"/>
          <w:sz w:val="28"/>
          <w:szCs w:val="28"/>
          <w:lang w:val="en-US" w:eastAsia="zh-CN"/>
        </w:rPr>
        <w:t>4</w:t>
      </w:r>
      <w:r>
        <w:rPr>
          <w:rFonts w:hint="eastAsia" w:ascii="宋体" w:hAnsi="宋体" w:eastAsia="宋体" w:cs="宋体"/>
          <w:color w:val="000000"/>
          <w:sz w:val="28"/>
          <w:szCs w:val="28"/>
        </w:rPr>
        <w:t>、请各供应商下载磋商文件后，按照陕西省财政厅《关于政府采供应商注册登记有关事项的通知》要求，通过陕西省政府采购网注册登记加入陕西省政府采购供应商库。</w:t>
      </w:r>
    </w:p>
    <w:p>
      <w:pPr>
        <w:pStyle w:val="100"/>
        <w:outlineLvl w:val="3"/>
        <w:rPr>
          <w:rFonts w:hint="eastAsia" w:ascii="宋体" w:hAnsi="宋体" w:eastAsia="宋体" w:cs="宋体"/>
          <w:sz w:val="28"/>
          <w:szCs w:val="28"/>
        </w:rPr>
      </w:pPr>
      <w:r>
        <w:rPr>
          <w:rFonts w:hint="eastAsia" w:ascii="宋体" w:hAnsi="宋体" w:eastAsia="宋体" w:cs="宋体"/>
          <w:b/>
          <w:sz w:val="28"/>
          <w:szCs w:val="28"/>
        </w:rPr>
        <w:t>八、对本次招标提出询问，请按以下方式联系。</w:t>
      </w:r>
    </w:p>
    <w:p>
      <w:pPr>
        <w:pStyle w:val="100"/>
        <w:outlineLvl w:val="5"/>
        <w:rPr>
          <w:rFonts w:hint="eastAsia" w:ascii="宋体" w:hAnsi="宋体" w:eastAsia="宋体" w:cs="宋体"/>
          <w:sz w:val="28"/>
          <w:szCs w:val="28"/>
        </w:rPr>
      </w:pPr>
      <w:r>
        <w:rPr>
          <w:rFonts w:hint="eastAsia" w:ascii="宋体" w:hAnsi="宋体" w:eastAsia="宋体" w:cs="宋体"/>
          <w:b/>
          <w:sz w:val="28"/>
          <w:szCs w:val="28"/>
        </w:rPr>
        <w:t>1.采购人信息</w:t>
      </w:r>
    </w:p>
    <w:p>
      <w:pPr>
        <w:pStyle w:val="100"/>
        <w:rPr>
          <w:rFonts w:hint="eastAsia" w:ascii="宋体" w:hAnsi="宋体" w:eastAsia="宋体" w:cs="宋体"/>
          <w:sz w:val="28"/>
          <w:szCs w:val="28"/>
          <w:highlight w:val="none"/>
          <w:lang w:eastAsia="zh-CN"/>
        </w:rPr>
      </w:pPr>
      <w:r>
        <w:rPr>
          <w:rFonts w:hint="eastAsia" w:ascii="宋体" w:hAnsi="宋体" w:eastAsia="宋体" w:cs="宋体"/>
          <w:sz w:val="28"/>
          <w:szCs w:val="28"/>
        </w:rPr>
        <w:t>名称：</w:t>
      </w:r>
      <w:r>
        <w:rPr>
          <w:rFonts w:hint="eastAsia" w:ascii="宋体" w:hAnsi="宋体" w:cs="宋体"/>
          <w:sz w:val="28"/>
          <w:szCs w:val="28"/>
          <w:lang w:eastAsia="zh-CN"/>
        </w:rPr>
        <w:t>扶风</w:t>
      </w:r>
      <w:r>
        <w:rPr>
          <w:rFonts w:hint="eastAsia" w:ascii="宋体" w:hAnsi="宋体" w:cs="宋体"/>
          <w:sz w:val="28"/>
          <w:szCs w:val="28"/>
          <w:highlight w:val="none"/>
          <w:lang w:eastAsia="zh-CN"/>
        </w:rPr>
        <w:t>县住房和城乡建设局</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地址：</w:t>
      </w:r>
      <w:bookmarkStart w:id="16" w:name="OLE_LINK1"/>
      <w:r>
        <w:rPr>
          <w:rFonts w:hint="eastAsia" w:ascii="宋体" w:hAnsi="宋体" w:eastAsia="宋体" w:cs="宋体"/>
          <w:sz w:val="28"/>
          <w:szCs w:val="28"/>
          <w:highlight w:val="none"/>
        </w:rPr>
        <w:t>陕西省宝鸡市扶风县新区西一路</w:t>
      </w:r>
      <w:bookmarkEnd w:id="16"/>
    </w:p>
    <w:p>
      <w:pPr>
        <w:pStyle w:val="1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w:t>
      </w:r>
      <w:r>
        <w:rPr>
          <w:rFonts w:hint="eastAsia" w:ascii="宋体" w:hAnsi="宋体" w:cs="宋体"/>
          <w:sz w:val="28"/>
          <w:szCs w:val="28"/>
          <w:highlight w:val="none"/>
          <w:lang w:val="en-US" w:eastAsia="zh-CN"/>
        </w:rPr>
        <w:t>0917-5213781</w:t>
      </w:r>
    </w:p>
    <w:p>
      <w:pPr>
        <w:pStyle w:val="100"/>
        <w:outlineLvl w:val="5"/>
        <w:rPr>
          <w:rFonts w:hint="eastAsia" w:ascii="宋体" w:hAnsi="宋体" w:eastAsia="宋体" w:cs="宋体"/>
          <w:sz w:val="28"/>
          <w:szCs w:val="28"/>
          <w:highlight w:val="none"/>
        </w:rPr>
      </w:pPr>
      <w:r>
        <w:rPr>
          <w:rFonts w:hint="eastAsia" w:ascii="宋体" w:hAnsi="宋体" w:eastAsia="宋体" w:cs="宋体"/>
          <w:b/>
          <w:sz w:val="28"/>
          <w:szCs w:val="28"/>
          <w:highlight w:val="none"/>
        </w:rPr>
        <w:t>2.采购代理机构信息</w:t>
      </w:r>
    </w:p>
    <w:p>
      <w:pPr>
        <w:pStyle w:val="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名称：</w:t>
      </w:r>
      <w:r>
        <w:rPr>
          <w:rFonts w:hint="eastAsia" w:ascii="宋体" w:hAnsi="宋体" w:cs="宋体"/>
          <w:sz w:val="28"/>
          <w:szCs w:val="28"/>
          <w:highlight w:val="none"/>
          <w:lang w:eastAsia="zh-CN"/>
        </w:rPr>
        <w:t>华睿诚项目管理有限公司</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地址：陕西省西安市曲江新区雁翔路3269号旺座曲江E座29层2901号</w:t>
      </w:r>
    </w:p>
    <w:p>
      <w:pPr>
        <w:pStyle w:val="1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w:t>
      </w:r>
      <w:r>
        <w:rPr>
          <w:rFonts w:hint="eastAsia" w:ascii="宋体" w:hAnsi="宋体" w:cs="宋体"/>
          <w:sz w:val="28"/>
          <w:szCs w:val="28"/>
          <w:highlight w:val="none"/>
          <w:lang w:val="en-US" w:eastAsia="zh-CN"/>
        </w:rPr>
        <w:t>18092114697</w:t>
      </w:r>
    </w:p>
    <w:p>
      <w:pPr>
        <w:pStyle w:val="100"/>
        <w:outlineLvl w:val="5"/>
        <w:rPr>
          <w:rFonts w:hint="eastAsia" w:ascii="宋体" w:hAnsi="宋体" w:eastAsia="宋体" w:cs="宋体"/>
          <w:sz w:val="28"/>
          <w:szCs w:val="28"/>
          <w:highlight w:val="none"/>
        </w:rPr>
      </w:pPr>
      <w:r>
        <w:rPr>
          <w:rFonts w:hint="eastAsia" w:ascii="宋体" w:hAnsi="宋体" w:eastAsia="宋体" w:cs="宋体"/>
          <w:b/>
          <w:sz w:val="28"/>
          <w:szCs w:val="28"/>
          <w:highlight w:val="none"/>
        </w:rPr>
        <w:t>3.项目联系方式</w:t>
      </w:r>
    </w:p>
    <w:p>
      <w:pPr>
        <w:pStyle w:val="1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项目联系人：</w:t>
      </w:r>
      <w:r>
        <w:rPr>
          <w:rFonts w:hint="eastAsia" w:ascii="宋体" w:hAnsi="宋体" w:cs="宋体"/>
          <w:sz w:val="28"/>
          <w:szCs w:val="28"/>
          <w:highlight w:val="none"/>
          <w:lang w:val="en-US" w:eastAsia="zh-CN"/>
        </w:rPr>
        <w:t>付工</w:t>
      </w:r>
    </w:p>
    <w:p>
      <w:pPr>
        <w:pStyle w:val="1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电话：</w:t>
      </w:r>
      <w:bookmarkStart w:id="17" w:name="OLE_LINK7"/>
      <w:r>
        <w:rPr>
          <w:rFonts w:hint="eastAsia" w:ascii="宋体" w:hAnsi="宋体" w:cs="宋体"/>
          <w:sz w:val="28"/>
          <w:szCs w:val="28"/>
          <w:highlight w:val="none"/>
          <w:lang w:val="en-US" w:eastAsia="zh-CN"/>
        </w:rPr>
        <w:t>18092114697</w:t>
      </w:r>
      <w:bookmarkEnd w:id="17"/>
    </w:p>
    <w:p>
      <w:pPr>
        <w:pStyle w:val="100"/>
        <w:jc w:val="right"/>
        <w:rPr>
          <w:rFonts w:hint="eastAsia" w:ascii="宋体" w:hAnsi="宋体" w:eastAsia="宋体" w:cs="宋体"/>
          <w:sz w:val="28"/>
          <w:szCs w:val="28"/>
          <w:highlight w:val="none"/>
          <w:lang w:eastAsia="zh-CN"/>
        </w:rPr>
      </w:pPr>
      <w:r>
        <w:rPr>
          <w:rFonts w:hint="eastAsia" w:ascii="宋体" w:hAnsi="宋体" w:cs="宋体"/>
          <w:sz w:val="28"/>
          <w:szCs w:val="28"/>
          <w:highlight w:val="none"/>
          <w:lang w:eastAsia="zh-CN"/>
        </w:rPr>
        <w:t>华睿诚项目管理有限公司</w:t>
      </w:r>
    </w:p>
    <w:p>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b w:val="0"/>
          <w:bCs w:val="0"/>
          <w:kern w:val="2"/>
          <w:sz w:val="28"/>
          <w:szCs w:val="28"/>
          <w:lang w:val="en-US" w:eastAsia="zh-CN" w:bidi="ar-SA"/>
        </w:rPr>
      </w:pPr>
      <w:r>
        <w:rPr>
          <w:rFonts w:hint="eastAsia" w:ascii="宋体" w:hAnsi="宋体" w:eastAsia="宋体" w:cs="宋体"/>
          <w:sz w:val="28"/>
          <w:szCs w:val="28"/>
          <w:highlight w:val="none"/>
        </w:rPr>
        <w:t>2026</w:t>
      </w:r>
      <w:r>
        <w:rPr>
          <w:rFonts w:hint="eastAsia" w:ascii="宋体" w:hAnsi="宋体" w:eastAsia="宋体" w:cs="宋体"/>
          <w:sz w:val="28"/>
          <w:szCs w:val="28"/>
        </w:rPr>
        <w:t>年</w:t>
      </w:r>
      <w:r>
        <w:rPr>
          <w:rFonts w:hint="eastAsia" w:cs="宋体"/>
          <w:sz w:val="28"/>
          <w:szCs w:val="28"/>
          <w:lang w:val="en-US" w:eastAsia="zh-CN"/>
        </w:rPr>
        <w:t>08</w:t>
      </w:r>
      <w:r>
        <w:rPr>
          <w:rFonts w:hint="eastAsia" w:ascii="宋体" w:hAnsi="宋体" w:eastAsia="宋体" w:cs="宋体"/>
          <w:sz w:val="28"/>
          <w:szCs w:val="28"/>
        </w:rPr>
        <w:t>月</w:t>
      </w:r>
      <w:r>
        <w:rPr>
          <w:rFonts w:hint="eastAsia" w:cs="宋体"/>
          <w:sz w:val="28"/>
          <w:szCs w:val="28"/>
          <w:lang w:val="en-US" w:eastAsia="zh-CN"/>
        </w:rPr>
        <w:t>12</w:t>
      </w:r>
      <w:r>
        <w:rPr>
          <w:rFonts w:hint="eastAsia" w:ascii="宋体" w:hAnsi="宋体" w:eastAsia="宋体" w:cs="宋体"/>
          <w:sz w:val="28"/>
          <w:szCs w:val="28"/>
        </w:rPr>
        <w:t>日</w:t>
      </w:r>
      <w:r>
        <w:br w:type="textWrapping"/>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pPr>
        <w:pageBreakBefore w:val="0"/>
        <w:kinsoku/>
        <w:wordWrap/>
        <w:overflowPunct/>
        <w:topLinePunct w:val="0"/>
        <w:bidi w:val="0"/>
        <w:spacing w:line="360" w:lineRule="auto"/>
        <w:ind w:firstLine="280" w:firstLineChars="100"/>
        <w:textAlignment w:val="auto"/>
        <w:rPr>
          <w:rFonts w:hint="eastAsia" w:ascii="宋体" w:hAnsi="宋体" w:eastAsia="宋体" w:cs="宋体"/>
          <w:sz w:val="24"/>
          <w:szCs w:val="24"/>
          <w:highlight w:val="none"/>
        </w:rPr>
      </w:pPr>
      <w:r>
        <w:rPr>
          <w:rFonts w:hint="eastAsia" w:ascii="宋体" w:hAnsi="宋体" w:eastAsia="宋体" w:cs="宋体"/>
          <w:sz w:val="28"/>
          <w:szCs w:val="28"/>
          <w:highlight w:val="none"/>
        </w:rPr>
        <w:t>附件1：</w:t>
      </w:r>
    </w:p>
    <w:p>
      <w:pPr>
        <w:bidi w:val="0"/>
        <w:jc w:val="center"/>
        <w:rPr>
          <w:rFonts w:hint="eastAsia"/>
          <w:b/>
          <w:bCs/>
        </w:rPr>
      </w:pPr>
      <w:bookmarkStart w:id="18" w:name="_Toc1768"/>
      <w:bookmarkStart w:id="19" w:name="_Toc17479"/>
      <w:bookmarkStart w:id="20" w:name="_Toc7239"/>
      <w:r>
        <w:rPr>
          <w:rFonts w:hint="eastAsia"/>
          <w:b/>
          <w:bCs/>
        </w:rPr>
        <w:t>保证金费用收取说明</w:t>
      </w:r>
      <w:bookmarkEnd w:id="18"/>
      <w:bookmarkEnd w:id="19"/>
      <w:bookmarkEnd w:id="20"/>
    </w:p>
    <w:p>
      <w:pPr>
        <w:pageBreakBefore w:val="0"/>
        <w:numPr>
          <w:ilvl w:val="0"/>
          <w:numId w:val="0"/>
        </w:numPr>
        <w:kinsoku/>
        <w:wordWrap/>
        <w:overflowPunct/>
        <w:topLinePunct w:val="0"/>
        <w:bidi w:val="0"/>
        <w:spacing w:line="360" w:lineRule="auto"/>
        <w:ind w:left="567" w:leftChars="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lang w:eastAsia="zh-CN"/>
        </w:rPr>
        <w:t>一、</w:t>
      </w:r>
      <w:r>
        <w:rPr>
          <w:rFonts w:hint="eastAsia" w:ascii="宋体" w:hAnsi="宋体" w:eastAsia="宋体" w:cs="宋体"/>
          <w:sz w:val="28"/>
          <w:szCs w:val="28"/>
          <w:highlight w:val="none"/>
        </w:rPr>
        <w:t>招标活动涉及投标保证金须采用转账或汇款方式交纳。</w:t>
      </w:r>
      <w:r>
        <w:rPr>
          <w:rFonts w:hint="eastAsia" w:ascii="宋体" w:hAnsi="宋体" w:eastAsia="宋体" w:cs="宋体"/>
          <w:b/>
          <w:sz w:val="28"/>
          <w:szCs w:val="28"/>
          <w:highlight w:val="none"/>
        </w:rPr>
        <w:t>(必须从公司公户转出)</w:t>
      </w:r>
    </w:p>
    <w:p>
      <w:pPr>
        <w:pageBreakBefore w:val="0"/>
        <w:numPr>
          <w:ilvl w:val="0"/>
          <w:numId w:val="0"/>
        </w:numPr>
        <w:kinsoku/>
        <w:wordWrap/>
        <w:overflowPunct/>
        <w:topLinePunct w:val="0"/>
        <w:bidi w:val="0"/>
        <w:spacing w:line="360" w:lineRule="auto"/>
        <w:ind w:left="560" w:left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请将款项交纳至以下指定的银行账户内：</w:t>
      </w:r>
    </w:p>
    <w:tbl>
      <w:tblPr>
        <w:tblStyle w:val="25"/>
        <w:tblW w:w="8740" w:type="dxa"/>
        <w:jc w:val="center"/>
        <w:tblLayout w:type="fixed"/>
        <w:tblCellMar>
          <w:top w:w="0" w:type="dxa"/>
          <w:left w:w="10" w:type="dxa"/>
          <w:bottom w:w="0" w:type="dxa"/>
          <w:right w:w="10" w:type="dxa"/>
        </w:tblCellMar>
      </w:tblPr>
      <w:tblGrid>
        <w:gridCol w:w="8740"/>
      </w:tblGrid>
      <w:tr>
        <w:tblPrEx>
          <w:tblCellMar>
            <w:top w:w="0" w:type="dxa"/>
            <w:left w:w="10" w:type="dxa"/>
            <w:bottom w:w="0" w:type="dxa"/>
            <w:right w:w="10" w:type="dxa"/>
          </w:tblCellMar>
        </w:tblPrEx>
        <w:trPr>
          <w:trHeight w:val="2379" w:hRule="atLeast"/>
          <w:jc w:val="center"/>
        </w:trPr>
        <w:tc>
          <w:tcPr>
            <w:tcW w:w="8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spacing w:val="-11"/>
                <w:sz w:val="28"/>
                <w:szCs w:val="28"/>
                <w:highlight w:val="none"/>
                <w:lang w:eastAsia="zh-CN"/>
              </w:rPr>
            </w:pPr>
            <w:r>
              <w:rPr>
                <w:rFonts w:hint="eastAsia" w:ascii="宋体" w:hAnsi="宋体" w:eastAsia="宋体" w:cs="宋体"/>
                <w:sz w:val="28"/>
                <w:szCs w:val="28"/>
                <w:highlight w:val="none"/>
                <w:lang w:eastAsia="zh-CN"/>
              </w:rPr>
              <w:t>名  称：宝鸡</w:t>
            </w:r>
            <w:r>
              <w:rPr>
                <w:rFonts w:hint="eastAsia" w:ascii="宋体" w:hAnsi="宋体" w:eastAsia="宋体" w:cs="宋体"/>
                <w:spacing w:val="-11"/>
                <w:sz w:val="28"/>
                <w:szCs w:val="28"/>
                <w:highlight w:val="none"/>
                <w:lang w:eastAsia="zh-CN"/>
              </w:rPr>
              <w:t>市公共资源交易中心保证金专户</w:t>
            </w:r>
          </w:p>
          <w:p>
            <w:pPr>
              <w:pageBreakBefore w:val="0"/>
              <w:kinsoku/>
              <w:wordWrap/>
              <w:overflowPunct/>
              <w:topLinePunct w:val="0"/>
              <w:bidi w:val="0"/>
              <w:spacing w:line="360" w:lineRule="auto"/>
              <w:jc w:val="left"/>
              <w:textAlignment w:val="auto"/>
              <w:rPr>
                <w:rFonts w:hint="eastAsia" w:ascii="宋体" w:hAnsi="宋体" w:eastAsia="宋体" w:cs="宋体"/>
                <w:spacing w:val="-11"/>
                <w:sz w:val="28"/>
                <w:szCs w:val="28"/>
                <w:highlight w:val="none"/>
                <w:lang w:eastAsia="zh-CN"/>
              </w:rPr>
            </w:pPr>
            <w:r>
              <w:rPr>
                <w:rFonts w:hint="eastAsia" w:ascii="宋体" w:hAnsi="宋体" w:eastAsia="宋体" w:cs="宋体"/>
                <w:spacing w:val="-11"/>
                <w:sz w:val="28"/>
                <w:szCs w:val="28"/>
                <w:highlight w:val="none"/>
                <w:lang w:eastAsia="zh-CN"/>
              </w:rPr>
              <w:t>开户行：长安银行股份有限公司宝鸡分行营业部</w:t>
            </w:r>
          </w:p>
          <w:p>
            <w:pPr>
              <w:pageBreakBefore w:val="0"/>
              <w:kinsoku/>
              <w:wordWrap/>
              <w:overflowPunct/>
              <w:topLinePunct w:val="0"/>
              <w:bidi w:val="0"/>
              <w:spacing w:line="360" w:lineRule="auto"/>
              <w:jc w:val="left"/>
              <w:textAlignment w:val="auto"/>
              <w:rPr>
                <w:rFonts w:hint="eastAsia" w:ascii="宋体" w:hAnsi="宋体" w:eastAsia="宋体" w:cs="宋体"/>
                <w:spacing w:val="-11"/>
                <w:sz w:val="28"/>
                <w:szCs w:val="28"/>
                <w:highlight w:val="yellow"/>
                <w:lang w:eastAsia="zh-CN"/>
              </w:rPr>
            </w:pPr>
            <w:r>
              <w:rPr>
                <w:rFonts w:hint="eastAsia" w:ascii="宋体" w:hAnsi="宋体" w:eastAsia="宋体" w:cs="宋体"/>
                <w:spacing w:val="-11"/>
                <w:sz w:val="28"/>
                <w:szCs w:val="28"/>
                <w:highlight w:val="none"/>
                <w:lang w:eastAsia="zh-CN"/>
              </w:rPr>
              <w:t>账</w:t>
            </w:r>
            <w:r>
              <w:rPr>
                <w:rFonts w:hint="eastAsia" w:ascii="宋体" w:hAnsi="宋体" w:eastAsia="宋体" w:cs="宋体"/>
                <w:spacing w:val="-11"/>
                <w:sz w:val="28"/>
                <w:szCs w:val="28"/>
                <w:highlight w:val="none"/>
                <w:lang w:val="en-US" w:eastAsia="zh-CN"/>
              </w:rPr>
              <w:t xml:space="preserve">  </w:t>
            </w:r>
            <w:r>
              <w:rPr>
                <w:rFonts w:hint="eastAsia" w:ascii="宋体" w:hAnsi="宋体" w:eastAsia="宋体" w:cs="宋体"/>
                <w:spacing w:val="-11"/>
                <w:sz w:val="28"/>
                <w:szCs w:val="28"/>
                <w:highlight w:val="none"/>
                <w:lang w:eastAsia="zh-CN"/>
              </w:rPr>
              <w:t>号：80602000142101980618993</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pacing w:val="-11"/>
                <w:sz w:val="28"/>
                <w:szCs w:val="28"/>
                <w:highlight w:val="none"/>
              </w:rPr>
              <w:t>备</w:t>
            </w:r>
            <w:r>
              <w:rPr>
                <w:rFonts w:hint="eastAsia" w:ascii="宋体" w:hAnsi="宋体" w:eastAsia="宋体" w:cs="宋体"/>
                <w:spacing w:val="-11"/>
                <w:sz w:val="28"/>
                <w:szCs w:val="28"/>
                <w:highlight w:val="none"/>
                <w:lang w:val="en-US" w:eastAsia="zh-CN"/>
              </w:rPr>
              <w:t xml:space="preserve">  </w:t>
            </w:r>
            <w:r>
              <w:rPr>
                <w:rFonts w:hint="eastAsia" w:ascii="宋体" w:hAnsi="宋体" w:eastAsia="宋体" w:cs="宋体"/>
                <w:spacing w:val="-11"/>
                <w:sz w:val="28"/>
                <w:szCs w:val="28"/>
                <w:highlight w:val="none"/>
              </w:rPr>
              <w:t>注：</w:t>
            </w:r>
            <w:r>
              <w:rPr>
                <w:rFonts w:hint="eastAsia" w:ascii="宋体" w:hAnsi="宋体" w:eastAsia="宋体" w:cs="宋体"/>
                <w:spacing w:val="-11"/>
                <w:sz w:val="28"/>
                <w:szCs w:val="28"/>
                <w:highlight w:val="none"/>
                <w:lang w:eastAsia="zh-CN"/>
              </w:rPr>
              <w:t>转账时备注“</w:t>
            </w:r>
            <w:r>
              <w:rPr>
                <w:rFonts w:hint="eastAsia" w:ascii="宋体" w:hAnsi="宋体" w:cs="宋体"/>
                <w:spacing w:val="-11"/>
                <w:sz w:val="28"/>
                <w:szCs w:val="28"/>
                <w:highlight w:val="none"/>
                <w:lang w:val="en-US" w:eastAsia="zh-CN"/>
              </w:rPr>
              <w:t>18993</w:t>
            </w:r>
            <w:r>
              <w:rPr>
                <w:rFonts w:hint="eastAsia" w:ascii="宋体" w:hAnsi="宋体" w:eastAsia="宋体" w:cs="宋体"/>
                <w:spacing w:val="-11"/>
                <w:sz w:val="28"/>
                <w:szCs w:val="28"/>
                <w:highlight w:val="none"/>
                <w:lang w:eastAsia="zh-CN"/>
              </w:rPr>
              <w:t>”</w:t>
            </w:r>
          </w:p>
        </w:tc>
      </w:tr>
    </w:tbl>
    <w:p>
      <w:pPr>
        <w:pStyle w:val="8"/>
        <w:rPr>
          <w:rFonts w:hint="eastAsia" w:ascii="宋体" w:hAnsi="宋体" w:eastAsia="宋体" w:cs="宋体"/>
        </w:rPr>
      </w:pPr>
    </w:p>
    <w:p>
      <w:pPr>
        <w:bidi w:val="0"/>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磋商服务费收取说明</w:t>
      </w:r>
    </w:p>
    <w:p>
      <w:pPr>
        <w:pageBreakBefore w:val="0"/>
        <w:numPr>
          <w:ilvl w:val="0"/>
          <w:numId w:val="0"/>
        </w:numPr>
        <w:kinsoku/>
        <w:wordWrap/>
        <w:overflowPunct/>
        <w:topLinePunct w:val="0"/>
        <w:bidi w:val="0"/>
        <w:spacing w:line="360" w:lineRule="auto"/>
        <w:ind w:left="567" w:left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一、</w:t>
      </w:r>
      <w:r>
        <w:rPr>
          <w:rFonts w:hint="eastAsia" w:ascii="宋体" w:hAnsi="宋体" w:eastAsia="宋体" w:cs="宋体"/>
          <w:sz w:val="28"/>
          <w:szCs w:val="28"/>
          <w:highlight w:val="none"/>
        </w:rPr>
        <w:t>磋商</w:t>
      </w:r>
      <w:r>
        <w:rPr>
          <w:rFonts w:hint="eastAsia" w:ascii="宋体" w:hAnsi="宋体" w:eastAsia="宋体" w:cs="宋体"/>
          <w:color w:val="auto"/>
          <w:sz w:val="28"/>
          <w:szCs w:val="28"/>
          <w:highlight w:val="none"/>
        </w:rPr>
        <w:t>服务费</w:t>
      </w:r>
      <w:r>
        <w:rPr>
          <w:rFonts w:hint="eastAsia" w:ascii="宋体" w:hAnsi="宋体" w:eastAsia="宋体" w:cs="宋体"/>
          <w:sz w:val="28"/>
          <w:szCs w:val="28"/>
          <w:highlight w:val="none"/>
        </w:rPr>
        <w:t>可采用现金、汇款或转账方式交纳。(必须从公司公户转出)</w:t>
      </w:r>
    </w:p>
    <w:p>
      <w:pPr>
        <w:pageBreakBefore w:val="0"/>
        <w:numPr>
          <w:ilvl w:val="0"/>
          <w:numId w:val="0"/>
        </w:numPr>
        <w:kinsoku/>
        <w:wordWrap/>
        <w:overflowPunct/>
        <w:topLinePunct w:val="0"/>
        <w:bidi w:val="0"/>
        <w:spacing w:line="360" w:lineRule="auto"/>
        <w:ind w:left="560" w:leftChars="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请将款项交纳至以下指定的银行账户内：</w:t>
      </w:r>
    </w:p>
    <w:tbl>
      <w:tblPr>
        <w:tblStyle w:val="25"/>
        <w:tblW w:w="8740" w:type="dxa"/>
        <w:jc w:val="center"/>
        <w:tblLayout w:type="fixed"/>
        <w:tblCellMar>
          <w:top w:w="0" w:type="dxa"/>
          <w:left w:w="10" w:type="dxa"/>
          <w:bottom w:w="0" w:type="dxa"/>
          <w:right w:w="10" w:type="dxa"/>
        </w:tblCellMar>
      </w:tblPr>
      <w:tblGrid>
        <w:gridCol w:w="8740"/>
      </w:tblGrid>
      <w:tr>
        <w:tblPrEx>
          <w:tblCellMar>
            <w:top w:w="0" w:type="dxa"/>
            <w:left w:w="10" w:type="dxa"/>
            <w:bottom w:w="0" w:type="dxa"/>
            <w:right w:w="10" w:type="dxa"/>
          </w:tblCellMar>
        </w:tblPrEx>
        <w:trPr>
          <w:trHeight w:val="2379" w:hRule="atLeast"/>
          <w:jc w:val="center"/>
        </w:trPr>
        <w:tc>
          <w:tcPr>
            <w:tcW w:w="87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名称：</w:t>
            </w:r>
            <w:r>
              <w:rPr>
                <w:rFonts w:hint="eastAsia" w:ascii="宋体" w:hAnsi="宋体" w:eastAsia="宋体" w:cs="宋体"/>
                <w:sz w:val="28"/>
                <w:szCs w:val="28"/>
                <w:highlight w:val="none"/>
                <w:lang w:eastAsia="zh-CN"/>
              </w:rPr>
              <w:t>华睿诚项目管理有限公司</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开户行名称：西安银行小寨东路支行</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账号：816011580000101224</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备注：请注明费用信息“</w:t>
            </w:r>
            <w:r>
              <w:rPr>
                <w:rFonts w:hint="eastAsia" w:ascii="宋体" w:hAnsi="宋体" w:cs="宋体"/>
                <w:sz w:val="28"/>
                <w:szCs w:val="28"/>
                <w:highlight w:val="none"/>
                <w:lang w:val="en-US" w:eastAsia="zh-CN"/>
              </w:rPr>
              <w:t>HRC-ZBDL-2026-00632.1B1</w:t>
            </w:r>
            <w:r>
              <w:rPr>
                <w:rFonts w:hint="eastAsia" w:ascii="宋体" w:hAnsi="宋体" w:eastAsia="宋体" w:cs="宋体"/>
                <w:sz w:val="28"/>
                <w:szCs w:val="28"/>
                <w:highlight w:val="none"/>
              </w:rPr>
              <w:t>磋商服务费”</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温馨提示：</w:t>
      </w:r>
      <w:r>
        <w:rPr>
          <w:rFonts w:hint="eastAsia" w:ascii="宋体" w:hAnsi="宋体" w:cs="宋体"/>
          <w:b/>
          <w:color w:val="auto"/>
          <w:sz w:val="28"/>
          <w:szCs w:val="28"/>
          <w:highlight w:val="none"/>
          <w:lang w:val="en-US" w:eastAsia="zh-CN"/>
        </w:rPr>
        <w:t>获取</w:t>
      </w:r>
      <w:r>
        <w:rPr>
          <w:rFonts w:hint="eastAsia" w:ascii="宋体" w:hAnsi="宋体" w:eastAsia="宋体" w:cs="宋体"/>
          <w:b/>
          <w:color w:val="auto"/>
          <w:sz w:val="28"/>
          <w:szCs w:val="28"/>
          <w:highlight w:val="none"/>
          <w:lang w:eastAsia="zh-CN"/>
        </w:rPr>
        <w:t>磋商</w:t>
      </w:r>
      <w:r>
        <w:rPr>
          <w:rFonts w:hint="eastAsia" w:ascii="宋体" w:hAnsi="宋体" w:eastAsia="宋体" w:cs="宋体"/>
          <w:b/>
          <w:color w:val="auto"/>
          <w:sz w:val="28"/>
          <w:szCs w:val="28"/>
          <w:highlight w:val="none"/>
        </w:rPr>
        <w:t>文件后，请仔细阅读，特别注意粗体及划线部分，如有疑问请来电咨询。</w:t>
      </w:r>
    </w:p>
    <w:p>
      <w:pPr>
        <w:rPr>
          <w:rFonts w:hint="eastAsia"/>
          <w:color w:val="auto"/>
          <w:sz w:val="32"/>
          <w:szCs w:val="32"/>
          <w:lang w:val="en-US" w:eastAsia="zh-CN"/>
        </w:rPr>
      </w:pPr>
      <w:bookmarkStart w:id="21" w:name="_Toc16788"/>
      <w:bookmarkStart w:id="22" w:name="_Toc9280"/>
      <w:r>
        <w:rPr>
          <w:rFonts w:hint="eastAsia"/>
          <w:color w:val="auto"/>
          <w:sz w:val="32"/>
          <w:szCs w:val="32"/>
          <w:lang w:val="en-US" w:eastAsia="zh-CN"/>
        </w:rPr>
        <w:br w:type="page"/>
      </w:r>
    </w:p>
    <w:p>
      <w:pPr>
        <w:pStyle w:val="3"/>
        <w:bidi w:val="0"/>
        <w:jc w:val="center"/>
        <w:rPr>
          <w:rFonts w:hint="eastAsia"/>
          <w:color w:val="auto"/>
          <w:sz w:val="32"/>
          <w:szCs w:val="32"/>
        </w:rPr>
      </w:pPr>
      <w:r>
        <w:rPr>
          <w:rFonts w:hint="eastAsia"/>
          <w:color w:val="auto"/>
          <w:sz w:val="32"/>
          <w:szCs w:val="32"/>
          <w:lang w:val="en-US" w:eastAsia="zh-CN"/>
        </w:rPr>
        <w:t>第二部分 供应商须知</w:t>
      </w:r>
      <w:bookmarkEnd w:id="8"/>
      <w:bookmarkEnd w:id="9"/>
      <w:bookmarkEnd w:id="10"/>
      <w:bookmarkEnd w:id="11"/>
      <w:bookmarkEnd w:id="12"/>
      <w:bookmarkEnd w:id="13"/>
      <w:bookmarkEnd w:id="21"/>
      <w:bookmarkEnd w:id="22"/>
    </w:p>
    <w:p>
      <w:pPr>
        <w:pStyle w:val="4"/>
        <w:bidi w:val="0"/>
        <w:rPr>
          <w:rFonts w:hint="eastAsia"/>
        </w:rPr>
      </w:pPr>
      <w:bookmarkStart w:id="23" w:name="_Toc12562"/>
      <w:bookmarkStart w:id="24" w:name="_Toc449368375"/>
      <w:bookmarkStart w:id="25" w:name="_Toc450138940"/>
      <w:r>
        <w:rPr>
          <w:rFonts w:hint="eastAsia"/>
        </w:rPr>
        <w:t>一、供应商须知前附表</w:t>
      </w:r>
    </w:p>
    <w:tbl>
      <w:tblPr>
        <w:tblStyle w:val="25"/>
        <w:tblW w:w="9790" w:type="dxa"/>
        <w:jc w:val="center"/>
        <w:tblLayout w:type="fixed"/>
        <w:tblCellMar>
          <w:top w:w="0" w:type="dxa"/>
          <w:left w:w="10" w:type="dxa"/>
          <w:bottom w:w="0" w:type="dxa"/>
          <w:right w:w="10" w:type="dxa"/>
        </w:tblCellMar>
      </w:tblPr>
      <w:tblGrid>
        <w:gridCol w:w="887"/>
        <w:gridCol w:w="2259"/>
        <w:gridCol w:w="6644"/>
      </w:tblGrid>
      <w:tr>
        <w:tblPrEx>
          <w:tblCellMar>
            <w:top w:w="0" w:type="dxa"/>
            <w:left w:w="10" w:type="dxa"/>
            <w:bottom w:w="0" w:type="dxa"/>
            <w:right w:w="10" w:type="dxa"/>
          </w:tblCellMar>
        </w:tblPrEx>
        <w:trPr>
          <w:trHeight w:val="669"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序号</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条款名称</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说明和要求</w:t>
            </w:r>
          </w:p>
        </w:tc>
      </w:tr>
      <w:tr>
        <w:tblPrEx>
          <w:tblCellMar>
            <w:top w:w="0" w:type="dxa"/>
            <w:left w:w="10" w:type="dxa"/>
            <w:bottom w:w="0" w:type="dxa"/>
            <w:right w:w="10" w:type="dxa"/>
          </w:tblCellMar>
        </w:tblPrEx>
        <w:trPr>
          <w:trHeight w:val="1946" w:hRule="exac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采购人</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名称：</w:t>
            </w:r>
            <w:r>
              <w:rPr>
                <w:rFonts w:hint="eastAsia" w:ascii="宋体" w:hAnsi="宋体" w:cs="宋体"/>
                <w:sz w:val="28"/>
                <w:szCs w:val="28"/>
                <w:highlight w:val="none"/>
                <w:lang w:val="en-US" w:eastAsia="zh-CN"/>
              </w:rPr>
              <w:t>扶风县住房和城乡建设局</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地址：</w:t>
            </w:r>
            <w:r>
              <w:rPr>
                <w:rFonts w:hint="eastAsia" w:ascii="宋体" w:hAnsi="宋体" w:eastAsia="宋体" w:cs="宋体"/>
                <w:sz w:val="28"/>
                <w:szCs w:val="28"/>
                <w:highlight w:val="none"/>
              </w:rPr>
              <w:t>陕西省宝鸡市扶风县新区西一路</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联系方式：</w:t>
            </w:r>
            <w:r>
              <w:rPr>
                <w:rFonts w:hint="eastAsia" w:ascii="宋体" w:hAnsi="宋体" w:cs="宋体"/>
                <w:sz w:val="28"/>
                <w:szCs w:val="28"/>
                <w:highlight w:val="none"/>
                <w:lang w:val="en-US" w:eastAsia="zh-CN"/>
              </w:rPr>
              <w:t>0917-5213781</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采购代理机构</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名称：</w:t>
            </w:r>
            <w:r>
              <w:rPr>
                <w:rFonts w:hint="eastAsia" w:ascii="宋体" w:hAnsi="宋体" w:cs="宋体"/>
                <w:sz w:val="28"/>
                <w:szCs w:val="28"/>
                <w:highlight w:val="none"/>
                <w:lang w:eastAsia="zh-CN"/>
              </w:rPr>
              <w:t>华睿诚项目管理有限公司</w:t>
            </w:r>
          </w:p>
          <w:p>
            <w:pPr>
              <w:pStyle w:val="100"/>
              <w:rPr>
                <w:rFonts w:hint="eastAsia" w:ascii="宋体" w:hAnsi="宋体" w:eastAsia="宋体" w:cs="宋体"/>
                <w:sz w:val="28"/>
                <w:szCs w:val="28"/>
                <w:highlight w:val="none"/>
              </w:rPr>
            </w:pPr>
            <w:r>
              <w:rPr>
                <w:rFonts w:hint="eastAsia" w:ascii="宋体" w:hAnsi="宋体" w:eastAsia="宋体" w:cs="宋体"/>
                <w:sz w:val="28"/>
                <w:szCs w:val="28"/>
                <w:highlight w:val="none"/>
              </w:rPr>
              <w:t>地址：陕西省西安市曲江新区雁翔路3269号旺座曲江E座29层2901号</w:t>
            </w:r>
          </w:p>
          <w:p>
            <w:pPr>
              <w:pageBreakBefore w:val="0"/>
              <w:widowControl w:val="0"/>
              <w:kinsoku/>
              <w:wordWrap/>
              <w:overflowPunct/>
              <w:topLinePunct w:val="0"/>
              <w:autoSpaceDE/>
              <w:autoSpaceDN/>
              <w:bidi w:val="0"/>
              <w:adjustRightInd/>
              <w:snapToGrid/>
              <w:spacing w:line="480" w:lineRule="exact"/>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w:t>
            </w:r>
            <w:r>
              <w:rPr>
                <w:rFonts w:hint="eastAsia" w:ascii="宋体" w:hAnsi="宋体" w:cs="宋体"/>
                <w:sz w:val="28"/>
                <w:szCs w:val="28"/>
                <w:highlight w:val="none"/>
                <w:lang w:val="en-US" w:eastAsia="zh-CN"/>
              </w:rPr>
              <w:t>18092114697</w:t>
            </w:r>
          </w:p>
        </w:tc>
      </w:tr>
      <w:tr>
        <w:tblPrEx>
          <w:tblCellMar>
            <w:top w:w="0" w:type="dxa"/>
            <w:left w:w="10" w:type="dxa"/>
            <w:bottom w:w="0" w:type="dxa"/>
            <w:right w:w="10" w:type="dxa"/>
          </w:tblCellMar>
        </w:tblPrEx>
        <w:trPr>
          <w:trHeight w:val="90"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cs="宋体"/>
                <w:sz w:val="28"/>
                <w:szCs w:val="28"/>
                <w:highlight w:val="none"/>
                <w:lang w:eastAsia="zh-CN"/>
              </w:rPr>
            </w:pPr>
            <w:r>
              <w:rPr>
                <w:rFonts w:hint="eastAsia" w:ascii="宋体" w:hAnsi="宋体" w:cs="宋体"/>
                <w:sz w:val="28"/>
                <w:szCs w:val="28"/>
                <w:highlight w:val="none"/>
                <w:lang w:eastAsia="zh-CN"/>
              </w:rPr>
              <w:t>监督管理机构</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扶风县财政局</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供应商</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响应磋商并且符合磋商文件规定资格条件和参加磋商竞争的法人</w:t>
            </w:r>
          </w:p>
        </w:tc>
      </w:tr>
      <w:tr>
        <w:tblPrEx>
          <w:tblCellMar>
            <w:top w:w="0" w:type="dxa"/>
            <w:left w:w="10" w:type="dxa"/>
            <w:bottom w:w="0" w:type="dxa"/>
            <w:right w:w="10" w:type="dxa"/>
          </w:tblCellMar>
        </w:tblPrEx>
        <w:trPr>
          <w:trHeight w:val="437"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项目名称</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
                <w:spacing w:val="-6"/>
                <w:sz w:val="28"/>
                <w:szCs w:val="28"/>
                <w:highlight w:val="none"/>
                <w:lang w:eastAsia="zh-CN"/>
              </w:rPr>
            </w:pPr>
            <w:r>
              <w:rPr>
                <w:rFonts w:hint="eastAsia" w:ascii="宋体" w:hAnsi="宋体" w:cs="宋体"/>
                <w:sz w:val="28"/>
                <w:szCs w:val="28"/>
                <w:highlight w:val="none"/>
                <w:lang w:val="en-US" w:eastAsia="zh-CN"/>
              </w:rPr>
              <w:t>扶风县城新区东二路、西二路、北二路、扶法路排水防涝工程EPC总承包监理（二次）</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项目编号</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both"/>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HRC-ZBDL-2026-00632.1B1</w:t>
            </w:r>
          </w:p>
        </w:tc>
      </w:tr>
      <w:tr>
        <w:tblPrEx>
          <w:tblCellMar>
            <w:top w:w="0" w:type="dxa"/>
            <w:left w:w="10" w:type="dxa"/>
            <w:bottom w:w="0" w:type="dxa"/>
            <w:right w:w="10" w:type="dxa"/>
          </w:tblCellMar>
        </w:tblPrEx>
        <w:trPr>
          <w:trHeight w:val="90"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7</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项目性质</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
                <w:sz w:val="28"/>
                <w:szCs w:val="28"/>
                <w:highlight w:val="none"/>
              </w:rPr>
            </w:pPr>
            <w:r>
              <w:rPr>
                <w:rFonts w:hint="eastAsia" w:ascii="宋体" w:hAnsi="宋体" w:cs="宋体"/>
                <w:sz w:val="28"/>
                <w:szCs w:val="28"/>
                <w:highlight w:val="none"/>
                <w:lang w:eastAsia="zh-CN"/>
              </w:rPr>
              <w:t>财政资金</w:t>
            </w:r>
          </w:p>
        </w:tc>
      </w:tr>
      <w:tr>
        <w:tblPrEx>
          <w:tblCellMar>
            <w:top w:w="0" w:type="dxa"/>
            <w:left w:w="10" w:type="dxa"/>
            <w:bottom w:w="0" w:type="dxa"/>
            <w:right w:w="10" w:type="dxa"/>
          </w:tblCellMar>
        </w:tblPrEx>
        <w:trPr>
          <w:trHeight w:val="1013"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8</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eastAsia="zh-CN"/>
              </w:rPr>
              <w:t>项目预算</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pPr>
              <w:pageBreakBefore w:val="0"/>
              <w:kinsoku/>
              <w:overflowPunct/>
              <w:topLinePunct w:val="0"/>
              <w:bidi w:val="0"/>
              <w:spacing w:line="360" w:lineRule="auto"/>
              <w:jc w:val="both"/>
              <w:textAlignment w:val="auto"/>
              <w:rPr>
                <w:rFonts w:hint="eastAsia" w:ascii="宋体" w:hAnsi="宋体" w:eastAsia="宋体" w:cs="宋体"/>
                <w:color w:val="auto"/>
                <w:kern w:val="1"/>
                <w:sz w:val="28"/>
                <w:szCs w:val="28"/>
                <w:highlight w:val="none"/>
                <w:lang w:val="en-US" w:eastAsia="zh-CN" w:bidi="ar-SA"/>
              </w:rPr>
            </w:pPr>
            <w:r>
              <w:rPr>
                <w:rFonts w:hint="eastAsia" w:ascii="宋体" w:hAnsi="宋体" w:eastAsia="宋体" w:cs="宋体"/>
                <w:color w:val="auto"/>
                <w:kern w:val="1"/>
                <w:sz w:val="28"/>
                <w:szCs w:val="28"/>
                <w:highlight w:val="none"/>
                <w:lang w:val="en-US" w:eastAsia="zh-CN" w:bidi="ar-SA"/>
              </w:rPr>
              <w:t>预算金额:</w:t>
            </w:r>
            <w:r>
              <w:rPr>
                <w:rFonts w:hint="eastAsia" w:ascii="宋体" w:hAnsi="宋体" w:cs="宋体"/>
                <w:i w:val="0"/>
                <w:iCs w:val="0"/>
                <w:caps w:val="0"/>
                <w:color w:val="auto"/>
                <w:spacing w:val="0"/>
                <w:sz w:val="28"/>
                <w:szCs w:val="28"/>
                <w:highlight w:val="none"/>
                <w:shd w:val="clear" w:color="auto" w:fill="FFFFFF"/>
                <w:lang w:val="en-US" w:eastAsia="zh-CN"/>
              </w:rPr>
              <w:t>910000.00</w:t>
            </w:r>
            <w:r>
              <w:rPr>
                <w:rFonts w:hint="eastAsia" w:ascii="宋体" w:hAnsi="宋体" w:eastAsia="宋体" w:cs="宋体"/>
                <w:color w:val="auto"/>
                <w:kern w:val="1"/>
                <w:sz w:val="28"/>
                <w:szCs w:val="28"/>
                <w:highlight w:val="none"/>
                <w:lang w:val="en-US" w:eastAsia="zh-CN" w:bidi="ar-SA"/>
              </w:rPr>
              <w:t>元</w:t>
            </w:r>
          </w:p>
          <w:p>
            <w:pPr>
              <w:pageBreakBefore w:val="0"/>
              <w:kinsoku/>
              <w:overflowPunct/>
              <w:topLinePunct w:val="0"/>
              <w:bidi w:val="0"/>
              <w:spacing w:line="360" w:lineRule="auto"/>
              <w:jc w:val="both"/>
              <w:textAlignment w:val="auto"/>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color w:val="auto"/>
                <w:kern w:val="1"/>
                <w:sz w:val="28"/>
                <w:szCs w:val="28"/>
                <w:highlight w:val="none"/>
                <w:lang w:val="en-US" w:eastAsia="zh-CN" w:bidi="ar-SA"/>
              </w:rPr>
              <w:t>最高限价:</w:t>
            </w:r>
            <w:r>
              <w:rPr>
                <w:rFonts w:hint="eastAsia" w:ascii="宋体" w:hAnsi="宋体" w:cs="宋体"/>
                <w:i w:val="0"/>
                <w:iCs w:val="0"/>
                <w:caps w:val="0"/>
                <w:color w:val="auto"/>
                <w:spacing w:val="0"/>
                <w:sz w:val="28"/>
                <w:szCs w:val="28"/>
                <w:highlight w:val="none"/>
                <w:shd w:val="clear" w:color="auto" w:fill="FFFFFF"/>
                <w:lang w:val="en-US" w:eastAsia="zh-CN"/>
              </w:rPr>
              <w:t>910000.00</w:t>
            </w:r>
            <w:r>
              <w:rPr>
                <w:rFonts w:hint="eastAsia" w:ascii="宋体" w:hAnsi="宋体" w:eastAsia="宋体" w:cs="宋体"/>
                <w:i w:val="0"/>
                <w:iCs w:val="0"/>
                <w:caps w:val="0"/>
                <w:color w:val="auto"/>
                <w:spacing w:val="0"/>
                <w:sz w:val="28"/>
                <w:szCs w:val="28"/>
                <w:highlight w:val="none"/>
                <w:shd w:val="clear" w:color="auto" w:fill="FFFFFF"/>
                <w:lang w:val="en-US" w:eastAsia="zh-CN"/>
              </w:rPr>
              <w:t>元</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b/>
                <w:sz w:val="28"/>
                <w:szCs w:val="28"/>
                <w:highlight w:val="none"/>
              </w:rPr>
              <w:t>注：</w:t>
            </w:r>
            <w:r>
              <w:rPr>
                <w:rFonts w:hint="eastAsia" w:ascii="宋体" w:hAnsi="宋体" w:eastAsia="宋体" w:cs="宋体"/>
                <w:b/>
                <w:bCs/>
                <w:sz w:val="28"/>
                <w:szCs w:val="28"/>
                <w:highlight w:val="none"/>
              </w:rPr>
              <w:t>供应商报价超出</w:t>
            </w:r>
            <w:r>
              <w:rPr>
                <w:rFonts w:hint="eastAsia" w:ascii="宋体" w:hAnsi="宋体" w:cs="宋体"/>
                <w:b/>
                <w:bCs/>
                <w:sz w:val="28"/>
                <w:szCs w:val="28"/>
                <w:highlight w:val="none"/>
                <w:lang w:eastAsia="zh-CN"/>
              </w:rPr>
              <w:t>最高限价</w:t>
            </w:r>
            <w:r>
              <w:rPr>
                <w:rFonts w:hint="eastAsia" w:ascii="宋体" w:hAnsi="宋体" w:eastAsia="宋体" w:cs="宋体"/>
                <w:b/>
                <w:bCs/>
                <w:sz w:val="28"/>
                <w:szCs w:val="28"/>
                <w:highlight w:val="none"/>
              </w:rPr>
              <w:t>，作为不实质性响应竞争性磋商文件，按无效磋商处理。</w:t>
            </w:r>
          </w:p>
        </w:tc>
      </w:tr>
      <w:tr>
        <w:tblPrEx>
          <w:tblCellMar>
            <w:top w:w="0" w:type="dxa"/>
            <w:left w:w="10" w:type="dxa"/>
            <w:bottom w:w="0" w:type="dxa"/>
            <w:right w:w="10" w:type="dxa"/>
          </w:tblCellMar>
        </w:tblPrEx>
        <w:trPr>
          <w:trHeight w:val="639"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10</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cs="宋体"/>
                <w:sz w:val="28"/>
                <w:szCs w:val="28"/>
                <w:highlight w:val="none"/>
                <w:lang w:eastAsia="zh-CN"/>
              </w:rPr>
              <w:t>服务</w:t>
            </w:r>
            <w:r>
              <w:rPr>
                <w:rFonts w:hint="eastAsia" w:ascii="宋体" w:hAnsi="宋体" w:eastAsia="宋体" w:cs="宋体"/>
                <w:sz w:val="28"/>
                <w:szCs w:val="28"/>
                <w:highlight w:val="none"/>
              </w:rPr>
              <w:t>内容和要求</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widowControl/>
              <w:tabs>
                <w:tab w:val="left" w:pos="1620"/>
              </w:tabs>
              <w:kinsoku/>
              <w:wordWrap/>
              <w:overflowPunct/>
              <w:topLinePunct w:val="0"/>
              <w:bidi w:val="0"/>
              <w:spacing w:line="360" w:lineRule="auto"/>
              <w:ind w:right="-197"/>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（具体详见磋商文件第三部分）</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11</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服务期</w:t>
            </w:r>
            <w:r>
              <w:rPr>
                <w:rFonts w:hint="eastAsia" w:ascii="宋体" w:hAnsi="宋体" w:cs="宋体"/>
                <w:color w:val="auto"/>
                <w:sz w:val="28"/>
                <w:szCs w:val="28"/>
                <w:highlight w:val="none"/>
                <w:lang w:eastAsia="zh-CN"/>
              </w:rPr>
              <w:t>限</w:t>
            </w:r>
            <w:r>
              <w:rPr>
                <w:rFonts w:hint="eastAsia" w:ascii="宋体" w:hAnsi="宋体" w:eastAsia="宋体" w:cs="宋体"/>
                <w:color w:val="auto"/>
                <w:sz w:val="28"/>
                <w:szCs w:val="28"/>
                <w:highlight w:val="none"/>
              </w:rPr>
              <w:t>、</w:t>
            </w:r>
          </w:p>
          <w:p>
            <w:pPr>
              <w:pageBreakBefore w:val="0"/>
              <w:kinsoku/>
              <w:wordWrap/>
              <w:overflowPunct/>
              <w:topLinePunct w:val="0"/>
              <w:bidi w:val="0"/>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地点</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期</w:t>
            </w:r>
            <w:r>
              <w:rPr>
                <w:rFonts w:hint="eastAsia" w:ascii="宋体" w:hAnsi="宋体" w:cs="宋体"/>
                <w:color w:val="auto"/>
                <w:sz w:val="28"/>
                <w:szCs w:val="28"/>
                <w:highlight w:val="none"/>
                <w:lang w:eastAsia="zh-CN"/>
              </w:rPr>
              <w:t>限</w:t>
            </w:r>
            <w:r>
              <w:rPr>
                <w:rFonts w:hint="eastAsia" w:ascii="宋体" w:hAnsi="宋体" w:eastAsia="宋体" w:cs="宋体"/>
                <w:color w:val="auto"/>
                <w:sz w:val="28"/>
                <w:szCs w:val="28"/>
                <w:highlight w:val="none"/>
              </w:rPr>
              <w:t>：</w:t>
            </w:r>
            <w:r>
              <w:rPr>
                <w:rFonts w:hint="eastAsia" w:ascii="宋体" w:hAnsi="宋体" w:cs="宋体"/>
                <w:sz w:val="28"/>
                <w:szCs w:val="28"/>
                <w:highlight w:val="none"/>
                <w:lang w:eastAsia="zh-CN"/>
              </w:rPr>
              <w:t>扶风县城新区东二路、西二路、北二路、扶法路排水防涝工程EPC总承包</w:t>
            </w:r>
            <w:r>
              <w:rPr>
                <w:rFonts w:hint="eastAsia" w:ascii="宋体" w:hAnsi="宋体" w:cs="宋体"/>
                <w:sz w:val="28"/>
                <w:szCs w:val="28"/>
                <w:highlight w:val="none"/>
                <w:lang w:val="en-US" w:eastAsia="zh-CN"/>
              </w:rPr>
              <w:t>全过程监理</w:t>
            </w:r>
          </w:p>
          <w:p>
            <w:pPr>
              <w:pageBreakBefore w:val="0"/>
              <w:kinsoku/>
              <w:wordWrap/>
              <w:overflowPunct/>
              <w:topLinePunct w:val="0"/>
              <w:bidi w:val="0"/>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地点：采购人指定地点</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12</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磋商文件发售</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发售时间：</w:t>
            </w:r>
            <w:r>
              <w:rPr>
                <w:rFonts w:hint="eastAsia" w:ascii="宋体" w:hAnsi="宋体" w:eastAsia="宋体" w:cs="宋体"/>
                <w:sz w:val="28"/>
                <w:szCs w:val="28"/>
                <w:highlight w:val="none"/>
                <w:lang w:eastAsia="zh-CN"/>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08</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rPr>
              <w:t>至</w:t>
            </w:r>
            <w:r>
              <w:rPr>
                <w:rFonts w:hint="eastAsia" w:ascii="宋体" w:hAnsi="宋体" w:eastAsia="宋体" w:cs="宋体"/>
                <w:sz w:val="28"/>
                <w:szCs w:val="28"/>
                <w:highlight w:val="none"/>
                <w:lang w:val="en-US" w:eastAsia="zh-CN"/>
              </w:rPr>
              <w:t>2026年08月19日</w:t>
            </w:r>
            <w:r>
              <w:rPr>
                <w:rFonts w:hint="eastAsia" w:ascii="宋体" w:hAnsi="宋体" w:eastAsia="宋体" w:cs="宋体"/>
                <w:sz w:val="28"/>
                <w:szCs w:val="28"/>
                <w:highlight w:val="none"/>
              </w:rPr>
              <w:t>9：00—12：00，</w:t>
            </w:r>
            <w:r>
              <w:rPr>
                <w:rFonts w:hint="eastAsia" w:ascii="宋体" w:hAnsi="宋体" w:eastAsia="宋体" w:cs="宋体"/>
                <w:sz w:val="28"/>
                <w:szCs w:val="28"/>
                <w:highlight w:val="none"/>
                <w:lang w:val="en-US" w:eastAsia="zh-CN"/>
              </w:rPr>
              <w:t>14</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0—1</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0时止（节假日除外）</w:t>
            </w:r>
          </w:p>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发售地点：宝鸡市公共资源交易中心官网获取</w:t>
            </w:r>
            <w:r>
              <w:rPr>
                <w:rFonts w:hint="eastAsia" w:ascii="宋体" w:hAnsi="宋体" w:eastAsia="宋体" w:cs="宋体"/>
                <w:sz w:val="28"/>
                <w:szCs w:val="28"/>
                <w:highlight w:val="none"/>
                <w:lang w:eastAsia="zh-CN"/>
              </w:rPr>
              <w:t>磋商文件</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13</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联合体磋商</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不接受</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14</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现场勘查、标前答疑会</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不组织。采购人认为有必要，另行书面通知。</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15</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供应商对竞争性磋商文件提出质疑的时间</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若对</w:t>
            </w:r>
            <w:r>
              <w:rPr>
                <w:rFonts w:hint="eastAsia" w:ascii="宋体" w:hAnsi="宋体" w:eastAsia="宋体" w:cs="宋体"/>
                <w:sz w:val="28"/>
                <w:szCs w:val="28"/>
                <w:highlight w:val="none"/>
                <w:lang w:eastAsia="zh-CN"/>
              </w:rPr>
              <w:t>磋商文件</w:t>
            </w:r>
            <w:r>
              <w:rPr>
                <w:rFonts w:hint="eastAsia" w:ascii="宋体" w:hAnsi="宋体" w:eastAsia="宋体" w:cs="宋体"/>
                <w:sz w:val="28"/>
                <w:szCs w:val="28"/>
                <w:highlight w:val="none"/>
              </w:rPr>
              <w:t>有质疑的，在获取采购文件或者采购文件公告期限届满之日起</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个工作日内提出。（以书面形式向采购代理机构提出，在此之后提出的质疑无效。）</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16</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构成竞争性磋商文件的其他文件</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竞争性磋商文件的澄清、修改及有关补充通知为竞争性磋商文件的有效组成部分。</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17</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磋商响应文件递交截止时间及磋商时间和地点</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1、磋商响应文件递交截止时间：</w:t>
            </w:r>
            <w:bookmarkStart w:id="26" w:name="OLE_LINK3"/>
            <w:r>
              <w:rPr>
                <w:rFonts w:hint="eastAsia" w:ascii="宋体" w:hAnsi="宋体" w:eastAsia="宋体" w:cs="宋体"/>
                <w:sz w:val="28"/>
                <w:szCs w:val="28"/>
                <w:highlight w:val="none"/>
                <w:lang w:eastAsia="zh-CN"/>
              </w:rPr>
              <w:t>20</w:t>
            </w:r>
            <w:r>
              <w:rPr>
                <w:rFonts w:hint="eastAsia" w:ascii="宋体" w:hAnsi="宋体" w:eastAsia="宋体" w:cs="宋体"/>
                <w:sz w:val="28"/>
                <w:szCs w:val="28"/>
                <w:highlight w:val="none"/>
                <w:lang w:val="en-US" w:eastAsia="zh-CN"/>
              </w:rPr>
              <w:t>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08</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25</w:t>
            </w:r>
            <w:r>
              <w:rPr>
                <w:rFonts w:hint="eastAsia" w:ascii="宋体" w:hAnsi="宋体" w:eastAsia="宋体" w:cs="宋体"/>
                <w:sz w:val="28"/>
                <w:szCs w:val="28"/>
                <w:highlight w:val="none"/>
                <w:lang w:eastAsia="zh-CN"/>
              </w:rPr>
              <w:t>日14:00时</w:t>
            </w:r>
            <w:bookmarkEnd w:id="26"/>
            <w:r>
              <w:rPr>
                <w:rFonts w:hint="eastAsia" w:ascii="宋体" w:hAnsi="宋体" w:eastAsia="宋体" w:cs="宋体"/>
                <w:sz w:val="28"/>
                <w:szCs w:val="28"/>
                <w:highlight w:val="none"/>
              </w:rPr>
              <w:t>,逾期递交的磋商响应文件概不接受。</w:t>
            </w:r>
          </w:p>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2、磋商时间：</w:t>
            </w:r>
            <w:r>
              <w:rPr>
                <w:rFonts w:hint="eastAsia" w:ascii="宋体" w:hAnsi="宋体" w:eastAsia="宋体" w:cs="宋体"/>
                <w:sz w:val="28"/>
                <w:szCs w:val="28"/>
                <w:highlight w:val="none"/>
                <w:lang w:eastAsia="zh-CN"/>
              </w:rPr>
              <w:t>20</w:t>
            </w:r>
            <w:r>
              <w:rPr>
                <w:rFonts w:hint="eastAsia" w:ascii="宋体" w:hAnsi="宋体" w:eastAsia="宋体" w:cs="宋体"/>
                <w:sz w:val="28"/>
                <w:szCs w:val="28"/>
                <w:highlight w:val="none"/>
                <w:lang w:val="en-US" w:eastAsia="zh-CN"/>
              </w:rPr>
              <w:t>26</w:t>
            </w:r>
            <w:r>
              <w:rPr>
                <w:rFonts w:hint="eastAsia" w:ascii="宋体" w:hAnsi="宋体" w:eastAsia="宋体" w:cs="宋体"/>
                <w:sz w:val="28"/>
                <w:szCs w:val="28"/>
                <w:highlight w:val="none"/>
                <w:lang w:eastAsia="zh-CN"/>
              </w:rPr>
              <w:t>年</w:t>
            </w:r>
            <w:r>
              <w:rPr>
                <w:rFonts w:hint="eastAsia" w:ascii="宋体" w:hAnsi="宋体" w:eastAsia="宋体" w:cs="宋体"/>
                <w:sz w:val="28"/>
                <w:szCs w:val="28"/>
                <w:highlight w:val="none"/>
                <w:lang w:val="en-US" w:eastAsia="zh-CN"/>
              </w:rPr>
              <w:t>08</w:t>
            </w:r>
            <w:r>
              <w:rPr>
                <w:rFonts w:hint="eastAsia" w:ascii="宋体" w:hAnsi="宋体" w:eastAsia="宋体" w:cs="宋体"/>
                <w:sz w:val="28"/>
                <w:szCs w:val="28"/>
                <w:highlight w:val="none"/>
                <w:lang w:eastAsia="zh-CN"/>
              </w:rPr>
              <w:t>月</w:t>
            </w:r>
            <w:r>
              <w:rPr>
                <w:rFonts w:hint="eastAsia" w:ascii="宋体" w:hAnsi="宋体" w:eastAsia="宋体" w:cs="宋体"/>
                <w:sz w:val="28"/>
                <w:szCs w:val="28"/>
                <w:highlight w:val="none"/>
                <w:lang w:val="en-US" w:eastAsia="zh-CN"/>
              </w:rPr>
              <w:t>25</w:t>
            </w:r>
            <w:r>
              <w:rPr>
                <w:rFonts w:hint="eastAsia" w:ascii="宋体" w:hAnsi="宋体" w:eastAsia="宋体" w:cs="宋体"/>
                <w:sz w:val="28"/>
                <w:szCs w:val="28"/>
                <w:highlight w:val="none"/>
                <w:lang w:eastAsia="zh-CN"/>
              </w:rPr>
              <w:t>日14:00时</w:t>
            </w:r>
          </w:p>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3、磋商地点：</w:t>
            </w:r>
            <w:r>
              <w:rPr>
                <w:rFonts w:hint="eastAsia" w:ascii="宋体" w:hAnsi="宋体" w:eastAsia="宋体" w:cs="宋体"/>
                <w:sz w:val="28"/>
                <w:szCs w:val="28"/>
                <w:highlight w:val="none"/>
                <w:lang w:eastAsia="zh-CN"/>
              </w:rPr>
              <w:t>宝鸡市公共资源交易中心不见面开标大厅</w:t>
            </w:r>
          </w:p>
        </w:tc>
      </w:tr>
      <w:tr>
        <w:tblPrEx>
          <w:tblCellMar>
            <w:top w:w="0" w:type="dxa"/>
            <w:left w:w="10" w:type="dxa"/>
            <w:bottom w:w="0" w:type="dxa"/>
            <w:right w:w="10" w:type="dxa"/>
          </w:tblCellMar>
        </w:tblPrEx>
        <w:trPr>
          <w:trHeight w:val="1081"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default" w:ascii="宋体" w:hAnsi="宋体" w:eastAsia="宋体" w:cs="宋体"/>
                <w:sz w:val="28"/>
                <w:szCs w:val="28"/>
                <w:highlight w:val="none"/>
                <w:lang w:val="en-US"/>
              </w:rPr>
            </w:pPr>
            <w:r>
              <w:rPr>
                <w:rFonts w:hint="eastAsia" w:ascii="宋体" w:hAnsi="宋体" w:cs="宋体"/>
                <w:sz w:val="28"/>
                <w:szCs w:val="28"/>
                <w:highlight w:val="none"/>
                <w:lang w:val="en-US" w:eastAsia="zh-CN"/>
              </w:rPr>
              <w:t>18</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磋商担保</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top"/>
          </w:tcPr>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1、担保方式：(任选其一)</w:t>
            </w:r>
            <w:r>
              <w:rPr>
                <w:rFonts w:hint="eastAsia" w:ascii="宋体" w:hAnsi="宋体" w:eastAsia="宋体" w:cs="宋体"/>
                <w:sz w:val="28"/>
                <w:szCs w:val="28"/>
                <w:highlight w:val="none"/>
              </w:rPr>
              <w:tab/>
            </w:r>
          </w:p>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（1）磋商保证金：</w:t>
            </w:r>
            <w:r>
              <w:rPr>
                <w:rFonts w:hint="eastAsia" w:ascii="宋体" w:hAnsi="宋体" w:cs="宋体"/>
                <w:sz w:val="28"/>
                <w:szCs w:val="28"/>
                <w:highlight w:val="none"/>
                <w:lang w:val="en-US" w:eastAsia="zh-CN"/>
              </w:rPr>
              <w:t>15000</w:t>
            </w:r>
            <w:r>
              <w:rPr>
                <w:rFonts w:hint="eastAsia" w:ascii="宋体" w:hAnsi="宋体" w:eastAsia="宋体" w:cs="宋体"/>
                <w:sz w:val="28"/>
                <w:szCs w:val="28"/>
                <w:highlight w:val="none"/>
                <w:lang w:val="en-US" w:eastAsia="zh-CN"/>
              </w:rPr>
              <w:t>.00元（</w:t>
            </w:r>
            <w:r>
              <w:rPr>
                <w:rFonts w:hint="eastAsia" w:ascii="宋体" w:hAnsi="宋体" w:cs="宋体"/>
                <w:sz w:val="28"/>
                <w:szCs w:val="28"/>
                <w:highlight w:val="none"/>
                <w:lang w:val="en-US" w:eastAsia="zh-CN"/>
              </w:rPr>
              <w:t>壹万伍仟元整</w:t>
            </w:r>
            <w:r>
              <w:rPr>
                <w:rFonts w:hint="eastAsia" w:ascii="宋体" w:hAnsi="宋体" w:eastAsia="宋体" w:cs="宋体"/>
                <w:sz w:val="28"/>
                <w:szCs w:val="28"/>
                <w:highlight w:val="none"/>
                <w:lang w:val="en-US" w:eastAsia="zh-CN"/>
              </w:rPr>
              <w:t>）</w:t>
            </w:r>
          </w:p>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（2）担保函。</w:t>
            </w:r>
          </w:p>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须按规定时间（</w:t>
            </w:r>
            <w:r>
              <w:rPr>
                <w:rFonts w:hint="eastAsia" w:ascii="宋体" w:hAnsi="宋体" w:eastAsia="宋体" w:cs="宋体"/>
                <w:sz w:val="28"/>
                <w:szCs w:val="28"/>
                <w:highlight w:val="none"/>
                <w:lang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lang w:eastAsia="zh-CN"/>
              </w:rPr>
              <w:t>年</w:t>
            </w:r>
            <w:r>
              <w:rPr>
                <w:rFonts w:hint="eastAsia" w:ascii="宋体" w:hAnsi="宋体" w:cs="宋体"/>
                <w:sz w:val="28"/>
                <w:szCs w:val="28"/>
                <w:highlight w:val="none"/>
                <w:lang w:val="en-US" w:eastAsia="zh-CN"/>
              </w:rPr>
              <w:t>08</w:t>
            </w:r>
            <w:r>
              <w:rPr>
                <w:rFonts w:hint="eastAsia" w:ascii="宋体" w:hAnsi="宋体" w:eastAsia="宋体" w:cs="宋体"/>
                <w:sz w:val="28"/>
                <w:szCs w:val="28"/>
                <w:highlight w:val="none"/>
                <w:lang w:eastAsia="zh-CN"/>
              </w:rPr>
              <w:t>月</w:t>
            </w:r>
            <w:r>
              <w:rPr>
                <w:rFonts w:hint="eastAsia" w:ascii="宋体" w:hAnsi="宋体" w:cs="宋体"/>
                <w:sz w:val="28"/>
                <w:szCs w:val="28"/>
                <w:highlight w:val="none"/>
                <w:lang w:val="en-US" w:eastAsia="zh-CN"/>
              </w:rPr>
              <w:t>25</w:t>
            </w:r>
            <w:r>
              <w:rPr>
                <w:rFonts w:hint="eastAsia" w:ascii="宋体" w:hAnsi="宋体" w:eastAsia="宋体" w:cs="宋体"/>
                <w:sz w:val="28"/>
                <w:szCs w:val="28"/>
                <w:highlight w:val="none"/>
                <w:lang w:eastAsia="zh-CN"/>
              </w:rPr>
              <w:t>日</w:t>
            </w:r>
            <w:r>
              <w:rPr>
                <w:rFonts w:hint="eastAsia" w:ascii="宋体" w:hAnsi="宋体" w:eastAsia="宋体" w:cs="宋体"/>
                <w:sz w:val="28"/>
                <w:szCs w:val="28"/>
                <w:highlight w:val="none"/>
                <w:lang w:val="en-US" w:eastAsia="zh-CN"/>
              </w:rPr>
              <w:t>14</w:t>
            </w:r>
            <w:r>
              <w:rPr>
                <w:rFonts w:hint="eastAsia" w:ascii="宋体" w:hAnsi="宋体" w:eastAsia="宋体" w:cs="宋体"/>
                <w:sz w:val="28"/>
                <w:szCs w:val="28"/>
                <w:highlight w:val="none"/>
                <w:lang w:eastAsia="zh-CN"/>
              </w:rPr>
              <w:t>:00时</w:t>
            </w:r>
            <w:r>
              <w:rPr>
                <w:rFonts w:hint="eastAsia" w:ascii="宋体" w:hAnsi="宋体" w:eastAsia="宋体" w:cs="宋体"/>
                <w:sz w:val="28"/>
                <w:szCs w:val="28"/>
                <w:highlight w:val="none"/>
              </w:rPr>
              <w:t>前）和方式向</w:t>
            </w:r>
            <w:r>
              <w:rPr>
                <w:rFonts w:hint="eastAsia" w:ascii="宋体" w:hAnsi="宋体" w:eastAsia="宋体" w:cs="宋体"/>
                <w:sz w:val="28"/>
                <w:szCs w:val="28"/>
                <w:highlight w:val="none"/>
                <w:lang w:eastAsia="zh-CN"/>
              </w:rPr>
              <w:t>宝鸡市公共资源交易中心</w:t>
            </w:r>
            <w:r>
              <w:rPr>
                <w:rFonts w:hint="eastAsia" w:ascii="宋体" w:hAnsi="宋体" w:eastAsia="宋体" w:cs="宋体"/>
                <w:sz w:val="28"/>
                <w:szCs w:val="28"/>
                <w:highlight w:val="none"/>
              </w:rPr>
              <w:t>提交</w:t>
            </w:r>
            <w:r>
              <w:rPr>
                <w:rFonts w:hint="eastAsia" w:ascii="宋体" w:hAnsi="宋体" w:eastAsia="宋体" w:cs="宋体"/>
                <w:sz w:val="28"/>
                <w:szCs w:val="28"/>
                <w:highlight w:val="none"/>
                <w:lang w:eastAsia="zh-CN"/>
              </w:rPr>
              <w:t>磋商保证金</w:t>
            </w:r>
            <w:r>
              <w:rPr>
                <w:rFonts w:hint="eastAsia" w:ascii="宋体" w:hAnsi="宋体" w:eastAsia="宋体" w:cs="宋体"/>
                <w:sz w:val="28"/>
                <w:szCs w:val="28"/>
                <w:highlight w:val="none"/>
              </w:rPr>
              <w:t>。</w:t>
            </w:r>
          </w:p>
          <w:p>
            <w:pPr>
              <w:pageBreakBefore w:val="0"/>
              <w:tabs>
                <w:tab w:val="left" w:pos="7013"/>
              </w:tabs>
              <w:kinsoku/>
              <w:overflowPunct/>
              <w:topLinePunct w:val="0"/>
              <w:bidi w:val="0"/>
              <w:spacing w:line="360" w:lineRule="auto"/>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（1）若宝鸡市公共资源交易中心未在</w:t>
            </w:r>
            <w:r>
              <w:rPr>
                <w:rFonts w:hint="eastAsia" w:ascii="宋体" w:hAnsi="宋体" w:eastAsia="宋体" w:cs="宋体"/>
                <w:sz w:val="28"/>
                <w:szCs w:val="28"/>
                <w:highlight w:val="none"/>
                <w:lang w:eastAsia="zh-CN"/>
              </w:rPr>
              <w:t>磋商</w:t>
            </w:r>
            <w:r>
              <w:rPr>
                <w:rFonts w:hint="eastAsia" w:ascii="宋体" w:hAnsi="宋体" w:eastAsia="宋体" w:cs="宋体"/>
                <w:sz w:val="28"/>
                <w:szCs w:val="28"/>
                <w:highlight w:val="none"/>
              </w:rPr>
              <w:t>保证金递交截止时间收到款项的，或未在</w:t>
            </w:r>
            <w:r>
              <w:rPr>
                <w:rFonts w:hint="eastAsia" w:ascii="宋体" w:hAnsi="宋体" w:eastAsia="宋体" w:cs="宋体"/>
                <w:sz w:val="28"/>
                <w:szCs w:val="28"/>
                <w:highlight w:val="none"/>
                <w:lang w:eastAsia="zh-CN"/>
              </w:rPr>
              <w:t>磋商响应文件</w:t>
            </w:r>
            <w:r>
              <w:rPr>
                <w:rFonts w:hint="eastAsia" w:ascii="宋体" w:hAnsi="宋体" w:eastAsia="宋体" w:cs="宋体"/>
                <w:sz w:val="28"/>
                <w:szCs w:val="28"/>
                <w:highlight w:val="none"/>
              </w:rPr>
              <w:t>中附</w:t>
            </w:r>
            <w:r>
              <w:rPr>
                <w:rFonts w:hint="eastAsia" w:ascii="宋体" w:hAnsi="宋体" w:eastAsia="宋体" w:cs="宋体"/>
                <w:sz w:val="28"/>
                <w:szCs w:val="28"/>
                <w:highlight w:val="none"/>
                <w:lang w:eastAsia="zh-CN"/>
              </w:rPr>
              <w:t>磋商</w:t>
            </w:r>
            <w:r>
              <w:rPr>
                <w:rFonts w:hint="eastAsia" w:ascii="宋体" w:hAnsi="宋体" w:eastAsia="宋体" w:cs="宋体"/>
                <w:sz w:val="28"/>
                <w:szCs w:val="28"/>
                <w:highlight w:val="none"/>
              </w:rPr>
              <w:t>保证金交纳凭证的（银行电子回执单），其投标</w:t>
            </w:r>
            <w:r>
              <w:rPr>
                <w:rFonts w:hint="eastAsia" w:ascii="宋体" w:hAnsi="宋体" w:eastAsia="宋体" w:cs="宋体"/>
                <w:sz w:val="28"/>
                <w:szCs w:val="28"/>
                <w:highlight w:val="none"/>
                <w:lang w:eastAsia="zh-CN"/>
              </w:rPr>
              <w:t>视为无效响应</w:t>
            </w:r>
            <w:r>
              <w:rPr>
                <w:rFonts w:hint="eastAsia" w:ascii="宋体" w:hAnsi="宋体" w:eastAsia="宋体" w:cs="宋体"/>
                <w:sz w:val="28"/>
                <w:szCs w:val="28"/>
                <w:highlight w:val="none"/>
              </w:rPr>
              <w:t>。（具体汇款方式见</w:t>
            </w:r>
            <w:r>
              <w:rPr>
                <w:rFonts w:hint="eastAsia" w:ascii="宋体" w:hAnsi="宋体" w:eastAsia="宋体" w:cs="宋体"/>
                <w:sz w:val="28"/>
                <w:szCs w:val="28"/>
                <w:highlight w:val="none"/>
                <w:lang w:eastAsia="zh-CN"/>
              </w:rPr>
              <w:t>磋商文件</w:t>
            </w:r>
            <w:r>
              <w:rPr>
                <w:rFonts w:hint="eastAsia" w:ascii="宋体" w:hAnsi="宋体" w:eastAsia="宋体" w:cs="宋体"/>
                <w:sz w:val="28"/>
                <w:szCs w:val="28"/>
                <w:highlight w:val="none"/>
              </w:rPr>
              <w:t>）</w:t>
            </w:r>
          </w:p>
          <w:p>
            <w:pPr>
              <w:pStyle w:val="82"/>
              <w:spacing w:line="360" w:lineRule="auto"/>
              <w:ind w:firstLine="0" w:firstLineChars="0"/>
              <w:jc w:val="left"/>
              <w:rPr>
                <w:rFonts w:hint="eastAsia" w:ascii="宋体" w:hAnsi="宋体" w:eastAsia="宋体" w:cs="宋体"/>
                <w:color w:val="000000"/>
                <w:kern w:val="0"/>
                <w:sz w:val="28"/>
                <w:szCs w:val="28"/>
                <w:highlight w:val="none"/>
                <w:u w:val="none" w:color="000000"/>
                <w:lang w:val="en-US" w:eastAsia="zh-CN" w:bidi="ar-SA"/>
              </w:rPr>
            </w:pPr>
            <w:r>
              <w:rPr>
                <w:rFonts w:hint="eastAsia" w:ascii="宋体" w:hAnsi="宋体" w:eastAsia="宋体" w:cs="宋体"/>
                <w:sz w:val="28"/>
                <w:szCs w:val="28"/>
                <w:highlight w:val="none"/>
              </w:rPr>
              <w:t>（2）信用担保：供应商须在开标前2个工作日内备案担保函</w:t>
            </w:r>
            <w:r>
              <w:rPr>
                <w:rFonts w:hint="eastAsia" w:ascii="宋体" w:hAnsi="宋体" w:eastAsia="宋体" w:cs="宋体"/>
                <w:color w:val="000000"/>
                <w:kern w:val="0"/>
                <w:sz w:val="28"/>
                <w:szCs w:val="28"/>
                <w:highlight w:val="none"/>
                <w:u w:val="none" w:color="000000"/>
                <w:lang w:val="en-US" w:eastAsia="zh-CN" w:bidi="ar-SA"/>
              </w:rPr>
              <w:t>（均由代理公司接收）</w:t>
            </w:r>
            <w:r>
              <w:rPr>
                <w:rFonts w:hint="eastAsia" w:ascii="宋体" w:hAnsi="宋体" w:eastAsia="宋体" w:cs="宋体"/>
                <w:sz w:val="28"/>
                <w:szCs w:val="28"/>
                <w:highlight w:val="none"/>
                <w:lang w:eastAsia="zh-CN"/>
              </w:rPr>
              <w:t>：</w:t>
            </w:r>
          </w:p>
          <w:p>
            <w:pPr>
              <w:pStyle w:val="82"/>
              <w:spacing w:line="360" w:lineRule="auto"/>
              <w:ind w:firstLine="0" w:firstLineChars="0"/>
              <w:jc w:val="left"/>
              <w:rPr>
                <w:rFonts w:hint="eastAsia" w:ascii="宋体" w:hAnsi="宋体" w:eastAsia="宋体" w:cs="宋体"/>
                <w:color w:val="000000"/>
                <w:kern w:val="0"/>
                <w:sz w:val="28"/>
                <w:szCs w:val="28"/>
                <w:highlight w:val="none"/>
                <w:u w:val="none" w:color="000000"/>
                <w:lang w:val="en-US" w:eastAsia="zh-CN" w:bidi="ar-SA"/>
              </w:rPr>
            </w:pPr>
            <w:r>
              <w:rPr>
                <w:rFonts w:hint="eastAsia" w:ascii="宋体" w:hAnsi="宋体" w:eastAsia="宋体" w:cs="宋体"/>
                <w:color w:val="000000"/>
                <w:kern w:val="0"/>
                <w:sz w:val="28"/>
                <w:szCs w:val="28"/>
                <w:highlight w:val="none"/>
                <w:u w:val="none" w:color="000000"/>
                <w:lang w:val="en-US" w:eastAsia="zh-CN" w:bidi="ar-SA"/>
              </w:rPr>
              <w:t>①投标单位采用银行保函（由银行作为担保人出具的投标保函）；</w:t>
            </w:r>
          </w:p>
          <w:p>
            <w:pPr>
              <w:pStyle w:val="82"/>
              <w:spacing w:line="360" w:lineRule="auto"/>
              <w:ind w:firstLine="0" w:firstLineChars="0"/>
              <w:jc w:val="left"/>
              <w:rPr>
                <w:rFonts w:hint="eastAsia" w:ascii="宋体" w:hAnsi="宋体" w:eastAsia="宋体" w:cs="宋体"/>
                <w:color w:val="000000"/>
                <w:kern w:val="0"/>
                <w:sz w:val="28"/>
                <w:szCs w:val="28"/>
                <w:highlight w:val="none"/>
                <w:u w:val="none" w:color="000000"/>
                <w:lang w:val="en-US" w:eastAsia="zh-CN" w:bidi="ar-SA"/>
              </w:rPr>
            </w:pPr>
            <w:r>
              <w:rPr>
                <w:rFonts w:hint="eastAsia" w:ascii="宋体" w:hAnsi="宋体" w:eastAsia="宋体" w:cs="宋体"/>
                <w:color w:val="000000"/>
                <w:kern w:val="0"/>
                <w:sz w:val="28"/>
                <w:szCs w:val="28"/>
                <w:highlight w:val="none"/>
                <w:u w:val="none" w:color="000000"/>
                <w:lang w:val="en-US" w:eastAsia="zh-CN" w:bidi="ar-SA"/>
              </w:rPr>
              <w:t>②投标单位采用保险公司保单（由保险公司作为担保人提供的投标保函）、担保公司保单（由专业的担保公司作为担保人提供的投标保函）</w:t>
            </w:r>
          </w:p>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color w:val="000000"/>
                <w:kern w:val="0"/>
                <w:sz w:val="28"/>
                <w:szCs w:val="28"/>
                <w:highlight w:val="none"/>
                <w:u w:val="none" w:color="000000"/>
                <w:lang w:val="en-US" w:eastAsia="zh-CN" w:bidi="ar-SA"/>
              </w:rPr>
              <w:t>（3）银行保函和保险公司保单递交时间：所投项目开标前2个工作日内递交至代理机构。递交保函所需提交资料：①保函正本（纸质版）；②公司介绍信（或委托书）；③开户许可证复印件（加盖公司公章）；④法人和经办人身份证复印件（加盖公司公章）；</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9</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磋商有效期</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自磋商之日起算90个日历日。</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20</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备选磋商方案</w:t>
            </w:r>
          </w:p>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和报价</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left" w:pos="7013"/>
              </w:tabs>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不接受备选磋商方案和多个报价。</w:t>
            </w:r>
          </w:p>
        </w:tc>
      </w:tr>
      <w:tr>
        <w:tblPrEx>
          <w:tblCellMar>
            <w:top w:w="0" w:type="dxa"/>
            <w:left w:w="10" w:type="dxa"/>
            <w:bottom w:w="0" w:type="dxa"/>
            <w:right w:w="10" w:type="dxa"/>
          </w:tblCellMar>
        </w:tblPrEx>
        <w:trPr>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1</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盖章签字</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left" w:pos="7013"/>
              </w:tabs>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供应商必须按照磋商文件的规定和要求盖章、签字。</w:t>
            </w:r>
          </w:p>
        </w:tc>
      </w:tr>
      <w:tr>
        <w:tblPrEx>
          <w:tblCellMar>
            <w:top w:w="0" w:type="dxa"/>
            <w:left w:w="10" w:type="dxa"/>
            <w:bottom w:w="0" w:type="dxa"/>
            <w:right w:w="10" w:type="dxa"/>
          </w:tblCellMar>
        </w:tblPrEx>
        <w:trPr>
          <w:trHeight w:val="4911"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2</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因项目存档需要，投标文件须准备纸制版文件</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overflowPunct/>
              <w:topLinePunct w:val="0"/>
              <w:bidi w:val="0"/>
              <w:spacing w:line="360" w:lineRule="auto"/>
              <w:jc w:val="both"/>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投标人在上传电子投标文件的同时，开标时还应密封提交纸质投标文件至宝鸡市公共资源交易中心</w:t>
            </w:r>
            <w:r>
              <w:rPr>
                <w:rFonts w:hint="eastAsia" w:ascii="宋体" w:hAnsi="宋体" w:eastAsia="宋体" w:cs="宋体"/>
                <w:b/>
                <w:bCs/>
                <w:sz w:val="28"/>
                <w:szCs w:val="28"/>
                <w:highlight w:val="none"/>
                <w:lang w:val="en-US" w:eastAsia="zh-CN"/>
              </w:rPr>
              <w:t>5楼第</w:t>
            </w:r>
            <w:r>
              <w:rPr>
                <w:rFonts w:hint="eastAsia" w:ascii="宋体" w:hAnsi="宋体" w:cs="宋体"/>
                <w:b/>
                <w:bCs/>
                <w:sz w:val="28"/>
                <w:szCs w:val="28"/>
                <w:highlight w:val="none"/>
                <w:lang w:val="en-US" w:eastAsia="zh-CN"/>
              </w:rPr>
              <w:t>10</w:t>
            </w:r>
            <w:r>
              <w:rPr>
                <w:rFonts w:hint="eastAsia" w:ascii="宋体" w:hAnsi="宋体" w:eastAsia="宋体" w:cs="宋体"/>
                <w:b/>
                <w:bCs/>
                <w:sz w:val="28"/>
                <w:szCs w:val="28"/>
                <w:highlight w:val="none"/>
                <w:lang w:val="en-US" w:eastAsia="zh-CN"/>
              </w:rPr>
              <w:t>开标室</w:t>
            </w:r>
            <w:r>
              <w:rPr>
                <w:rFonts w:hint="eastAsia" w:ascii="宋体" w:hAnsi="宋体" w:eastAsia="宋体" w:cs="宋体"/>
                <w:b/>
                <w:bCs/>
                <w:sz w:val="28"/>
                <w:szCs w:val="28"/>
                <w:highlight w:val="none"/>
                <w:lang w:eastAsia="zh-CN"/>
              </w:rPr>
              <w:t>，以便在线上交易系统出现故障、电子化开评标无法进行时，适时启动纸质评标，以应急解决项目的及时交易问题，未能按照要求提交纸质版文件，导致无法正常评标，后果自负。</w:t>
            </w:r>
          </w:p>
          <w:p>
            <w:pPr>
              <w:pageBreakBefore w:val="0"/>
              <w:kinsoku/>
              <w:overflowPunct/>
              <w:topLinePunct w:val="0"/>
              <w:bidi w:val="0"/>
              <w:spacing w:line="360" w:lineRule="auto"/>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磋商响应文件</w:t>
            </w:r>
            <w:r>
              <w:rPr>
                <w:rFonts w:hint="eastAsia" w:ascii="宋体" w:hAnsi="宋体" w:eastAsia="宋体" w:cs="宋体"/>
                <w:sz w:val="28"/>
                <w:szCs w:val="28"/>
                <w:highlight w:val="none"/>
              </w:rPr>
              <w:t>一律采用书籍（胶装）方式装订。</w:t>
            </w:r>
          </w:p>
          <w:p>
            <w:pPr>
              <w:pageBreakBefore w:val="0"/>
              <w:kinsoku/>
              <w:wordWrap/>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磋商响应文件</w:t>
            </w:r>
            <w:r>
              <w:rPr>
                <w:rFonts w:hint="eastAsia" w:ascii="宋体" w:hAnsi="宋体" w:eastAsia="宋体" w:cs="宋体"/>
                <w:sz w:val="28"/>
                <w:szCs w:val="28"/>
                <w:highlight w:val="none"/>
              </w:rPr>
              <w:t>共</w:t>
            </w:r>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rPr>
              <w:t>份，其中正本一份，副本</w:t>
            </w:r>
            <w:r>
              <w:rPr>
                <w:rFonts w:hint="eastAsia" w:ascii="宋体" w:hAnsi="宋体" w:eastAsia="宋体" w:cs="宋体"/>
                <w:sz w:val="28"/>
                <w:szCs w:val="28"/>
                <w:highlight w:val="none"/>
                <w:lang w:eastAsia="zh-CN"/>
              </w:rPr>
              <w:t>二</w:t>
            </w:r>
            <w:r>
              <w:rPr>
                <w:rFonts w:hint="eastAsia" w:ascii="宋体" w:hAnsi="宋体" w:eastAsia="宋体" w:cs="宋体"/>
                <w:sz w:val="28"/>
                <w:szCs w:val="28"/>
                <w:highlight w:val="none"/>
              </w:rPr>
              <w:t>份，电子文件（</w:t>
            </w:r>
            <w:r>
              <w:rPr>
                <w:rFonts w:hint="eastAsia" w:ascii="宋体" w:hAnsi="宋体" w:eastAsia="宋体" w:cs="宋体"/>
                <w:color w:val="000000" w:themeColor="text1"/>
                <w:sz w:val="28"/>
                <w:szCs w:val="28"/>
                <w:highlight w:val="none"/>
                <w14:textFill>
                  <w14:solidFill>
                    <w14:schemeClr w14:val="tx1"/>
                  </w14:solidFill>
                </w14:textFill>
              </w:rPr>
              <w:t>电子文件为</w:t>
            </w:r>
            <w:r>
              <w:rPr>
                <w:rFonts w:hint="eastAsia" w:ascii="宋体" w:hAnsi="宋体" w:eastAsia="宋体" w:cs="宋体"/>
                <w:color w:val="000000" w:themeColor="text1"/>
                <w:sz w:val="28"/>
                <w:szCs w:val="28"/>
                <w:highlight w:val="none"/>
                <w:lang w:eastAsia="zh-CN"/>
                <w14:textFill>
                  <w14:solidFill>
                    <w14:schemeClr w14:val="tx1"/>
                  </w14:solidFill>
                </w14:textFill>
              </w:rPr>
              <w:t>签字盖章的</w:t>
            </w:r>
            <w:r>
              <w:rPr>
                <w:rFonts w:hint="eastAsia" w:ascii="宋体" w:hAnsi="宋体" w:eastAsia="宋体" w:cs="宋体"/>
                <w:color w:val="000000" w:themeColor="text1"/>
                <w:sz w:val="28"/>
                <w:szCs w:val="28"/>
                <w:highlight w:val="none"/>
                <w14:textFill>
                  <w14:solidFill>
                    <w14:schemeClr w14:val="tx1"/>
                  </w14:solidFill>
                </w14:textFill>
              </w:rPr>
              <w:t>PDF格式</w:t>
            </w:r>
            <w:r>
              <w:rPr>
                <w:rFonts w:hint="eastAsia" w:ascii="宋体" w:hAnsi="宋体" w:eastAsia="宋体" w:cs="宋体"/>
                <w:color w:val="000000" w:themeColor="text1"/>
                <w:sz w:val="28"/>
                <w:szCs w:val="28"/>
                <w:highlight w:val="none"/>
                <w:lang w:eastAsia="zh-CN"/>
                <w14:textFill>
                  <w14:solidFill>
                    <w14:schemeClr w14:val="tx1"/>
                  </w14:solidFill>
                </w14:textFill>
              </w:rPr>
              <w:t>及</w:t>
            </w:r>
            <w:r>
              <w:rPr>
                <w:rFonts w:hint="eastAsia" w:ascii="宋体" w:hAnsi="宋体" w:eastAsia="宋体" w:cs="宋体"/>
                <w:color w:val="000000" w:themeColor="text1"/>
                <w:sz w:val="28"/>
                <w:szCs w:val="28"/>
                <w:highlight w:val="none"/>
                <w14:textFill>
                  <w14:solidFill>
                    <w14:schemeClr w14:val="tx1"/>
                  </w14:solidFill>
                </w14:textFill>
              </w:rPr>
              <w:t>WORD版格式</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sz w:val="28"/>
                <w:szCs w:val="28"/>
                <w:highlight w:val="none"/>
              </w:rPr>
              <w:t>U盘或移动硬盘，谢绝光盘）一份。正、副本分别各自装订成册</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密封。正本须按规定和要求进行签字(或盖章），</w:t>
            </w:r>
            <w:r>
              <w:rPr>
                <w:rFonts w:hint="eastAsia" w:ascii="宋体" w:hAnsi="宋体" w:eastAsia="宋体" w:cs="宋体"/>
                <w:color w:val="000000"/>
                <w:sz w:val="28"/>
                <w:szCs w:val="28"/>
                <w:highlight w:val="none"/>
              </w:rPr>
              <w:t>并逐页</w:t>
            </w:r>
            <w:r>
              <w:rPr>
                <w:rFonts w:hint="eastAsia" w:ascii="宋体" w:hAnsi="宋体" w:eastAsia="宋体" w:cs="宋体"/>
                <w:sz w:val="28"/>
                <w:szCs w:val="28"/>
                <w:highlight w:val="none"/>
              </w:rPr>
              <w:t>加盖公章（鲜章），副</w:t>
            </w:r>
            <w:r>
              <w:rPr>
                <w:rFonts w:hint="eastAsia" w:ascii="宋体" w:hAnsi="宋体" w:eastAsia="宋体" w:cs="宋体"/>
                <w:color w:val="000000" w:themeColor="text1"/>
                <w:sz w:val="28"/>
                <w:szCs w:val="28"/>
                <w:highlight w:val="none"/>
                <w14:textFill>
                  <w14:solidFill>
                    <w14:schemeClr w14:val="tx1"/>
                  </w14:solidFill>
                </w14:textFill>
              </w:rPr>
              <w:t>本可以是正本的复印件，电子文件与正本保持一致（电子文件为</w:t>
            </w:r>
            <w:r>
              <w:rPr>
                <w:rFonts w:hint="eastAsia" w:ascii="宋体" w:hAnsi="宋体" w:eastAsia="宋体" w:cs="宋体"/>
                <w:color w:val="000000" w:themeColor="text1"/>
                <w:sz w:val="28"/>
                <w:szCs w:val="28"/>
                <w:highlight w:val="none"/>
                <w:lang w:eastAsia="zh-CN"/>
                <w14:textFill>
                  <w14:solidFill>
                    <w14:schemeClr w14:val="tx1"/>
                  </w14:solidFill>
                </w14:textFill>
              </w:rPr>
              <w:t>签字盖章的</w:t>
            </w:r>
            <w:r>
              <w:rPr>
                <w:rFonts w:hint="eastAsia" w:ascii="宋体" w:hAnsi="宋体" w:eastAsia="宋体" w:cs="宋体"/>
                <w:color w:val="000000" w:themeColor="text1"/>
                <w:sz w:val="28"/>
                <w:szCs w:val="28"/>
                <w:highlight w:val="none"/>
                <w14:textFill>
                  <w14:solidFill>
                    <w14:schemeClr w14:val="tx1"/>
                  </w14:solidFill>
                </w14:textFill>
              </w:rPr>
              <w:t>PDF格式</w:t>
            </w:r>
            <w:r>
              <w:rPr>
                <w:rFonts w:hint="eastAsia" w:ascii="宋体" w:hAnsi="宋体" w:eastAsia="宋体" w:cs="宋体"/>
                <w:color w:val="000000" w:themeColor="text1"/>
                <w:sz w:val="28"/>
                <w:szCs w:val="28"/>
                <w:highlight w:val="none"/>
                <w:lang w:eastAsia="zh-CN"/>
                <w14:textFill>
                  <w14:solidFill>
                    <w14:schemeClr w14:val="tx1"/>
                  </w14:solidFill>
                </w14:textFill>
              </w:rPr>
              <w:t>及</w:t>
            </w:r>
            <w:r>
              <w:rPr>
                <w:rFonts w:hint="eastAsia" w:ascii="宋体" w:hAnsi="宋体" w:eastAsia="宋体" w:cs="宋体"/>
                <w:color w:val="000000" w:themeColor="text1"/>
                <w:sz w:val="28"/>
                <w:szCs w:val="28"/>
                <w:highlight w:val="none"/>
                <w14:textFill>
                  <w14:solidFill>
                    <w14:schemeClr w14:val="tx1"/>
                  </w14:solidFill>
                </w14:textFill>
              </w:rPr>
              <w:t>WORD版格式）</w:t>
            </w:r>
            <w:r>
              <w:rPr>
                <w:rFonts w:hint="eastAsia" w:ascii="宋体" w:hAnsi="宋体" w:eastAsia="宋体" w:cs="宋体"/>
                <w:sz w:val="28"/>
                <w:szCs w:val="28"/>
                <w:highlight w:val="none"/>
              </w:rPr>
              <w:t>，具有同等法律效力。电子版放置“正本”密封袋内。</w:t>
            </w:r>
          </w:p>
        </w:tc>
      </w:tr>
      <w:tr>
        <w:tblPrEx>
          <w:tblCellMar>
            <w:top w:w="0" w:type="dxa"/>
            <w:left w:w="10" w:type="dxa"/>
            <w:bottom w:w="0" w:type="dxa"/>
            <w:right w:w="10" w:type="dxa"/>
          </w:tblCellMar>
        </w:tblPrEx>
        <w:trPr>
          <w:trHeight w:val="572"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3</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评审办法及标准</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82"/>
              <w:pageBreakBefore w:val="0"/>
              <w:kinsoku/>
              <w:wordWrap/>
              <w:overflowPunct/>
              <w:topLinePunct w:val="0"/>
              <w:bidi w:val="0"/>
              <w:spacing w:line="36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详见磋商文件第二部分。</w:t>
            </w:r>
          </w:p>
        </w:tc>
      </w:tr>
      <w:tr>
        <w:tblPrEx>
          <w:tblCellMar>
            <w:top w:w="0" w:type="dxa"/>
            <w:left w:w="10" w:type="dxa"/>
            <w:bottom w:w="0" w:type="dxa"/>
            <w:right w:w="10" w:type="dxa"/>
          </w:tblCellMar>
        </w:tblPrEx>
        <w:trPr>
          <w:trHeight w:val="572"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24</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360" w:lineRule="auto"/>
              <w:ind w:firstLine="0" w:firstLineChars="0"/>
              <w:jc w:val="center"/>
              <w:rPr>
                <w:rFonts w:hint="eastAsia" w:ascii="宋体" w:hAnsi="宋体" w:eastAsia="宋体" w:cs="宋体"/>
                <w:color w:val="auto"/>
                <w:kern w:val="1"/>
                <w:sz w:val="28"/>
                <w:szCs w:val="28"/>
                <w:highlight w:val="none"/>
                <w:u w:val="none"/>
                <w:lang w:val="en-US" w:eastAsia="zh-CN" w:bidi="ar-SA"/>
              </w:rPr>
            </w:pPr>
            <w:r>
              <w:rPr>
                <w:rFonts w:hint="eastAsia" w:ascii="宋体" w:hAnsi="宋体" w:eastAsia="宋体" w:cs="宋体"/>
                <w:color w:val="auto"/>
                <w:kern w:val="1"/>
                <w:sz w:val="28"/>
                <w:szCs w:val="28"/>
                <w:highlight w:val="none"/>
                <w:u w:val="none"/>
                <w:lang w:val="en-US" w:eastAsia="zh-CN" w:bidi="ar-SA"/>
              </w:rPr>
              <w:t>特别提醒</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2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kern w:val="1"/>
                <w:sz w:val="28"/>
                <w:szCs w:val="28"/>
                <w:highlight w:val="none"/>
                <w:u w:val="none"/>
                <w:lang w:val="en-US" w:eastAsia="zh-CN" w:bidi="ar-SA"/>
              </w:rPr>
            </w:pPr>
            <w:r>
              <w:rPr>
                <w:rFonts w:hint="eastAsia" w:ascii="宋体" w:hAnsi="宋体" w:eastAsia="宋体" w:cs="宋体"/>
                <w:color w:val="auto"/>
                <w:kern w:val="1"/>
                <w:sz w:val="28"/>
                <w:szCs w:val="28"/>
                <w:highlight w:val="none"/>
                <w:u w:val="none"/>
                <w:lang w:val="en-US" w:eastAsia="zh-CN" w:bidi="ar-SA"/>
              </w:rPr>
              <w:t>本项目为“全流程电子化”“不见面”采购模式，实行线上电子投标方式，各供应商须自行在网上下载</w:t>
            </w:r>
            <w:r>
              <w:rPr>
                <w:rFonts w:hint="eastAsia" w:cs="宋体"/>
                <w:color w:val="auto"/>
                <w:kern w:val="1"/>
                <w:sz w:val="28"/>
                <w:szCs w:val="28"/>
                <w:highlight w:val="none"/>
                <w:u w:val="none"/>
                <w:lang w:val="en-US" w:eastAsia="zh-CN" w:bidi="ar-SA"/>
              </w:rPr>
              <w:t>磋商</w:t>
            </w:r>
            <w:r>
              <w:rPr>
                <w:rFonts w:hint="eastAsia" w:ascii="宋体" w:hAnsi="宋体" w:eastAsia="宋体" w:cs="宋体"/>
                <w:color w:val="auto"/>
                <w:kern w:val="1"/>
                <w:sz w:val="28"/>
                <w:szCs w:val="28"/>
                <w:highlight w:val="none"/>
                <w:u w:val="none"/>
                <w:lang w:val="en-US" w:eastAsia="zh-CN" w:bidi="ar-SA"/>
              </w:rPr>
              <w:t>文件、缴纳</w:t>
            </w:r>
            <w:r>
              <w:rPr>
                <w:rFonts w:hint="eastAsia" w:cs="宋体"/>
                <w:color w:val="auto"/>
                <w:kern w:val="1"/>
                <w:sz w:val="28"/>
                <w:szCs w:val="28"/>
                <w:highlight w:val="none"/>
                <w:u w:val="none"/>
                <w:lang w:val="en-US" w:eastAsia="zh-CN" w:bidi="ar-SA"/>
              </w:rPr>
              <w:t>磋商</w:t>
            </w:r>
            <w:r>
              <w:rPr>
                <w:rFonts w:hint="eastAsia" w:ascii="宋体" w:hAnsi="宋体" w:eastAsia="宋体" w:cs="宋体"/>
                <w:color w:val="auto"/>
                <w:kern w:val="1"/>
                <w:sz w:val="28"/>
                <w:szCs w:val="28"/>
                <w:highlight w:val="none"/>
                <w:u w:val="none"/>
                <w:lang w:val="en-US" w:eastAsia="zh-CN" w:bidi="ar-SA"/>
              </w:rPr>
              <w:t>保证金、递交</w:t>
            </w:r>
            <w:r>
              <w:rPr>
                <w:rFonts w:hint="eastAsia" w:cs="宋体"/>
                <w:color w:val="auto"/>
                <w:kern w:val="1"/>
                <w:sz w:val="28"/>
                <w:szCs w:val="28"/>
                <w:highlight w:val="none"/>
                <w:u w:val="none"/>
                <w:lang w:val="en-US" w:eastAsia="zh-CN" w:bidi="ar-SA"/>
              </w:rPr>
              <w:t>磋商</w:t>
            </w:r>
            <w:r>
              <w:rPr>
                <w:rFonts w:hint="eastAsia" w:ascii="宋体" w:hAnsi="宋体" w:eastAsia="宋体" w:cs="宋体"/>
                <w:color w:val="auto"/>
                <w:kern w:val="1"/>
                <w:sz w:val="28"/>
                <w:szCs w:val="28"/>
                <w:highlight w:val="none"/>
                <w:u w:val="none"/>
                <w:lang w:val="en-US" w:eastAsia="zh-CN" w:bidi="ar-SA"/>
              </w:rPr>
              <w:t>文件、在线参与</w:t>
            </w:r>
            <w:r>
              <w:rPr>
                <w:rFonts w:hint="eastAsia" w:cs="宋体"/>
                <w:color w:val="auto"/>
                <w:kern w:val="1"/>
                <w:sz w:val="28"/>
                <w:szCs w:val="28"/>
                <w:highlight w:val="none"/>
                <w:u w:val="none"/>
                <w:lang w:val="en-US" w:eastAsia="zh-CN" w:bidi="ar-SA"/>
              </w:rPr>
              <w:t>磋商</w:t>
            </w:r>
            <w:r>
              <w:rPr>
                <w:rFonts w:hint="eastAsia" w:ascii="宋体" w:hAnsi="宋体" w:eastAsia="宋体" w:cs="宋体"/>
                <w:color w:val="auto"/>
                <w:kern w:val="1"/>
                <w:sz w:val="28"/>
                <w:szCs w:val="28"/>
                <w:highlight w:val="none"/>
                <w:u w:val="none"/>
                <w:lang w:val="en-US" w:eastAsia="zh-CN" w:bidi="ar-SA"/>
              </w:rPr>
              <w:t>过程，并登录全国公共资源交易平台（陕西省宝鸡市）-服务指南-下载专区-下载“政府采购电子交易-不见面系统操作手册-投标人”，并下载政府采购电子标书制作工具，按照流程制作电子标书并在规定的投标截止时前上传电子投标文件；同时必须安装陕西省公共资源CA驱动，供应商须自备配音耳麦，确保</w:t>
            </w:r>
            <w:r>
              <w:rPr>
                <w:rFonts w:hint="eastAsia" w:eastAsia="宋体" w:cs="宋体"/>
                <w:color w:val="auto"/>
                <w:kern w:val="1"/>
                <w:sz w:val="28"/>
                <w:szCs w:val="28"/>
                <w:highlight w:val="none"/>
                <w:u w:val="none"/>
                <w:lang w:val="en-US" w:eastAsia="zh-CN" w:bidi="ar-SA"/>
              </w:rPr>
              <w:t>磋商</w:t>
            </w:r>
            <w:r>
              <w:rPr>
                <w:rFonts w:hint="eastAsia" w:ascii="宋体" w:hAnsi="宋体" w:eastAsia="宋体" w:cs="宋体"/>
                <w:color w:val="auto"/>
                <w:kern w:val="1"/>
                <w:sz w:val="28"/>
                <w:szCs w:val="28"/>
                <w:highlight w:val="none"/>
                <w:u w:val="none"/>
                <w:lang w:val="en-US" w:eastAsia="zh-CN" w:bidi="ar-SA"/>
              </w:rPr>
              <w:t>及报价环节能顺利进行；为了保证远程不见面开标顺利进行，投标人需使用配备相关设备的电脑提前一小时登录网络开标大厅签到。因投标人自身设施故障或自身原因导致无法完成投标的，由投标人自行承担后果。</w:t>
            </w:r>
          </w:p>
        </w:tc>
      </w:tr>
      <w:tr>
        <w:tblPrEx>
          <w:tblCellMar>
            <w:top w:w="0" w:type="dxa"/>
            <w:left w:w="10" w:type="dxa"/>
            <w:bottom w:w="0" w:type="dxa"/>
            <w:right w:w="10" w:type="dxa"/>
          </w:tblCellMar>
        </w:tblPrEx>
        <w:trPr>
          <w:trHeight w:val="572" w:hRule="atLeast"/>
          <w:jc w:val="center"/>
        </w:trPr>
        <w:tc>
          <w:tcPr>
            <w:tcW w:w="88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default" w:ascii="宋体" w:hAnsi="宋体" w:cs="宋体"/>
                <w:sz w:val="28"/>
                <w:szCs w:val="28"/>
                <w:highlight w:val="yellow"/>
                <w:lang w:val="en-US" w:eastAsia="zh-CN"/>
              </w:rPr>
            </w:pPr>
            <w:r>
              <w:rPr>
                <w:rFonts w:hint="eastAsia" w:ascii="宋体" w:hAnsi="宋体" w:cs="宋体"/>
                <w:sz w:val="28"/>
                <w:szCs w:val="28"/>
                <w:highlight w:val="none"/>
                <w:lang w:val="en-US" w:eastAsia="zh-CN"/>
              </w:rPr>
              <w:t>25</w:t>
            </w:r>
          </w:p>
        </w:tc>
        <w:tc>
          <w:tcPr>
            <w:tcW w:w="22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shd w:val="clear"/>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关于中小企业 </w:t>
            </w:r>
          </w:p>
          <w:p>
            <w:pPr>
              <w:keepNext w:val="0"/>
              <w:keepLines w:val="0"/>
              <w:pageBreakBefore w:val="0"/>
              <w:shd w:val="clear"/>
              <w:kinsoku/>
              <w:wordWrap/>
              <w:overflowPunct/>
              <w:topLinePunct w:val="0"/>
              <w:autoSpaceDE/>
              <w:autoSpaceDN/>
              <w:bidi w:val="0"/>
              <w:adjustRightInd/>
              <w:snapToGrid/>
              <w:spacing w:line="500" w:lineRule="exact"/>
              <w:jc w:val="center"/>
              <w:textAlignment w:val="auto"/>
              <w:rPr>
                <w:rFonts w:hint="default" w:ascii="宋体" w:hAnsi="宋体" w:eastAsia="宋体" w:cs="宋体"/>
                <w:color w:val="auto"/>
                <w:kern w:val="1"/>
                <w:sz w:val="28"/>
                <w:szCs w:val="28"/>
                <w:highlight w:val="yellow"/>
                <w:u w:val="none"/>
                <w:lang w:val="en-US" w:eastAsia="zh-CN" w:bidi="ar-SA"/>
              </w:rPr>
            </w:pPr>
            <w:r>
              <w:rPr>
                <w:rFonts w:hint="eastAsia" w:ascii="宋体" w:hAnsi="宋体" w:eastAsia="宋体" w:cs="宋体"/>
                <w:color w:val="auto"/>
                <w:sz w:val="28"/>
                <w:szCs w:val="28"/>
                <w:highlight w:val="none"/>
                <w:lang w:val="en-US" w:eastAsia="zh-CN"/>
              </w:rPr>
              <w:t>划分标准</w:t>
            </w:r>
          </w:p>
        </w:tc>
        <w:tc>
          <w:tcPr>
            <w:tcW w:w="66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shd w:val="clear"/>
              <w:kinsoku/>
              <w:wordWrap/>
              <w:overflowPunct/>
              <w:topLinePunct w:val="0"/>
              <w:autoSpaceDE/>
              <w:autoSpaceDN/>
              <w:bidi w:val="0"/>
              <w:adjustRightInd/>
              <w:snapToGrid/>
              <w:spacing w:line="500" w:lineRule="exact"/>
              <w:jc w:val="both"/>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本项目为专门面向中小企业。</w:t>
            </w:r>
          </w:p>
          <w:p>
            <w:pPr>
              <w:keepNext w:val="0"/>
              <w:keepLines w:val="0"/>
              <w:pageBreakBefore w:val="0"/>
              <w:shd w:val="clear"/>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kern w:val="1"/>
                <w:sz w:val="28"/>
                <w:szCs w:val="28"/>
                <w:highlight w:val="none"/>
                <w:u w:val="none"/>
                <w:lang w:val="en-US" w:eastAsia="zh-CN" w:bidi="ar-SA"/>
              </w:rPr>
            </w:pPr>
            <w:r>
              <w:rPr>
                <w:rFonts w:hint="eastAsia" w:ascii="宋体" w:hAnsi="宋体" w:eastAsia="宋体" w:cs="宋体"/>
                <w:sz w:val="28"/>
                <w:szCs w:val="28"/>
                <w:highlight w:val="none"/>
                <w:lang w:val="en-US" w:eastAsia="zh-CN"/>
              </w:rPr>
              <w:t>根据《工业和信息化部、国家统计局、国家发展和改革委员会、财政部关于印发中小企业划型标准规定的通知》（工信部联企业〔2011〕300 号）对中小企业的划分标准的规定，本项目采购标的对应的所属行业划分为：其他未列明行业。</w:t>
            </w:r>
          </w:p>
        </w:tc>
      </w:tr>
    </w:tbl>
    <w:p>
      <w:pPr>
        <w:pageBreakBefore w:val="0"/>
        <w:kinsoku/>
        <w:wordWrap/>
        <w:overflowPunct/>
        <w:topLinePunct w:val="0"/>
        <w:autoSpaceDE/>
        <w:autoSpaceDN/>
        <w:bidi w:val="0"/>
        <w:spacing w:line="480" w:lineRule="exact"/>
        <w:jc w:val="both"/>
        <w:rPr>
          <w:rFonts w:hint="eastAsia" w:ascii="宋体" w:hAnsi="宋体" w:eastAsia="宋体" w:cs="宋体"/>
          <w:b/>
          <w:bCs/>
          <w:color w:val="auto"/>
          <w:sz w:val="28"/>
          <w:szCs w:val="28"/>
          <w:highlight w:val="none"/>
        </w:rPr>
      </w:pPr>
    </w:p>
    <w:p>
      <w:pPr>
        <w:pageBreakBefore w:val="0"/>
        <w:kinsoku/>
        <w:wordWrap/>
        <w:overflowPunct/>
        <w:topLinePunct w:val="0"/>
        <w:autoSpaceDE/>
        <w:autoSpaceDN/>
        <w:bidi w:val="0"/>
        <w:spacing w:line="480" w:lineRule="exact"/>
        <w:jc w:val="center"/>
        <w:rPr>
          <w:rFonts w:hint="eastAsia" w:ascii="宋体" w:hAnsi="宋体" w:eastAsia="宋体" w:cs="宋体"/>
          <w:b/>
          <w:bCs/>
          <w:color w:val="auto"/>
          <w:sz w:val="32"/>
          <w:szCs w:val="32"/>
          <w:highlight w:val="none"/>
        </w:rPr>
      </w:pPr>
    </w:p>
    <w:p>
      <w:pPr>
        <w:pStyle w:val="2"/>
        <w:rPr>
          <w:rFonts w:hint="eastAsia" w:ascii="宋体" w:hAnsi="宋体" w:eastAsia="宋体" w:cs="宋体"/>
          <w:b/>
          <w:bCs/>
          <w:color w:val="auto"/>
          <w:sz w:val="32"/>
          <w:szCs w:val="32"/>
          <w:highlight w:val="none"/>
        </w:rPr>
      </w:pPr>
    </w:p>
    <w:p>
      <w:pPr>
        <w:pStyle w:val="23"/>
        <w:rPr>
          <w:rFonts w:hint="eastAsia" w:ascii="宋体" w:hAnsi="宋体" w:eastAsia="宋体" w:cs="宋体"/>
          <w:b/>
          <w:bCs/>
          <w:color w:val="auto"/>
          <w:sz w:val="32"/>
          <w:szCs w:val="32"/>
          <w:highlight w:val="none"/>
        </w:rPr>
      </w:pPr>
    </w:p>
    <w:p>
      <w:pPr>
        <w:pStyle w:val="23"/>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pStyle w:val="4"/>
        <w:bidi w:val="0"/>
        <w:rPr>
          <w:rFonts w:hint="eastAsia"/>
        </w:rPr>
      </w:pPr>
      <w:r>
        <w:rPr>
          <w:rFonts w:hint="eastAsia"/>
        </w:rPr>
        <w:t>二、</w:t>
      </w:r>
      <w:r>
        <w:rPr>
          <w:rFonts w:hint="eastAsia"/>
          <w:lang w:eastAsia="zh-CN"/>
        </w:rPr>
        <w:t>供应商</w:t>
      </w:r>
      <w:r>
        <w:rPr>
          <w:rFonts w:hint="eastAsia"/>
        </w:rPr>
        <w:t>须知</w:t>
      </w:r>
      <w:bookmarkEnd w:id="23"/>
      <w:bookmarkEnd w:id="24"/>
      <w:bookmarkEnd w:id="25"/>
    </w:p>
    <w:p>
      <w:pPr>
        <w:pStyle w:val="5"/>
        <w:bidi w:val="0"/>
        <w:rPr>
          <w:rFonts w:hint="eastAsia"/>
        </w:rPr>
      </w:pPr>
      <w:bookmarkStart w:id="27" w:name="_Toc32669"/>
      <w:r>
        <w:rPr>
          <w:rFonts w:hint="eastAsia"/>
        </w:rPr>
        <w:t>（一）总  则</w:t>
      </w:r>
      <w:bookmarkEnd w:id="27"/>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1、本项目采用</w:t>
      </w:r>
      <w:r>
        <w:rPr>
          <w:rFonts w:hint="eastAsia" w:ascii="宋体" w:hAnsi="宋体" w:eastAsia="宋体" w:cs="宋体"/>
          <w:color w:val="auto"/>
          <w:sz w:val="28"/>
          <w:szCs w:val="28"/>
          <w:highlight w:val="none"/>
          <w:lang w:eastAsia="zh-CN"/>
        </w:rPr>
        <w:t>竞争性磋商</w:t>
      </w:r>
      <w:r>
        <w:rPr>
          <w:rFonts w:hint="eastAsia" w:ascii="宋体" w:hAnsi="宋体" w:eastAsia="宋体" w:cs="宋体"/>
          <w:color w:val="auto"/>
          <w:sz w:val="28"/>
          <w:szCs w:val="28"/>
          <w:highlight w:val="none"/>
        </w:rPr>
        <w:t>方式。</w:t>
      </w:r>
    </w:p>
    <w:p>
      <w:pPr>
        <w:pageBreakBefore w:val="0"/>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2、名词解释</w:t>
      </w:r>
    </w:p>
    <w:p>
      <w:pPr>
        <w:pageBreakBefore w:val="0"/>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（1）采购人：</w:t>
      </w:r>
      <w:r>
        <w:rPr>
          <w:rFonts w:hint="eastAsia" w:ascii="宋体" w:hAnsi="宋体" w:cs="宋体"/>
          <w:color w:val="auto"/>
          <w:sz w:val="28"/>
          <w:szCs w:val="28"/>
          <w:highlight w:val="none"/>
          <w:lang w:val="en-US" w:eastAsia="zh-CN"/>
        </w:rPr>
        <w:t>扶风县住房和城乡建设局</w:t>
      </w:r>
    </w:p>
    <w:p>
      <w:pPr>
        <w:pageBreakBefore w:val="0"/>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代理机构：</w:t>
      </w:r>
      <w:r>
        <w:rPr>
          <w:rFonts w:hint="eastAsia" w:ascii="宋体" w:hAnsi="宋体" w:cs="宋体"/>
          <w:color w:val="auto"/>
          <w:sz w:val="28"/>
          <w:szCs w:val="28"/>
          <w:highlight w:val="none"/>
          <w:lang w:eastAsia="zh-CN"/>
        </w:rPr>
        <w:t>华睿诚项目管理有限公司</w:t>
      </w:r>
    </w:p>
    <w:p>
      <w:pPr>
        <w:pageBreakBefore w:val="0"/>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：是指响应和符合</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规定资格条件要</w:t>
      </w:r>
      <w:r>
        <w:rPr>
          <w:rFonts w:hint="eastAsia" w:ascii="宋体" w:hAnsi="宋体" w:eastAsia="宋体" w:cs="宋体"/>
          <w:color w:val="auto"/>
          <w:sz w:val="28"/>
          <w:szCs w:val="28"/>
          <w:highlight w:val="none"/>
          <w:shd w:val="clear" w:color="auto" w:fill="auto"/>
        </w:rPr>
        <w:t>求</w:t>
      </w:r>
      <w:r>
        <w:rPr>
          <w:rFonts w:hint="eastAsia" w:ascii="宋体" w:hAnsi="宋体" w:eastAsia="宋体" w:cs="宋体"/>
          <w:color w:val="auto"/>
          <w:sz w:val="28"/>
          <w:szCs w:val="28"/>
          <w:highlight w:val="none"/>
          <w:shd w:val="clear" w:color="auto" w:fill="auto"/>
          <w:lang w:eastAsia="zh-CN"/>
        </w:rPr>
        <w:t>的单位</w:t>
      </w:r>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3、投标费用。</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应自行承担所有与参加本次投标有关的费用。不论投标的结果如何，</w:t>
      </w:r>
      <w:r>
        <w:rPr>
          <w:rFonts w:hint="eastAsia" w:ascii="宋体" w:hAnsi="宋体" w:cs="宋体"/>
          <w:color w:val="auto"/>
          <w:sz w:val="28"/>
          <w:szCs w:val="28"/>
          <w:highlight w:val="none"/>
          <w:lang w:eastAsia="zh-CN"/>
        </w:rPr>
        <w:t>华睿诚项目管理有限公司</w:t>
      </w:r>
      <w:r>
        <w:rPr>
          <w:rFonts w:hint="eastAsia" w:ascii="宋体" w:hAnsi="宋体" w:eastAsia="宋体" w:cs="宋体"/>
          <w:color w:val="auto"/>
          <w:sz w:val="28"/>
          <w:szCs w:val="28"/>
          <w:highlight w:val="none"/>
        </w:rPr>
        <w:t>和采购人在任何情况下均无义务和责任承担这些费用。</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4、适用法律。本次采购活动及由本次采购产生的合同受中华人民共和国相关法律法规的制约和保护。</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的约束力。</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一旦</w:t>
      </w:r>
      <w:r>
        <w:rPr>
          <w:rFonts w:hint="eastAsia" w:ascii="宋体" w:hAnsi="宋体" w:cs="宋体"/>
          <w:color w:val="auto"/>
          <w:sz w:val="28"/>
          <w:szCs w:val="28"/>
          <w:highlight w:val="none"/>
          <w:lang w:eastAsia="zh-CN"/>
        </w:rPr>
        <w:t>下载</w:t>
      </w:r>
      <w:r>
        <w:rPr>
          <w:rFonts w:hint="eastAsia" w:ascii="宋体" w:hAnsi="宋体" w:eastAsia="宋体" w:cs="宋体"/>
          <w:color w:val="auto"/>
          <w:sz w:val="28"/>
          <w:szCs w:val="28"/>
          <w:highlight w:val="none"/>
        </w:rPr>
        <w:t>了</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并参加投标，即被认为接受了</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中的所有条件和规定。</w:t>
      </w:r>
    </w:p>
    <w:p>
      <w:pPr>
        <w:pageBreakBefore w:val="0"/>
        <w:kinsoku/>
        <w:wordWrap/>
        <w:overflowPunct/>
        <w:topLinePunct w:val="0"/>
        <w:autoSpaceDE/>
        <w:autoSpaceDN/>
        <w:bidi w:val="0"/>
        <w:spacing w:line="360" w:lineRule="auto"/>
        <w:ind w:firstLine="560" w:firstLineChars="200"/>
        <w:rPr>
          <w:rFonts w:hint="eastAsia"/>
          <w:sz w:val="28"/>
          <w:szCs w:val="28"/>
        </w:rPr>
      </w:pPr>
      <w:r>
        <w:rPr>
          <w:rFonts w:hint="eastAsia" w:ascii="宋体" w:hAnsi="宋体" w:eastAsia="宋体" w:cs="宋体"/>
          <w:color w:val="auto"/>
          <w:sz w:val="28"/>
          <w:szCs w:val="28"/>
          <w:highlight w:val="none"/>
        </w:rPr>
        <w:t>6、法定代表人为同一个人的两个及两个以上法人，母公司、全资子公司及其控股公司，都不得同时</w:t>
      </w:r>
      <w:r>
        <w:rPr>
          <w:rFonts w:hint="eastAsia" w:ascii="宋体" w:hAnsi="宋体" w:eastAsia="宋体" w:cs="宋体"/>
          <w:color w:val="auto"/>
          <w:sz w:val="28"/>
          <w:szCs w:val="28"/>
          <w:highlight w:val="none"/>
          <w:lang w:eastAsia="zh-CN"/>
        </w:rPr>
        <w:t>参加本项目同一标段的投标。</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应认真阅读</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中所有的章节、条款、格式、规范和附件等要求。如果没有按照</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要求编制</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及提供相关资料，其风险由</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自行承担。</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所提供的所有资料（包括复印件）必须清晰，如因提供的资料难以辨认，其风险由</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自负。</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9、本次采购不接受联合体</w:t>
      </w:r>
      <w:r>
        <w:rPr>
          <w:rFonts w:hint="eastAsia" w:ascii="宋体" w:hAnsi="宋体" w:cs="宋体"/>
          <w:color w:val="auto"/>
          <w:sz w:val="28"/>
          <w:szCs w:val="28"/>
          <w:highlight w:val="none"/>
          <w:lang w:eastAsia="zh-CN"/>
        </w:rPr>
        <w:t>磋商</w:t>
      </w:r>
      <w:r>
        <w:rPr>
          <w:rFonts w:hint="eastAsia" w:ascii="宋体" w:hAnsi="宋体" w:eastAsia="宋体" w:cs="宋体"/>
          <w:color w:val="auto"/>
          <w:sz w:val="28"/>
          <w:szCs w:val="28"/>
          <w:highlight w:val="none"/>
          <w:lang w:eastAsia="zh-CN"/>
        </w:rPr>
        <w:t>。</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分包</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不允许，见供应商须知前附表。</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bookmarkStart w:id="28" w:name="_Toc9114"/>
      <w:r>
        <w:rPr>
          <w:rFonts w:hint="eastAsia" w:ascii="宋体" w:hAnsi="宋体" w:eastAsia="宋体" w:cs="宋体"/>
          <w:color w:val="auto"/>
          <w:sz w:val="28"/>
          <w:szCs w:val="28"/>
          <w:highlight w:val="none"/>
          <w:lang w:val="en-US" w:eastAsia="zh-CN"/>
        </w:rPr>
        <w:t>11、偏离</w:t>
      </w:r>
      <w:bookmarkEnd w:id="28"/>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不允许，见供应商须知前附表。</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、因本次招投标活动产生的一切纠纷（包括合同纠纷），有关各方应友好协商解决，协商不成，则向</w:t>
      </w:r>
      <w:r>
        <w:rPr>
          <w:rFonts w:hint="eastAsia" w:ascii="宋体" w:hAnsi="宋体" w:cs="宋体"/>
          <w:color w:val="auto"/>
          <w:sz w:val="28"/>
          <w:szCs w:val="28"/>
          <w:highlight w:val="none"/>
          <w:lang w:eastAsia="zh-CN"/>
        </w:rPr>
        <w:t>陕西省</w:t>
      </w:r>
      <w:r>
        <w:rPr>
          <w:rFonts w:hint="eastAsia" w:ascii="宋体" w:hAnsi="宋体" w:eastAsia="宋体" w:cs="宋体"/>
          <w:color w:val="auto"/>
          <w:sz w:val="28"/>
          <w:szCs w:val="28"/>
          <w:highlight w:val="none"/>
        </w:rPr>
        <w:t xml:space="preserve">仲裁委员会申请仲裁。 </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bookmarkStart w:id="29" w:name="_Toc23957"/>
      <w:r>
        <w:rPr>
          <w:rFonts w:hint="eastAsia" w:ascii="宋体" w:hAnsi="宋体" w:eastAsia="宋体" w:cs="宋体"/>
          <w:color w:val="auto"/>
          <w:sz w:val="28"/>
          <w:szCs w:val="28"/>
          <w:highlight w:val="none"/>
          <w:lang w:val="en-US" w:eastAsia="zh-CN"/>
        </w:rPr>
        <w:t>13、采购代理服务费：</w:t>
      </w:r>
      <w:bookmarkEnd w:id="29"/>
    </w:p>
    <w:p>
      <w:pPr>
        <w:pageBreakBefore w:val="0"/>
        <w:kinsoku/>
        <w:wordWrap/>
        <w:overflowPunct/>
        <w:topLinePunct w:val="0"/>
        <w:bidi w:val="0"/>
        <w:spacing w:line="360" w:lineRule="auto"/>
        <w:ind w:firstLine="560"/>
        <w:jc w:val="left"/>
        <w:textAlignment w:val="auto"/>
        <w:rPr>
          <w:rFonts w:hint="eastAsia" w:ascii="宋体" w:hAnsi="宋体" w:eastAsia="宋体" w:cs="宋体"/>
          <w:sz w:val="28"/>
          <w:szCs w:val="28"/>
          <w:highlight w:val="none"/>
          <w:lang w:eastAsia="zh-CN"/>
        </w:rPr>
      </w:pPr>
      <w:bookmarkStart w:id="30" w:name="_Toc9530"/>
      <w:r>
        <w:rPr>
          <w:rFonts w:hint="eastAsia" w:ascii="宋体" w:hAnsi="宋体" w:cs="宋体"/>
          <w:sz w:val="28"/>
          <w:szCs w:val="28"/>
          <w:highlight w:val="none"/>
          <w:lang w:val="en-US" w:eastAsia="zh-CN"/>
        </w:rPr>
        <w:t>（1）</w:t>
      </w:r>
      <w:r>
        <w:rPr>
          <w:rFonts w:hint="eastAsia" w:ascii="宋体" w:hAnsi="宋体" w:eastAsia="宋体" w:cs="宋体"/>
          <w:sz w:val="28"/>
          <w:szCs w:val="28"/>
          <w:highlight w:val="none"/>
          <w:lang w:val="en-US" w:eastAsia="zh-CN"/>
        </w:rPr>
        <w:t>代理服务费由</w:t>
      </w:r>
      <w:r>
        <w:rPr>
          <w:rFonts w:hint="eastAsia" w:ascii="宋体" w:hAnsi="宋体" w:eastAsia="宋体" w:cs="宋体"/>
          <w:sz w:val="28"/>
          <w:szCs w:val="28"/>
          <w:highlight w:val="none"/>
          <w:u w:val="single"/>
          <w:lang w:val="en-US" w:eastAsia="zh-CN"/>
        </w:rPr>
        <w:t>成交单位</w:t>
      </w:r>
      <w:r>
        <w:rPr>
          <w:rFonts w:hint="eastAsia" w:ascii="宋体" w:hAnsi="宋体" w:eastAsia="宋体" w:cs="宋体"/>
          <w:sz w:val="28"/>
          <w:szCs w:val="28"/>
          <w:highlight w:val="none"/>
          <w:lang w:val="en-US" w:eastAsia="zh-CN"/>
        </w:rPr>
        <w:t>在领取成交通知书前参照国家发展和改革委员会办公厅发改办价格【2002】1980号文的规定，向采购代理机构支付招标代理服务费（包含“招标代理费、会务费（如有）”），如本项目服务费不足伍仟元则供应商按伍仟元支付服务费。</w:t>
      </w:r>
    </w:p>
    <w:p>
      <w:pPr>
        <w:pageBreakBefore w:val="0"/>
        <w:kinsoku/>
        <w:wordWrap/>
        <w:overflowPunct/>
        <w:topLinePunct w:val="0"/>
        <w:bidi w:val="0"/>
        <w:spacing w:line="360" w:lineRule="auto"/>
        <w:ind w:firstLine="560"/>
        <w:jc w:val="left"/>
        <w:textAlignment w:val="auto"/>
        <w:rPr>
          <w:rFonts w:hint="eastAsia" w:ascii="宋体" w:hAnsi="宋体" w:eastAsia="宋体" w:cs="宋体"/>
          <w:b/>
          <w:sz w:val="28"/>
          <w:szCs w:val="28"/>
          <w:highlight w:val="none"/>
          <w:lang w:val="en-US"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2</w:t>
      </w:r>
      <w:r>
        <w:rPr>
          <w:rFonts w:hint="eastAsia" w:ascii="宋体" w:hAnsi="宋体" w:cs="宋体"/>
          <w:sz w:val="28"/>
          <w:szCs w:val="28"/>
          <w:highlight w:val="none"/>
          <w:lang w:eastAsia="zh-CN"/>
        </w:rPr>
        <w:t>）</w:t>
      </w:r>
      <w:r>
        <w:rPr>
          <w:rFonts w:hint="eastAsia" w:ascii="宋体" w:hAnsi="宋体" w:eastAsia="宋体" w:cs="宋体"/>
          <w:sz w:val="28"/>
          <w:szCs w:val="28"/>
          <w:highlight w:val="none"/>
          <w:lang w:eastAsia="zh-CN"/>
        </w:rPr>
        <w:t>代理服务费应采用转账、刷卡、现金形式缴纳。</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14、本竞争性磋商文件的解释权属采购代理机构。</w:t>
      </w:r>
      <w:bookmarkEnd w:id="30"/>
    </w:p>
    <w:p>
      <w:pPr>
        <w:pStyle w:val="5"/>
        <w:bidi w:val="0"/>
        <w:spacing w:line="360" w:lineRule="auto"/>
        <w:jc w:val="both"/>
        <w:rPr>
          <w:rFonts w:hint="eastAsia"/>
          <w:lang w:eastAsia="zh-CN"/>
        </w:rPr>
      </w:pPr>
      <w:bookmarkStart w:id="31" w:name="_Toc30520"/>
      <w:r>
        <w:rPr>
          <w:rFonts w:hint="eastAsia"/>
        </w:rPr>
        <w:t>（二）</w:t>
      </w:r>
      <w:r>
        <w:rPr>
          <w:rFonts w:hint="eastAsia"/>
          <w:lang w:eastAsia="zh-CN"/>
        </w:rPr>
        <w:t>竞争性磋商文件</w:t>
      </w:r>
      <w:r>
        <w:rPr>
          <w:rFonts w:hint="eastAsia"/>
        </w:rPr>
        <w:t>的</w:t>
      </w:r>
      <w:r>
        <w:rPr>
          <w:rFonts w:hint="eastAsia"/>
          <w:lang w:eastAsia="zh-CN"/>
        </w:rPr>
        <w:t>质疑投诉、</w:t>
      </w:r>
      <w:r>
        <w:rPr>
          <w:rFonts w:hint="eastAsia"/>
        </w:rPr>
        <w:t>澄清、补充</w:t>
      </w:r>
      <w:r>
        <w:rPr>
          <w:rFonts w:hint="eastAsia"/>
          <w:lang w:eastAsia="zh-CN"/>
        </w:rPr>
        <w:t>及</w:t>
      </w:r>
      <w:r>
        <w:rPr>
          <w:rFonts w:hint="eastAsia"/>
        </w:rPr>
        <w:t>修改</w:t>
      </w:r>
      <w:bookmarkEnd w:id="31"/>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1、供应商认为采购文件、采购过程、中标或者成交结果使自己的权益受到损害的，可以在知道或者应知其权益受到损害之日起7个工作日内，以书面形式向采购人、采购代理机构提出质疑。</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供应商提出质疑应当提交质疑函和必要的证明材料。质疑函应当包括下列内容：</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（一）供应商的姓名或者名称、地址、邮编、联系人及联系电话；</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（二）质疑项目的名称、编号；</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（三）具体、明确的质疑事项和与质疑事项相关的请求；</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（四）事实依据；</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（五）必要的法律依据；</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（六）提出质疑的日期。</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供应商为自然人的，应当由本人签字；供应商为法人或者其他组织的，应当由法定代表人、主要负责人，或者其授权代表签字或者盖章，并加盖公章。</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备注：1）供应商须在法定质疑期内一次性提出针对同一采购程序环节的质疑。</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供应商提出质疑应当提交质疑函和必要的证明材料，并按财政部《质疑函范本》给定的格式进行填写，范本下载详见【财政部国库司（gks.mof.gov.cn）】网站〖首页•〉政府采购管理〗栏目中的《政府采购供应商质疑函范本》。</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1.1质疑有以下情形之一的，采购代理机构不予受理：</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（一）质疑人不是参与本次政府采购项目的供应商或潜在供应商；</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（二）质疑人与质疑事项不存在利害关系的；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（三）未在法定期限内提出质疑的；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（四）质疑未以书面形式提出，或质疑函主要内容构成不完整的，或缺乏必要的证明材料及证明材料不完整的；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（五）质疑函没有合法有效的签字、盖章或授权的；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（六）以非法手段取得证据、材料的；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（七）质疑答复后，同一质疑人就同一事项再次提出质疑的；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（八）不符合法律、法规、规章和政府采购监管机构规定的其他条件的。</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2、采购人、采购代理机构不得拒收质疑供应商在法定质疑期内发出的质疑函，应当在收到质疑函后7个工作日内作出答复，并以书面形式通知质疑供应商和其他有关供应商。</w:t>
      </w:r>
      <w:r>
        <w:rPr>
          <w:rFonts w:hint="eastAsia" w:ascii="宋体" w:hAnsi="宋体" w:cs="宋体"/>
          <w:color w:val="auto"/>
          <w:sz w:val="28"/>
          <w:szCs w:val="28"/>
          <w:highlight w:val="none"/>
          <w:lang w:val="en-US" w:eastAsia="zh-CN"/>
        </w:rPr>
        <w:t xml:space="preserve">      </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质疑供应商对采购人、采购代理机构的答复不满意，或者采购人、采购代理机构未在规定时间内作出答复的，可以在答复期满后15个工作日内向政府采购质疑和投诉办法（中华人民共和国财政部令第94号）第六条规定的财政部门提起投诉。</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提交磋商响应文件截止时间前，采购人、代理机构对竞争性磋商文件进行必要的澄清或修改，其内容均为竞争性磋商文件的组成部分，并对采购人及供应商起约束作用。澄清或修改的内容可能影响响应文件编制时，采购代理机构将在发布变更公告的同时，提醒供应商下载答疑文件（*.SXSCF，即更新后的电子招标文件）。供应商应及时从宝鸡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提交磋商响应文件截止时间5日前以书面形式发送给所有参加磋商的供应商；不足5日的，采购人、代理机构顺延递交竞争性磋商响应文件的截止时间。</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供应商对竞争性磋商文件如有疑问要求澄清，或认为有必要与采购人进行技术交流，应于提交磋商响应文件截止时间2日前以书面形式通知采购代理机构，采购代理机构以书面形式予以答复。在此之后提出的无效,因此带来的一切不利后果由供应商自负。</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请各供应商在提交响应文件截止时间之前，务必随时关注“政府采购信息发布媒体”上发布的变更公告，采购代理机构不再另行通知，因供应商未及时关注所造成的一切后果由供应商自行承担。</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7-1</w:t>
      </w:r>
      <w:r>
        <w:rPr>
          <w:rFonts w:hint="eastAsia" w:ascii="宋体" w:hAnsi="宋体" w:eastAsia="宋体" w:cs="宋体"/>
          <w:color w:val="auto"/>
          <w:sz w:val="28"/>
          <w:szCs w:val="28"/>
          <w:highlight w:val="none"/>
          <w:lang w:val="en-US" w:eastAsia="zh-CN"/>
        </w:rPr>
        <w:t>【陕西省政府采购网】（http://www.ccgp-shaanxi.gov.cn/）中的〖首页·〉信息公告·〉市级·〉宝鸡市〗；</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7-2</w:t>
      </w:r>
      <w:r>
        <w:rPr>
          <w:rFonts w:hint="eastAsia" w:ascii="宋体" w:hAnsi="宋体" w:eastAsia="宋体" w:cs="宋体"/>
          <w:color w:val="auto"/>
          <w:sz w:val="28"/>
          <w:szCs w:val="28"/>
          <w:highlight w:val="none"/>
          <w:lang w:val="en-US" w:eastAsia="zh-CN"/>
        </w:rPr>
        <w:t>【全国公共资源交易网（陕西省·宝鸡市）】（http://sxggzyjy.bj.gov.cn/）中的〖首页·〉交易大厅·〉政府采购〗。”</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lang w:val="en-US" w:eastAsia="zh-CN"/>
        </w:rPr>
        <w:t>竞争性磋商文件的解释权归代理机构，如发现竞争性磋商文件内容与现行法律法规不相符的情况，以现行法律法规为准。</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、质疑函递交地址：</w:t>
      </w:r>
      <w:r>
        <w:rPr>
          <w:rFonts w:hint="eastAsia" w:ascii="宋体" w:hAnsi="宋体" w:cs="宋体"/>
          <w:color w:val="auto"/>
          <w:sz w:val="28"/>
          <w:szCs w:val="28"/>
          <w:highlight w:val="none"/>
          <w:lang w:val="en-US" w:eastAsia="zh-CN"/>
        </w:rPr>
        <w:t>陕西省西安市曲江新区雁翔路3269号旺座曲江E座29层2901号</w:t>
      </w:r>
    </w:p>
    <w:p>
      <w:pPr>
        <w:pageBreakBefore w:val="0"/>
        <w:kinsoku/>
        <w:wordWrap/>
        <w:overflowPunct/>
        <w:topLinePunct w:val="0"/>
        <w:autoSpaceDE/>
        <w:autoSpaceDN/>
        <w:bidi w:val="0"/>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联系电话：</w:t>
      </w:r>
      <w:r>
        <w:rPr>
          <w:rFonts w:hint="eastAsia" w:ascii="宋体" w:hAnsi="宋体" w:cs="宋体"/>
          <w:color w:val="auto"/>
          <w:sz w:val="28"/>
          <w:szCs w:val="28"/>
          <w:highlight w:val="none"/>
          <w:lang w:val="en-US" w:eastAsia="zh-CN"/>
        </w:rPr>
        <w:t>18092114697</w:t>
      </w:r>
    </w:p>
    <w:p>
      <w:pPr>
        <w:pStyle w:val="5"/>
        <w:bidi w:val="0"/>
        <w:spacing w:line="360" w:lineRule="auto"/>
        <w:rPr>
          <w:rFonts w:hint="eastAsia"/>
        </w:rPr>
      </w:pPr>
      <w:bookmarkStart w:id="32" w:name="_Toc10604"/>
      <w:r>
        <w:rPr>
          <w:rFonts w:hint="eastAsia"/>
        </w:rPr>
        <w:t>（三）</w:t>
      </w:r>
      <w:r>
        <w:rPr>
          <w:rFonts w:hint="eastAsia"/>
          <w:lang w:eastAsia="zh-CN"/>
        </w:rPr>
        <w:t>竞争性磋商响应文件</w:t>
      </w:r>
      <w:r>
        <w:rPr>
          <w:rFonts w:hint="eastAsia"/>
        </w:rPr>
        <w:t>的组成及编制</w:t>
      </w:r>
      <w:bookmarkEnd w:id="32"/>
    </w:p>
    <w:p>
      <w:pPr>
        <w:pageBreakBefore w:val="0"/>
        <w:kinsoku/>
        <w:wordWrap/>
        <w:overflowPunct/>
        <w:topLinePunct w:val="0"/>
        <w:autoSpaceDE/>
        <w:autoSpaceDN/>
        <w:bidi w:val="0"/>
        <w:snapToGrid w:val="0"/>
        <w:spacing w:line="360" w:lineRule="auto"/>
        <w:ind w:firstLine="560" w:firstLineChars="200"/>
        <w:rPr>
          <w:rFonts w:hint="eastAsia" w:ascii="宋体" w:hAnsi="宋体" w:eastAsia="宋体" w:cs="宋体"/>
          <w:color w:val="auto"/>
          <w:sz w:val="28"/>
          <w:szCs w:val="28"/>
          <w:highlight w:val="none"/>
        </w:rPr>
      </w:pPr>
      <w:bookmarkStart w:id="33" w:name="_Toc29050"/>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由技术部分、商务部分组成</w:t>
      </w:r>
      <w:r>
        <w:rPr>
          <w:rFonts w:hint="eastAsia" w:ascii="宋体" w:hAnsi="宋体" w:eastAsia="宋体" w:cs="宋体"/>
          <w:color w:val="auto"/>
          <w:sz w:val="28"/>
          <w:szCs w:val="28"/>
          <w:highlight w:val="none"/>
          <w:lang w:eastAsia="zh-CN"/>
        </w:rPr>
        <w:t>的</w:t>
      </w:r>
      <w:r>
        <w:rPr>
          <w:rFonts w:hint="eastAsia" w:ascii="宋体" w:hAnsi="宋体" w:eastAsia="宋体" w:cs="宋体"/>
          <w:color w:val="auto"/>
          <w:sz w:val="28"/>
          <w:szCs w:val="28"/>
          <w:highlight w:val="none"/>
        </w:rPr>
        <w:t>文件。</w:t>
      </w:r>
      <w:bookmarkEnd w:id="33"/>
    </w:p>
    <w:p>
      <w:pPr>
        <w:pageBreakBefore w:val="0"/>
        <w:kinsoku/>
        <w:wordWrap/>
        <w:overflowPunct/>
        <w:topLinePunct w:val="0"/>
        <w:autoSpaceDE/>
        <w:autoSpaceDN/>
        <w:bidi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2、</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必须使用简体中文,</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中若有英文或其他语言文字的资料，应翻译成中文。</w:t>
      </w:r>
    </w:p>
    <w:p>
      <w:pPr>
        <w:pageBreakBefore w:val="0"/>
        <w:kinsoku/>
        <w:wordWrap/>
        <w:overflowPunct/>
        <w:topLinePunct w:val="0"/>
        <w:autoSpaceDE/>
        <w:autoSpaceDN/>
        <w:bidi w:val="0"/>
        <w:snapToGrid w:val="0"/>
        <w:spacing w:line="360" w:lineRule="auto"/>
        <w:ind w:firstLine="537" w:firstLineChars="1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3、度量单位除</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技术规格中另有规定外均采用中华人民共和国法定的计量单位。</w:t>
      </w:r>
    </w:p>
    <w:p>
      <w:pPr>
        <w:pageBreakBefore w:val="0"/>
        <w:kinsoku/>
        <w:wordWrap/>
        <w:overflowPunct/>
        <w:topLinePunct w:val="0"/>
        <w:autoSpaceDE/>
        <w:autoSpaceDN/>
        <w:bidi w:val="0"/>
        <w:snapToGrid w:val="0"/>
        <w:spacing w:line="360" w:lineRule="auto"/>
        <w:ind w:firstLine="560" w:firstLineChars="200"/>
        <w:rPr>
          <w:rFonts w:hint="eastAsia" w:ascii="宋体" w:hAnsi="宋体" w:eastAsia="宋体" w:cs="宋体"/>
          <w:color w:val="auto"/>
          <w:sz w:val="28"/>
          <w:szCs w:val="28"/>
          <w:highlight w:val="none"/>
        </w:rPr>
      </w:pPr>
      <w:bookmarkStart w:id="34" w:name="_Toc14269"/>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应以A4规格的纸张打印。</w:t>
      </w:r>
      <w:bookmarkEnd w:id="34"/>
    </w:p>
    <w:p>
      <w:pPr>
        <w:pageBreakBefore w:val="0"/>
        <w:kinsoku/>
        <w:wordWrap/>
        <w:overflowPunct/>
        <w:topLinePunct w:val="0"/>
        <w:autoSpaceDE/>
        <w:autoSpaceDN/>
        <w:bidi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应将</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装订成册，并编排目录、标明连续页码。</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6、</w:t>
      </w:r>
      <w:r>
        <w:rPr>
          <w:rFonts w:hint="eastAsia" w:ascii="宋体" w:hAnsi="宋体" w:cs="宋体"/>
          <w:color w:val="auto"/>
          <w:sz w:val="28"/>
          <w:szCs w:val="28"/>
          <w:highlight w:val="none"/>
          <w:lang w:eastAsia="zh-CN"/>
        </w:rPr>
        <w:t>响应文件</w:t>
      </w:r>
      <w:r>
        <w:rPr>
          <w:rFonts w:hint="eastAsia" w:ascii="宋体" w:hAnsi="宋体" w:eastAsia="宋体" w:cs="宋体"/>
          <w:color w:val="auto"/>
          <w:sz w:val="28"/>
          <w:szCs w:val="28"/>
          <w:highlight w:val="none"/>
        </w:rPr>
        <w:t>应按照</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给出的</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格式按顺序编制。</w:t>
      </w:r>
    </w:p>
    <w:p>
      <w:pPr>
        <w:pStyle w:val="5"/>
        <w:bidi w:val="0"/>
        <w:spacing w:line="360" w:lineRule="auto"/>
        <w:rPr>
          <w:rFonts w:hint="eastAsia"/>
        </w:rPr>
      </w:pPr>
      <w:bookmarkStart w:id="35" w:name="_Toc6752"/>
      <w:r>
        <w:rPr>
          <w:rFonts w:hint="eastAsia"/>
        </w:rPr>
        <w:t>（四）磋商报价</w:t>
      </w:r>
      <w:bookmarkEnd w:id="35"/>
    </w:p>
    <w:p>
      <w:pPr>
        <w:pageBreakBefore w:val="0"/>
        <w:kinsoku/>
        <w:wordWrap/>
        <w:overflowPunct/>
        <w:topLinePunct w:val="0"/>
        <w:autoSpaceDE/>
        <w:autoSpaceDN/>
        <w:bidi w:val="0"/>
        <w:spacing w:line="360" w:lineRule="auto"/>
        <w:ind w:firstLine="537" w:firstLineChars="1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1、磋商报价以人民币报价，供应商在填写磋商报价时，金额单位要统一，数字、文字要清晰。                </w:t>
      </w:r>
    </w:p>
    <w:p>
      <w:pPr>
        <w:pageBreakBefore w:val="0"/>
        <w:kinsoku/>
        <w:wordWrap/>
        <w:overflowPunct/>
        <w:topLinePunct w:val="0"/>
        <w:autoSpaceDE/>
        <w:autoSpaceDN/>
        <w:bidi w:val="0"/>
        <w:spacing w:line="360" w:lineRule="auto"/>
        <w:ind w:firstLine="537" w:firstLineChars="1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2、总磋商报价等于各分项报价与各项费用之和，不得采用总价下浮的方式。</w:t>
      </w:r>
    </w:p>
    <w:p>
      <w:pPr>
        <w:pageBreakBefore w:val="0"/>
        <w:kinsoku/>
        <w:wordWrap/>
        <w:overflowPunct/>
        <w:topLinePunct w:val="0"/>
        <w:autoSpaceDE/>
        <w:autoSpaceDN/>
        <w:bidi w:val="0"/>
        <w:spacing w:line="360" w:lineRule="auto"/>
        <w:ind w:firstLine="540" w:firstLineChars="192"/>
        <w:rPr>
          <w:rFonts w:hint="eastAsia" w:ascii="宋体" w:hAnsi="宋体" w:eastAsia="宋体" w:cs="宋体"/>
          <w:b/>
          <w:bCs/>
          <w:color w:val="auto"/>
          <w:sz w:val="28"/>
          <w:szCs w:val="28"/>
          <w:highlight w:val="none"/>
        </w:rPr>
      </w:pPr>
      <w:bookmarkStart w:id="36" w:name="_Toc24614"/>
      <w:r>
        <w:rPr>
          <w:rFonts w:hint="eastAsia" w:ascii="宋体" w:hAnsi="宋体" w:eastAsia="宋体" w:cs="宋体"/>
          <w:b/>
          <w:bCs/>
          <w:color w:val="auto"/>
          <w:sz w:val="28"/>
          <w:szCs w:val="28"/>
          <w:highlight w:val="none"/>
        </w:rPr>
        <w:t>3、最高限价</w:t>
      </w:r>
      <w:bookmarkEnd w:id="36"/>
    </w:p>
    <w:p>
      <w:pPr>
        <w:pageBreakBefore w:val="0"/>
        <w:kinsoku/>
        <w:wordWrap/>
        <w:overflowPunct/>
        <w:topLinePunct w:val="0"/>
        <w:autoSpaceDE/>
        <w:autoSpaceDN/>
        <w:bidi w:val="0"/>
        <w:spacing w:line="360" w:lineRule="auto"/>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供应商报价超出</w:t>
      </w:r>
      <w:r>
        <w:rPr>
          <w:rFonts w:hint="eastAsia" w:ascii="宋体" w:hAnsi="宋体" w:cs="宋体"/>
          <w:b/>
          <w:bCs/>
          <w:sz w:val="28"/>
          <w:szCs w:val="28"/>
          <w:highlight w:val="none"/>
          <w:lang w:eastAsia="zh-CN"/>
        </w:rPr>
        <w:t>最高限价</w:t>
      </w:r>
      <w:r>
        <w:rPr>
          <w:rFonts w:hint="eastAsia" w:ascii="宋体" w:hAnsi="宋体" w:eastAsia="宋体" w:cs="宋体"/>
          <w:b/>
          <w:bCs/>
          <w:sz w:val="28"/>
          <w:szCs w:val="28"/>
          <w:highlight w:val="none"/>
        </w:rPr>
        <w:t>，作为不实质性响应竞争性磋商文件，按无效磋商处理。</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cs="宋体"/>
          <w:color w:val="auto"/>
          <w:sz w:val="28"/>
          <w:szCs w:val="28"/>
          <w:highlight w:val="none"/>
          <w:lang w:eastAsia="zh-CN"/>
        </w:rPr>
        <w:t>磋商</w:t>
      </w:r>
      <w:r>
        <w:rPr>
          <w:rFonts w:hint="eastAsia" w:ascii="宋体" w:hAnsi="宋体" w:eastAsia="宋体" w:cs="宋体"/>
          <w:color w:val="auto"/>
          <w:sz w:val="28"/>
          <w:szCs w:val="28"/>
          <w:highlight w:val="none"/>
        </w:rPr>
        <w:t>报价中不得包含</w:t>
      </w:r>
      <w:r>
        <w:rPr>
          <w:rFonts w:hint="eastAsia" w:ascii="宋体" w:hAnsi="宋体" w:eastAsia="宋体" w:cs="宋体"/>
          <w:color w:val="auto"/>
          <w:sz w:val="28"/>
          <w:szCs w:val="28"/>
          <w:highlight w:val="none"/>
          <w:lang w:eastAsia="zh-CN"/>
        </w:rPr>
        <w:t>竞争性磋商文件</w:t>
      </w:r>
      <w:r>
        <w:rPr>
          <w:rFonts w:hint="eastAsia" w:ascii="宋体" w:hAnsi="宋体" w:eastAsia="宋体" w:cs="宋体"/>
          <w:color w:val="auto"/>
          <w:sz w:val="28"/>
          <w:szCs w:val="28"/>
          <w:highlight w:val="none"/>
        </w:rPr>
        <w:t>要求以外的内容，否则，在评标时不予核减，但在授予合同时，</w:t>
      </w: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rPr>
        <w:t>有权将这部分价格从其</w:t>
      </w:r>
      <w:r>
        <w:rPr>
          <w:rFonts w:hint="eastAsia" w:ascii="宋体" w:hAnsi="宋体" w:eastAsia="宋体" w:cs="宋体"/>
          <w:color w:val="auto"/>
          <w:sz w:val="28"/>
          <w:szCs w:val="28"/>
          <w:highlight w:val="none"/>
          <w:lang w:eastAsia="zh-CN"/>
        </w:rPr>
        <w:t>成交</w:t>
      </w:r>
      <w:r>
        <w:rPr>
          <w:rFonts w:hint="eastAsia" w:ascii="宋体" w:hAnsi="宋体" w:eastAsia="宋体" w:cs="宋体"/>
          <w:color w:val="auto"/>
          <w:sz w:val="28"/>
          <w:szCs w:val="28"/>
          <w:highlight w:val="none"/>
        </w:rPr>
        <w:t>价格中扣除。</w:t>
      </w:r>
    </w:p>
    <w:p>
      <w:pPr>
        <w:pageBreakBefore w:val="0"/>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总投标价中不得缺漏竞争性磋商文件所要求的内容，否则，评标时将有效投标中该项内容的最高价计入其评标总价，但在授予合同时，缺漏项目的报价视作已含在其他项目的报价中，这些项目将作为免费赠送而包含在合同内。</w:t>
      </w:r>
    </w:p>
    <w:p>
      <w:pPr>
        <w:pStyle w:val="5"/>
        <w:bidi w:val="0"/>
        <w:spacing w:line="360" w:lineRule="auto"/>
        <w:rPr>
          <w:rFonts w:hint="eastAsia"/>
        </w:rPr>
      </w:pPr>
      <w:bookmarkStart w:id="37" w:name="_Toc23540"/>
      <w:r>
        <w:rPr>
          <w:rFonts w:hint="eastAsia"/>
        </w:rPr>
        <w:t>（五）磋商担保</w:t>
      </w:r>
      <w:bookmarkEnd w:id="37"/>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eastAsia="宋体" w:cs="宋体"/>
          <w:color w:val="auto"/>
          <w:kern w:val="21"/>
          <w:sz w:val="28"/>
          <w:szCs w:val="28"/>
          <w:highlight w:val="none"/>
        </w:rPr>
        <w:t>1、担保方式：见供应商须知前附表。</w:t>
      </w:r>
      <w:r>
        <w:rPr>
          <w:rFonts w:hint="eastAsia" w:ascii="宋体" w:hAnsi="宋体" w:eastAsia="宋体" w:cs="宋体"/>
          <w:color w:val="auto"/>
          <w:kern w:val="21"/>
          <w:sz w:val="28"/>
          <w:szCs w:val="28"/>
          <w:highlight w:val="none"/>
        </w:rPr>
        <w:tab/>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eastAsia="宋体" w:cs="宋体"/>
          <w:color w:val="auto"/>
          <w:kern w:val="21"/>
          <w:sz w:val="28"/>
          <w:szCs w:val="28"/>
          <w:highlight w:val="none"/>
        </w:rPr>
        <w:t>2、磋商担保递交截止时间：见供应商须知前附表。</w:t>
      </w:r>
    </w:p>
    <w:p>
      <w:pPr>
        <w:pageBreakBefore w:val="0"/>
        <w:kinsoku/>
        <w:wordWrap/>
        <w:overflowPunct/>
        <w:topLinePunct w:val="0"/>
        <w:autoSpaceDE/>
        <w:autoSpaceDN/>
        <w:bidi w:val="0"/>
        <w:spacing w:line="360" w:lineRule="auto"/>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 xml:space="preserve">    </w:t>
      </w:r>
      <w:r>
        <w:rPr>
          <w:rFonts w:hint="eastAsia" w:ascii="宋体" w:hAnsi="宋体" w:eastAsia="宋体" w:cs="宋体"/>
          <w:color w:val="auto"/>
          <w:kern w:val="21"/>
          <w:sz w:val="28"/>
          <w:szCs w:val="28"/>
          <w:highlight w:val="none"/>
        </w:rPr>
        <w:t>3、供应商磋商时，必须以磋商文件规定的方式提交磋商担保，并作为其磋商的一部分。磋商现场不办理磋商担保收取事宜。若未在磋商担保递交截止时间收到足额磋商保证金或有效磋商担保函的，或未在磋商响应文件中附磋商担保凭证的，其磋商无效。</w:t>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bookmarkStart w:id="38" w:name="_Toc32408"/>
      <w:r>
        <w:rPr>
          <w:rFonts w:hint="eastAsia" w:ascii="宋体" w:hAnsi="宋体" w:eastAsia="宋体" w:cs="宋体"/>
          <w:color w:val="auto"/>
          <w:kern w:val="21"/>
          <w:sz w:val="28"/>
          <w:szCs w:val="28"/>
          <w:highlight w:val="none"/>
        </w:rPr>
        <w:t>4、退还磋商保证金：</w:t>
      </w:r>
      <w:bookmarkEnd w:id="38"/>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4-1</w:t>
      </w:r>
      <w:r>
        <w:rPr>
          <w:rFonts w:hint="eastAsia" w:ascii="宋体" w:hAnsi="宋体" w:eastAsia="宋体" w:cs="宋体"/>
          <w:color w:val="auto"/>
          <w:kern w:val="21"/>
          <w:sz w:val="28"/>
          <w:szCs w:val="28"/>
          <w:highlight w:val="none"/>
        </w:rPr>
        <w:t>在磋商截止时间前撤回已提交磋商响应文件的供应商的磋商保证金，将在采购代理机构收到供应商书面撤回通知之日起5个工作日内退还（无息）。</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4-2</w:t>
      </w:r>
      <w:r>
        <w:rPr>
          <w:rFonts w:hint="eastAsia" w:ascii="宋体" w:hAnsi="宋体" w:eastAsia="宋体" w:cs="宋体"/>
          <w:color w:val="auto"/>
          <w:kern w:val="21"/>
          <w:sz w:val="28"/>
          <w:szCs w:val="28"/>
          <w:highlight w:val="none"/>
        </w:rPr>
        <w:t>所有未成交供应商的磋商保证金，将在成交通知书发出5个工作日后退还（无息）。</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4-3</w:t>
      </w:r>
      <w:r>
        <w:rPr>
          <w:rFonts w:hint="eastAsia" w:ascii="宋体" w:hAnsi="宋体" w:eastAsia="宋体" w:cs="宋体"/>
          <w:color w:val="auto"/>
          <w:kern w:val="21"/>
          <w:sz w:val="28"/>
          <w:szCs w:val="28"/>
          <w:highlight w:val="none"/>
        </w:rPr>
        <w:t>成交供应商的磋商保证金，将在签订合同后5个工作日内执合同予以退还（无息）。</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w:t>
      </w:r>
      <w:r>
        <w:rPr>
          <w:rFonts w:hint="eastAsia" w:ascii="宋体" w:hAnsi="宋体" w:eastAsia="宋体" w:cs="宋体"/>
          <w:color w:val="auto"/>
          <w:kern w:val="21"/>
          <w:sz w:val="28"/>
          <w:szCs w:val="28"/>
          <w:highlight w:val="none"/>
        </w:rPr>
        <w:t>、发生下列情况之一时，磋商保证金将不予退还，提供担保函的供应商将由专业担保机构先行偿付采购人损失：</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5-1</w:t>
      </w:r>
      <w:r>
        <w:rPr>
          <w:rFonts w:hint="eastAsia" w:ascii="宋体" w:hAnsi="宋体" w:eastAsia="宋体" w:cs="宋体"/>
          <w:color w:val="auto"/>
          <w:kern w:val="21"/>
          <w:sz w:val="28"/>
          <w:szCs w:val="28"/>
          <w:highlight w:val="none"/>
        </w:rPr>
        <w:t>供应商提供虚假资质谋取成交的；</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5-2</w:t>
      </w:r>
      <w:r>
        <w:rPr>
          <w:rFonts w:hint="eastAsia" w:ascii="宋体" w:hAnsi="宋体" w:eastAsia="宋体" w:cs="宋体"/>
          <w:color w:val="auto"/>
          <w:kern w:val="21"/>
          <w:sz w:val="28"/>
          <w:szCs w:val="28"/>
          <w:highlight w:val="none"/>
        </w:rPr>
        <w:t>供应商有围标、串标现象，经查证属实的；</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5-3</w:t>
      </w:r>
      <w:r>
        <w:rPr>
          <w:rFonts w:hint="eastAsia" w:ascii="宋体" w:hAnsi="宋体" w:eastAsia="宋体" w:cs="宋体"/>
          <w:color w:val="auto"/>
          <w:kern w:val="21"/>
          <w:sz w:val="28"/>
          <w:szCs w:val="28"/>
          <w:highlight w:val="none"/>
        </w:rPr>
        <w:t>供应商在该项目磋商期间擅自退出磋商活动的；</w:t>
      </w:r>
    </w:p>
    <w:p>
      <w:pPr>
        <w:pageBreakBefore w:val="0"/>
        <w:kinsoku/>
        <w:wordWrap/>
        <w:overflowPunct/>
        <w:topLinePunct w:val="0"/>
        <w:autoSpaceDE/>
        <w:autoSpaceDN/>
        <w:bidi w:val="0"/>
        <w:spacing w:line="360" w:lineRule="auto"/>
        <w:ind w:firstLine="560" w:firstLineChars="200"/>
        <w:jc w:val="left"/>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5-4</w:t>
      </w:r>
      <w:r>
        <w:rPr>
          <w:rFonts w:hint="eastAsia" w:ascii="宋体" w:hAnsi="宋体" w:eastAsia="宋体" w:cs="宋体"/>
          <w:color w:val="auto"/>
          <w:kern w:val="21"/>
          <w:sz w:val="28"/>
          <w:szCs w:val="28"/>
          <w:highlight w:val="none"/>
        </w:rPr>
        <w:t>磋商截止时间后供应商撤销磋商响应文件的；</w:t>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5-5</w:t>
      </w:r>
      <w:r>
        <w:rPr>
          <w:rFonts w:hint="eastAsia" w:ascii="宋体" w:hAnsi="宋体" w:eastAsia="宋体" w:cs="宋体"/>
          <w:color w:val="auto"/>
          <w:kern w:val="21"/>
          <w:sz w:val="28"/>
          <w:szCs w:val="28"/>
          <w:highlight w:val="none"/>
        </w:rPr>
        <w:t>供应商自行放弃成交资格的；</w:t>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5-6</w:t>
      </w:r>
      <w:r>
        <w:rPr>
          <w:rFonts w:hint="eastAsia" w:ascii="宋体" w:hAnsi="宋体" w:eastAsia="宋体" w:cs="宋体"/>
          <w:color w:val="auto"/>
          <w:kern w:val="21"/>
          <w:sz w:val="28"/>
          <w:szCs w:val="28"/>
          <w:highlight w:val="none"/>
        </w:rPr>
        <w:t>成交供应商不在规定的时效内领取《成交通知书》的；</w:t>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5-7</w:t>
      </w:r>
      <w:r>
        <w:rPr>
          <w:rFonts w:hint="eastAsia" w:ascii="宋体" w:hAnsi="宋体" w:eastAsia="宋体" w:cs="宋体"/>
          <w:color w:val="auto"/>
          <w:kern w:val="21"/>
          <w:sz w:val="28"/>
          <w:szCs w:val="28"/>
          <w:highlight w:val="none"/>
        </w:rPr>
        <w:t>成交供应商不按规定支付磋商服务费的；</w:t>
      </w:r>
    </w:p>
    <w:p>
      <w:pPr>
        <w:pageBreakBefore w:val="0"/>
        <w:kinsoku/>
        <w:wordWrap/>
        <w:overflowPunct/>
        <w:topLinePunct w:val="0"/>
        <w:autoSpaceDE/>
        <w:autoSpaceDN/>
        <w:bidi w:val="0"/>
        <w:spacing w:line="360" w:lineRule="auto"/>
        <w:ind w:firstLine="560" w:firstLineChars="200"/>
        <w:jc w:val="both"/>
        <w:rPr>
          <w:rFonts w:hint="eastAsia" w:ascii="宋体" w:hAnsi="宋体" w:eastAsia="宋体" w:cs="宋体"/>
          <w:color w:val="auto"/>
          <w:kern w:val="21"/>
          <w:sz w:val="28"/>
          <w:szCs w:val="28"/>
          <w:highlight w:val="none"/>
        </w:rPr>
      </w:pPr>
      <w:r>
        <w:rPr>
          <w:rFonts w:hint="eastAsia" w:ascii="宋体" w:hAnsi="宋体" w:cs="宋体"/>
          <w:color w:val="auto"/>
          <w:kern w:val="21"/>
          <w:sz w:val="28"/>
          <w:szCs w:val="28"/>
          <w:highlight w:val="none"/>
          <w:lang w:val="en-US" w:eastAsia="zh-CN"/>
        </w:rPr>
        <w:t>5-8</w:t>
      </w:r>
      <w:r>
        <w:rPr>
          <w:rFonts w:hint="eastAsia" w:ascii="宋体" w:hAnsi="宋体" w:eastAsia="宋体" w:cs="宋体"/>
          <w:color w:val="auto"/>
          <w:kern w:val="21"/>
          <w:sz w:val="28"/>
          <w:szCs w:val="28"/>
          <w:highlight w:val="none"/>
        </w:rPr>
        <w:t>成交供应商因自身原因未能在规定期限内与采购人签订合同的。</w:t>
      </w:r>
    </w:p>
    <w:p>
      <w:pPr>
        <w:pStyle w:val="5"/>
        <w:bidi w:val="0"/>
        <w:spacing w:line="360" w:lineRule="auto"/>
        <w:rPr>
          <w:rFonts w:hint="eastAsia"/>
        </w:rPr>
      </w:pPr>
      <w:bookmarkStart w:id="39" w:name="_Toc7217"/>
      <w:r>
        <w:rPr>
          <w:rFonts w:hint="eastAsia"/>
        </w:rPr>
        <w:t>（六）磋商有效期</w:t>
      </w:r>
      <w:bookmarkEnd w:id="39"/>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red"/>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的磋商有效期</w:t>
      </w:r>
      <w:r>
        <w:rPr>
          <w:rFonts w:hint="eastAsia" w:ascii="宋体" w:hAnsi="宋体" w:eastAsia="宋体" w:cs="宋体"/>
          <w:color w:val="auto"/>
          <w:sz w:val="28"/>
          <w:szCs w:val="28"/>
          <w:highlight w:val="none"/>
          <w:lang w:eastAsia="zh-CN"/>
        </w:rPr>
        <w:t>：磋商截止之日起90天内保持有效（日历天数）</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2、在特殊情况下，在原投标有效期届满之前，采购人可征得</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的同意延长投标有效期。这种要求与答复均应采用书面形式。</w:t>
      </w:r>
    </w:p>
    <w:p>
      <w:pPr>
        <w:pStyle w:val="5"/>
        <w:bidi w:val="0"/>
        <w:spacing w:line="360" w:lineRule="auto"/>
        <w:rPr>
          <w:rFonts w:hint="eastAsia"/>
        </w:rPr>
      </w:pPr>
      <w:bookmarkStart w:id="40" w:name="_Toc7111"/>
      <w:r>
        <w:rPr>
          <w:rFonts w:hint="eastAsia"/>
        </w:rPr>
        <w:t>（七）</w:t>
      </w:r>
      <w:r>
        <w:rPr>
          <w:rFonts w:hint="eastAsia"/>
          <w:lang w:eastAsia="zh-CN"/>
        </w:rPr>
        <w:t>竞争性磋商响应文件</w:t>
      </w:r>
      <w:r>
        <w:rPr>
          <w:rFonts w:hint="eastAsia"/>
        </w:rPr>
        <w:t>的正本和副本要求</w:t>
      </w:r>
      <w:bookmarkEnd w:id="40"/>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应按照要求，准备正本一份、副本二份</w:t>
      </w:r>
      <w:r>
        <w:rPr>
          <w:rFonts w:hint="eastAsia" w:ascii="宋体" w:hAnsi="宋体" w:eastAsia="宋体" w:cs="宋体"/>
          <w:color w:val="auto"/>
          <w:sz w:val="28"/>
          <w:szCs w:val="28"/>
          <w:highlight w:val="none"/>
          <w:lang w:eastAsia="zh-CN"/>
        </w:rPr>
        <w:t>、电子文件</w:t>
      </w:r>
      <w:r>
        <w:rPr>
          <w:rFonts w:hint="eastAsia" w:ascii="宋体" w:hAnsi="宋体" w:eastAsia="宋体" w:cs="宋体"/>
          <w:color w:val="auto"/>
          <w:sz w:val="28"/>
          <w:szCs w:val="28"/>
          <w:highlight w:val="none"/>
        </w:rPr>
        <w:t>(（U盘或移动硬盘，谢绝光盘）一份)，每份</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须清楚地标明“正本”或“副本”字样。一旦正本和副本不符，以正本为准。</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的正本按照要求签署和盖章后，</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的副本可以复印（不包括</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的封面）但必须加盖</w:t>
      </w:r>
      <w:r>
        <w:rPr>
          <w:rFonts w:hint="eastAsia" w:ascii="宋体" w:hAnsi="宋体" w:cs="宋体"/>
          <w:color w:val="auto"/>
          <w:sz w:val="28"/>
          <w:szCs w:val="28"/>
          <w:highlight w:val="none"/>
          <w:lang w:eastAsia="zh-CN"/>
        </w:rPr>
        <w:t>公</w:t>
      </w:r>
      <w:r>
        <w:rPr>
          <w:rFonts w:hint="eastAsia" w:ascii="宋体" w:hAnsi="宋体" w:eastAsia="宋体" w:cs="宋体"/>
          <w:color w:val="auto"/>
          <w:sz w:val="28"/>
          <w:szCs w:val="28"/>
          <w:highlight w:val="none"/>
        </w:rPr>
        <w:t>章，但正本和副本的内容必须相同。</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不论是书写、打印或复制，均应做到清晰、整洁、规范。</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递交的</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（包括正本、所有副本）均不退还，请</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自行做好备份。</w:t>
      </w:r>
    </w:p>
    <w:p>
      <w:pPr>
        <w:pStyle w:val="5"/>
        <w:bidi w:val="0"/>
        <w:spacing w:line="360" w:lineRule="auto"/>
        <w:rPr>
          <w:rFonts w:hint="eastAsia"/>
        </w:rPr>
      </w:pPr>
      <w:bookmarkStart w:id="41" w:name="_Toc23906"/>
      <w:r>
        <w:rPr>
          <w:rFonts w:hint="eastAsia"/>
        </w:rPr>
        <w:t>（八）</w:t>
      </w:r>
      <w:r>
        <w:rPr>
          <w:rFonts w:hint="eastAsia"/>
          <w:lang w:eastAsia="zh-CN"/>
        </w:rPr>
        <w:t>竞争性磋商响应文件</w:t>
      </w:r>
      <w:r>
        <w:rPr>
          <w:rFonts w:hint="eastAsia"/>
        </w:rPr>
        <w:t>的签署、盖章</w:t>
      </w:r>
      <w:bookmarkEnd w:id="41"/>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在竞争性磋商文件给出的响应文件格式中，凡是标明由供应商盖章的地方，竞争性磋商响应文件都必须加盖供应商统一对外的公章，竞争性磋商响应文件加盖骑缝章；凡是标明由法定代表人或委托代理人签字或盖章的，签署姓名全称或加盖私章。竞争性磋商响应文件封套上有明确规定的必须由法定代表人或委托代理人签字或盖章。        </w:t>
      </w:r>
    </w:p>
    <w:p>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2、竞争性磋商响应文件不得行间插字、涂改或增删。如有修改错漏处，必须由供应商的法定代表人或其委托代理人签字并加盖供应商公章。</w:t>
      </w:r>
    </w:p>
    <w:p>
      <w:pPr>
        <w:pStyle w:val="5"/>
        <w:bidi w:val="0"/>
        <w:spacing w:line="360" w:lineRule="auto"/>
        <w:rPr>
          <w:rFonts w:hint="eastAsia" w:eastAsia="宋体"/>
          <w:lang w:eastAsia="zh-CN"/>
        </w:rPr>
      </w:pPr>
      <w:bookmarkStart w:id="42" w:name="_Toc2684"/>
      <w:r>
        <w:rPr>
          <w:rFonts w:hint="eastAsia"/>
        </w:rPr>
        <w:t>（九）</w:t>
      </w:r>
      <w:r>
        <w:rPr>
          <w:rFonts w:hint="eastAsia"/>
          <w:lang w:eastAsia="zh-CN"/>
        </w:rPr>
        <w:t>竞争性磋商响应文件</w:t>
      </w:r>
      <w:r>
        <w:rPr>
          <w:rFonts w:hint="eastAsia"/>
        </w:rPr>
        <w:t>的</w:t>
      </w:r>
      <w:bookmarkEnd w:id="42"/>
      <w:r>
        <w:rPr>
          <w:rFonts w:hint="eastAsia"/>
          <w:lang w:eastAsia="zh-CN"/>
        </w:rPr>
        <w:t>递交</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bookmarkStart w:id="43" w:name="_Toc18730"/>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、在投标截止时间后递交的</w:t>
      </w:r>
      <w:r>
        <w:rPr>
          <w:rFonts w:hint="eastAsia" w:ascii="宋体" w:hAnsi="宋体" w:eastAsia="宋体" w:cs="宋体"/>
          <w:color w:val="auto"/>
          <w:sz w:val="28"/>
          <w:szCs w:val="28"/>
          <w:highlight w:val="none"/>
          <w:lang w:eastAsia="zh-CN"/>
        </w:rPr>
        <w:t>竞争性磋商响应文件</w:t>
      </w:r>
      <w:r>
        <w:rPr>
          <w:rFonts w:hint="eastAsia" w:ascii="宋体" w:hAnsi="宋体" w:eastAsia="宋体" w:cs="宋体"/>
          <w:color w:val="auto"/>
          <w:sz w:val="28"/>
          <w:szCs w:val="28"/>
          <w:highlight w:val="none"/>
        </w:rPr>
        <w:t>将被拒绝。</w:t>
      </w:r>
      <w:bookmarkEnd w:id="43"/>
    </w:p>
    <w:p>
      <w:pPr>
        <w:pStyle w:val="5"/>
        <w:bidi w:val="0"/>
        <w:spacing w:line="360" w:lineRule="auto"/>
        <w:rPr>
          <w:rFonts w:hint="eastAsia"/>
        </w:rPr>
      </w:pPr>
      <w:bookmarkStart w:id="44" w:name="_Toc24414"/>
      <w:r>
        <w:rPr>
          <w:rFonts w:hint="eastAsia"/>
        </w:rPr>
        <w:t>（十）</w:t>
      </w:r>
      <w:r>
        <w:rPr>
          <w:rFonts w:hint="eastAsia"/>
          <w:lang w:eastAsia="zh-CN"/>
        </w:rPr>
        <w:t>竞争性磋商响应文件</w:t>
      </w:r>
      <w:r>
        <w:rPr>
          <w:rFonts w:hint="eastAsia"/>
        </w:rPr>
        <w:t>的递交</w:t>
      </w:r>
      <w:bookmarkEnd w:id="44"/>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bookmarkStart w:id="45" w:name="_Toc31095"/>
      <w:r>
        <w:rPr>
          <w:rFonts w:hint="eastAsia" w:ascii="宋体" w:hAnsi="宋体" w:eastAsia="宋体" w:cs="宋体"/>
          <w:color w:val="auto"/>
          <w:sz w:val="28"/>
          <w:szCs w:val="28"/>
          <w:highlight w:val="none"/>
        </w:rPr>
        <w:t>投标文件的加密和提交</w:t>
      </w:r>
      <w:bookmarkEnd w:id="45"/>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bookmarkStart w:id="46" w:name="_Toc23229"/>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在生成电子投标文件时，需要使用CA锁对投标文件进行加密。</w:t>
      </w:r>
      <w:bookmarkEnd w:id="46"/>
    </w:p>
    <w:p>
      <w:pPr>
        <w:pageBreakBefore w:val="0"/>
        <w:kinsoku/>
        <w:wordWrap/>
        <w:overflowPunct/>
        <w:topLinePunct w:val="0"/>
        <w:autoSpaceDE/>
        <w:autoSpaceDN/>
        <w:bidi w:val="0"/>
        <w:snapToGrid/>
        <w:spacing w:line="360" w:lineRule="auto"/>
        <w:ind w:firstLine="562"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注意：加密投标文件和开标时解密投标文件应当使用同一CA，否则将会导致解密失败。</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电子投标文件可于提交投标文件截止时间前任意时段，登录</w:t>
      </w:r>
      <w:r>
        <w:rPr>
          <w:rFonts w:hint="eastAsia" w:ascii="宋体" w:hAnsi="宋体" w:eastAsia="宋体" w:cs="宋体"/>
          <w:color w:val="auto"/>
          <w:sz w:val="28"/>
          <w:szCs w:val="28"/>
          <w:highlight w:val="none"/>
          <w:lang w:eastAsia="zh-CN"/>
        </w:rPr>
        <w:t>宝鸡市</w:t>
      </w:r>
      <w:r>
        <w:rPr>
          <w:rFonts w:hint="eastAsia" w:ascii="宋体" w:hAnsi="宋体" w:eastAsia="宋体" w:cs="宋体"/>
          <w:color w:val="auto"/>
          <w:sz w:val="28"/>
          <w:szCs w:val="28"/>
          <w:highlight w:val="none"/>
        </w:rPr>
        <w:t>公共资源交易平台〖首页·〉电子交易平台·〉企业端〗，登录后切换到〖我的项目〗模块下，依次点选〖项目流程·〉项目管理·〉上传响应文件〗，上传加密后的电子投标文件（*.SXSTF）。上传成功后，</w:t>
      </w:r>
      <w:r>
        <w:rPr>
          <w:rFonts w:hint="eastAsia" w:ascii="宋体" w:hAnsi="宋体" w:eastAsia="宋体" w:cs="宋体"/>
          <w:color w:val="auto"/>
          <w:sz w:val="28"/>
          <w:szCs w:val="28"/>
          <w:highlight w:val="none"/>
          <w:lang w:eastAsia="zh-CN"/>
        </w:rPr>
        <w:t>宝鸡市</w:t>
      </w:r>
      <w:r>
        <w:rPr>
          <w:rFonts w:hint="eastAsia" w:ascii="宋体" w:hAnsi="宋体" w:eastAsia="宋体" w:cs="宋体"/>
          <w:color w:val="auto"/>
          <w:sz w:val="28"/>
          <w:szCs w:val="28"/>
          <w:highlight w:val="none"/>
        </w:rPr>
        <w:t>公共资源交易平台政府采购系统将予以记录。</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上传文件有误或需要重新提交的，可先撤销已经上传的文件，然后重新上传新文件</w:t>
      </w:r>
      <w:r>
        <w:rPr>
          <w:rFonts w:hint="eastAsia" w:ascii="宋体" w:hAnsi="宋体" w:cs="宋体"/>
          <w:color w:val="auto"/>
          <w:sz w:val="28"/>
          <w:szCs w:val="28"/>
          <w:highlight w:val="none"/>
          <w:lang w:eastAsia="zh-CN"/>
        </w:rPr>
        <w:t>。</w:t>
      </w:r>
    </w:p>
    <w:p>
      <w:pPr>
        <w:pStyle w:val="5"/>
        <w:bidi w:val="0"/>
        <w:spacing w:line="360" w:lineRule="auto"/>
        <w:rPr>
          <w:rFonts w:hint="eastAsia"/>
          <w:lang w:val="en-US" w:eastAsia="zh-CN"/>
        </w:rPr>
      </w:pPr>
      <w:bookmarkStart w:id="47" w:name="_Toc22225"/>
      <w:bookmarkStart w:id="48" w:name="_Toc4188"/>
      <w:bookmarkStart w:id="49" w:name="_Toc13255"/>
      <w:bookmarkStart w:id="50" w:name="_Toc6472"/>
      <w:bookmarkStart w:id="51" w:name="_Toc29394"/>
      <w:bookmarkStart w:id="52" w:name="_Toc2246"/>
      <w:bookmarkStart w:id="53" w:name="_Toc5933"/>
      <w:bookmarkStart w:id="54" w:name="_Toc19755"/>
      <w:r>
        <w:rPr>
          <w:rFonts w:hint="eastAsia"/>
          <w:lang w:val="en-US" w:eastAsia="zh-CN"/>
        </w:rPr>
        <w:t>（十一）磋商方法及程序</w:t>
      </w:r>
      <w:bookmarkEnd w:id="47"/>
      <w:bookmarkEnd w:id="48"/>
      <w:bookmarkEnd w:id="49"/>
      <w:bookmarkEnd w:id="50"/>
      <w:bookmarkEnd w:id="51"/>
      <w:bookmarkEnd w:id="52"/>
      <w:bookmarkEnd w:id="53"/>
      <w:bookmarkEnd w:id="54"/>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（一）</w:t>
      </w:r>
      <w:r>
        <w:rPr>
          <w:rFonts w:hint="eastAsia" w:ascii="宋体" w:hAnsi="宋体" w:eastAsia="宋体" w:cs="宋体"/>
          <w:color w:val="auto"/>
          <w:sz w:val="28"/>
          <w:szCs w:val="28"/>
          <w:highlight w:val="none"/>
          <w:lang w:val="en-US" w:eastAsia="zh-CN"/>
        </w:rPr>
        <w:t>评审原则</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依据《中华人民共和国政府采购法》、《政府采购竞争性磋商采购方式管理暂行办法》及有关法律、法规，坚持公平、公正、科学、择优，禁止不正当竞争，进行竞争性磋商，依法组建磋商小组成员，磋商小组成员在陕西省政府采购专家库随机抽取，由采购人代表及专家组成，成员人数为3人以上单数(至少3人)。在满足《竞争性磋商文件》要求的前提下，对供应商磋商响应文件能否最大限度地满足磋商文件中规定的各项要求和评价标准进行评审、比较、评分，总分由高到低确定成交候选人。</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）磋商方法：综合评分法。</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响应文件满足磋商文件全部实质性要求且按照评审因素的量化指标评审得分最高的供应商为成交候选人。</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）磋商程序：</w:t>
      </w:r>
      <w:r>
        <w:rPr>
          <w:rFonts w:hint="eastAsia" w:ascii="宋体" w:hAnsi="宋体" w:eastAsia="宋体" w:cs="宋体"/>
          <w:color w:val="auto"/>
          <w:sz w:val="28"/>
          <w:szCs w:val="28"/>
          <w:highlight w:val="none"/>
          <w:lang w:val="zh-CN"/>
        </w:rPr>
        <w:t>磋商的全过程分为不公布第一次磋商报价、供应商符合性及有效性、磋商过程、磋商承诺、第二次报价、综合评审等阶段。</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1、第一次报价：记录将各供应商的响应文件中的报价、</w:t>
      </w:r>
      <w:r>
        <w:rPr>
          <w:rFonts w:hint="eastAsia" w:ascii="宋体" w:hAnsi="宋体" w:cs="宋体"/>
          <w:color w:val="auto"/>
          <w:sz w:val="28"/>
          <w:szCs w:val="28"/>
          <w:highlight w:val="none"/>
          <w:lang w:val="zh-CN"/>
        </w:rPr>
        <w:t>服务</w:t>
      </w:r>
      <w:r>
        <w:rPr>
          <w:rFonts w:hint="eastAsia" w:ascii="宋体" w:hAnsi="宋体" w:eastAsia="宋体" w:cs="宋体"/>
          <w:color w:val="auto"/>
          <w:sz w:val="28"/>
          <w:szCs w:val="28"/>
          <w:highlight w:val="none"/>
          <w:lang w:val="zh-CN"/>
        </w:rPr>
        <w:t>期等内容，报价不公开。</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2、供应商符合性及有效性：按照采购文件中的要求对各供应商提供的竞争性磋商响应文件进行符合性及有效性审查，对于没有按采购文件要求的供应商，不进入下一步评审程序。</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bookmarkStart w:id="55" w:name="_Toc13379"/>
      <w:r>
        <w:rPr>
          <w:rFonts w:hint="eastAsia" w:ascii="宋体" w:hAnsi="宋体" w:eastAsia="宋体" w:cs="宋体"/>
          <w:color w:val="auto"/>
          <w:sz w:val="28"/>
          <w:szCs w:val="28"/>
          <w:highlight w:val="none"/>
          <w:lang w:val="zh-CN"/>
        </w:rPr>
        <w:t>3、磋商过程</w:t>
      </w:r>
      <w:bookmarkEnd w:id="55"/>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磋商小组在符合性及有效性评审的基础上对各供应商的响应文件认真阅读，并对采购内容、商务报价、</w:t>
      </w:r>
      <w:r>
        <w:rPr>
          <w:rFonts w:hint="eastAsia" w:ascii="宋体" w:hAnsi="宋体" w:cs="宋体"/>
          <w:color w:val="auto"/>
          <w:sz w:val="28"/>
          <w:szCs w:val="28"/>
          <w:highlight w:val="none"/>
          <w:lang w:val="zh-CN"/>
        </w:rPr>
        <w:t>服务方案、履约能力、服务承诺</w:t>
      </w:r>
      <w:r>
        <w:rPr>
          <w:rFonts w:hint="eastAsia" w:ascii="宋体" w:hAnsi="宋体" w:eastAsia="宋体" w:cs="宋体"/>
          <w:color w:val="auto"/>
          <w:sz w:val="28"/>
          <w:szCs w:val="28"/>
          <w:highlight w:val="none"/>
          <w:lang w:val="zh-CN"/>
        </w:rPr>
        <w:t>等内容进行一对一的磋商。各供应商就磋商中的技术、商务、价格、服务等内容按要求进行补充、完善、澄清、承诺，但补充完善的内容必须在其授权范围内。磋商小组以补充、完善后的内容作为评审的依据。</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4、各供应商对磋商小组在磋商过程中的问题予以澄清说明，做出承诺，同时对报价及构成再次进行成本分析、核算，并在此基础上进行二次报价。</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5、磋商小组对各供应商磋商内容进行确认，进行二次报价</w:t>
      </w:r>
      <w:r>
        <w:rPr>
          <w:rFonts w:hint="eastAsia" w:ascii="宋体" w:hAnsi="宋体" w:eastAsia="宋体" w:cs="宋体"/>
          <w:color w:val="auto"/>
          <w:sz w:val="28"/>
          <w:szCs w:val="28"/>
          <w:highlight w:val="none"/>
          <w:lang w:val="zh-CN" w:eastAsia="zh-CN"/>
        </w:rPr>
        <w:t>，</w:t>
      </w:r>
      <w:r>
        <w:rPr>
          <w:rFonts w:hint="eastAsia" w:ascii="宋体" w:hAnsi="宋体" w:eastAsia="宋体" w:cs="宋体"/>
          <w:color w:val="auto"/>
          <w:sz w:val="28"/>
          <w:szCs w:val="28"/>
          <w:highlight w:val="none"/>
          <w:lang w:val="zh-CN"/>
        </w:rPr>
        <w:t>二次报价超过一次报价的，为无效报价，按无效文件处理。</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对所有供应商进行有效性、完整性、符合性审查时，通过必要的澄清，从质量和技术、服务均能满足磋商文件实质性响应要求的基础上，筛选出合格供应商。不合格供应商的响应文件按无效处理，磋商小组要告知有关供应商。</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（2）磋商小组给予所有合格供应商</w:t>
      </w:r>
      <w:r>
        <w:rPr>
          <w:rFonts w:hint="eastAsia" w:ascii="宋体" w:hAnsi="宋体" w:eastAsia="宋体" w:cs="宋体"/>
          <w:color w:val="auto"/>
          <w:sz w:val="28"/>
          <w:szCs w:val="28"/>
          <w:highlight w:val="none"/>
          <w:lang w:eastAsia="zh-CN"/>
        </w:rPr>
        <w:t>一次最后报价（即二次</w:t>
      </w:r>
      <w:r>
        <w:rPr>
          <w:rFonts w:hint="eastAsia" w:ascii="宋体" w:hAnsi="宋体" w:eastAsia="宋体" w:cs="宋体"/>
          <w:color w:val="auto"/>
          <w:sz w:val="28"/>
          <w:szCs w:val="28"/>
          <w:highlight w:val="none"/>
        </w:rPr>
        <w:t>报价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的机会。供应商要以书面形式提交最后报价（各合格供应商的最后报价将作为综合评分法中价格分的计算依据，并由其法定代表人或被授权人签字。已提交响应文件的供应商，在提交最后报价之前，可以根据磋商情况以书面形式退出磋商，集中采购机构将退还其所交纳的磋商保证金。</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6、磋商小组以磋商响应文件、磋商承诺内容、二次报价为依据，按照评审办法，推荐成交候选单位。</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zh-CN"/>
        </w:rPr>
      </w:pPr>
      <w:bookmarkStart w:id="56" w:name="_Toc19517"/>
      <w:r>
        <w:rPr>
          <w:rFonts w:hint="eastAsia" w:ascii="宋体" w:hAnsi="宋体" w:eastAsia="宋体" w:cs="宋体"/>
          <w:color w:val="auto"/>
          <w:sz w:val="28"/>
          <w:szCs w:val="28"/>
          <w:highlight w:val="none"/>
          <w:lang w:val="zh-CN"/>
        </w:rPr>
        <w:t>7、磋商文件的实质性变更</w:t>
      </w:r>
      <w:bookmarkEnd w:id="56"/>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（2）对磋商文件作出的实质性变动是磋商文件的有效组成部分，磋商小组将及时以书面形式同时通知所有参加磋商的供应商。</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（3）供应商应当按照磋商文件的变动情况和磋商小组的要求重新提交响应文件，并由其法定代表人或授权代表签字或者加盖公章。</w:t>
      </w:r>
    </w:p>
    <w:p>
      <w:pPr>
        <w:pStyle w:val="5"/>
        <w:bidi w:val="0"/>
        <w:spacing w:line="360" w:lineRule="auto"/>
        <w:rPr>
          <w:rFonts w:hint="eastAsia"/>
        </w:rPr>
      </w:pPr>
      <w:bookmarkStart w:id="57" w:name="_Toc17229"/>
      <w:r>
        <w:rPr>
          <w:rFonts w:hint="eastAsia"/>
        </w:rPr>
        <w:t>（十</w:t>
      </w:r>
      <w:r>
        <w:rPr>
          <w:rFonts w:hint="eastAsia"/>
          <w:lang w:eastAsia="zh-CN"/>
        </w:rPr>
        <w:t>二</w:t>
      </w:r>
      <w:r>
        <w:rPr>
          <w:rFonts w:hint="eastAsia"/>
        </w:rPr>
        <w:t>）开 标</w:t>
      </w:r>
      <w:bookmarkEnd w:id="57"/>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开标工作由采购代理机构组织实施，整个过程受同级政府采购监管机构的监督、管理。</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本项目电子投标文件在线提交，开标当日供应商法定代表人或其授权代表</w:t>
      </w:r>
      <w:r>
        <w:rPr>
          <w:rFonts w:hint="eastAsia" w:ascii="宋体" w:hAnsi="宋体" w:eastAsia="宋体" w:cs="宋体"/>
          <w:color w:val="auto"/>
          <w:sz w:val="28"/>
          <w:szCs w:val="28"/>
          <w:highlight w:val="none"/>
          <w:lang w:eastAsia="zh-CN"/>
        </w:rPr>
        <w:t>无</w:t>
      </w:r>
      <w:r>
        <w:rPr>
          <w:rFonts w:hint="eastAsia" w:ascii="宋体" w:hAnsi="宋体" w:eastAsia="宋体" w:cs="宋体"/>
          <w:color w:val="auto"/>
          <w:sz w:val="28"/>
          <w:szCs w:val="28"/>
          <w:highlight w:val="none"/>
        </w:rPr>
        <w:t>需到达开标现场。基本流程如下：</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供应商签到：采购代理机构将严格按照招标文件规定的时间和地点组织开标，供应商</w:t>
      </w:r>
      <w:r>
        <w:rPr>
          <w:rFonts w:hint="eastAsia" w:ascii="宋体" w:hAnsi="宋体" w:eastAsia="宋体" w:cs="宋体"/>
          <w:color w:val="auto"/>
          <w:sz w:val="28"/>
          <w:szCs w:val="28"/>
          <w:highlight w:val="none"/>
          <w:lang w:eastAsia="zh-CN"/>
        </w:rPr>
        <w:t>使用</w:t>
      </w:r>
      <w:r>
        <w:rPr>
          <w:rFonts w:hint="eastAsia" w:ascii="宋体" w:hAnsi="宋体" w:eastAsia="宋体" w:cs="宋体"/>
          <w:color w:val="auto"/>
          <w:sz w:val="28"/>
          <w:szCs w:val="28"/>
          <w:highlight w:val="none"/>
        </w:rPr>
        <w:t>加密该投标文件的CA锁</w:t>
      </w:r>
      <w:r>
        <w:rPr>
          <w:rFonts w:hint="eastAsia" w:ascii="宋体" w:hAnsi="宋体" w:eastAsia="宋体" w:cs="宋体"/>
          <w:color w:val="auto"/>
          <w:sz w:val="28"/>
          <w:szCs w:val="28"/>
          <w:highlight w:val="none"/>
          <w:lang w:eastAsia="zh-CN"/>
        </w:rPr>
        <w:t>登录</w:t>
      </w:r>
      <w:r>
        <w:rPr>
          <w:rFonts w:hint="eastAsia" w:ascii="宋体" w:hAnsi="宋体" w:eastAsia="宋体" w:cs="宋体"/>
          <w:color w:val="auto"/>
          <w:sz w:val="28"/>
          <w:szCs w:val="28"/>
          <w:highlight w:val="none"/>
        </w:rPr>
        <w:t>并签到。</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主持人开标：提交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截止时间过后，系统将不再接收任何</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解密投标文件：供应商在收到主持人“开始解密”指令后，应使用“加密该投标文件的CA锁（必须是同一把锁）”完成投标文件解密。除因【</w:t>
      </w:r>
      <w:r>
        <w:rPr>
          <w:rFonts w:hint="eastAsia" w:ascii="宋体" w:hAnsi="宋体" w:eastAsia="宋体" w:cs="宋体"/>
          <w:color w:val="auto"/>
          <w:sz w:val="28"/>
          <w:szCs w:val="28"/>
          <w:highlight w:val="none"/>
          <w:lang w:eastAsia="zh-CN"/>
        </w:rPr>
        <w:t>宝鸡市</w:t>
      </w:r>
      <w:r>
        <w:rPr>
          <w:rFonts w:hint="eastAsia" w:ascii="宋体" w:hAnsi="宋体" w:eastAsia="宋体" w:cs="宋体"/>
          <w:color w:val="auto"/>
          <w:sz w:val="28"/>
          <w:szCs w:val="28"/>
          <w:highlight w:val="none"/>
        </w:rPr>
        <w:t>公共资源交易中心】断电、断网、系统故障及其他不可抗力等因素，导致不见面开标系统无法正常运行外，供应商应在规定的解密时限内完成解密。</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开标结束：进入评审环节。供应商请在</w:t>
      </w:r>
      <w:r>
        <w:rPr>
          <w:rFonts w:hint="eastAsia" w:ascii="宋体" w:hAnsi="宋体" w:eastAsia="宋体" w:cs="宋体"/>
          <w:color w:val="auto"/>
          <w:sz w:val="28"/>
          <w:szCs w:val="28"/>
          <w:highlight w:val="none"/>
          <w:lang w:eastAsia="zh-CN"/>
        </w:rPr>
        <w:t>不见面开标室等待，请勿离开</w:t>
      </w:r>
      <w:r>
        <w:rPr>
          <w:rFonts w:hint="eastAsia" w:ascii="宋体" w:hAnsi="宋体" w:eastAsia="宋体" w:cs="宋体"/>
          <w:color w:val="auto"/>
          <w:sz w:val="28"/>
          <w:szCs w:val="28"/>
          <w:highlight w:val="none"/>
        </w:rPr>
        <w:t>，评审期间评标委员会可能会要求供应商做相应的澄清。因供应商擅自离席造成的不利后果，由供应商自行承担。</w:t>
      </w:r>
    </w:p>
    <w:p>
      <w:pPr>
        <w:pStyle w:val="5"/>
        <w:bidi w:val="0"/>
        <w:spacing w:line="360" w:lineRule="auto"/>
        <w:rPr>
          <w:rFonts w:hint="eastAsia"/>
        </w:rPr>
      </w:pPr>
      <w:r>
        <w:rPr>
          <w:rFonts w:hint="eastAsia"/>
        </w:rPr>
        <w:t>（十</w:t>
      </w:r>
      <w:r>
        <w:rPr>
          <w:rFonts w:hint="eastAsia"/>
          <w:lang w:eastAsia="zh-CN"/>
        </w:rPr>
        <w:t>三</w:t>
      </w:r>
      <w:r>
        <w:rPr>
          <w:rFonts w:hint="eastAsia"/>
        </w:rPr>
        <w:t>）</w:t>
      </w:r>
      <w:r>
        <w:rPr>
          <w:rFonts w:hint="eastAsia"/>
          <w:lang w:eastAsia="zh-CN"/>
        </w:rPr>
        <w:t>评</w:t>
      </w:r>
      <w:r>
        <w:rPr>
          <w:rFonts w:hint="eastAsia"/>
          <w:lang w:val="en-US" w:eastAsia="zh-CN"/>
        </w:rPr>
        <w:t xml:space="preserve"> </w:t>
      </w:r>
      <w:r>
        <w:rPr>
          <w:rFonts w:hint="eastAsia"/>
        </w:rPr>
        <w:t>标</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资格审查</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磋商会议结束后，由</w:t>
      </w:r>
      <w:r>
        <w:rPr>
          <w:rFonts w:hint="eastAsia" w:ascii="宋体" w:hAnsi="宋体" w:cs="宋体"/>
          <w:color w:val="auto"/>
          <w:sz w:val="28"/>
          <w:szCs w:val="28"/>
          <w:highlight w:val="none"/>
          <w:lang w:val="en-US" w:eastAsia="zh-CN"/>
        </w:rPr>
        <w:t>采购人或招标代理机构</w:t>
      </w:r>
      <w:r>
        <w:rPr>
          <w:rFonts w:hint="eastAsia" w:ascii="宋体" w:hAnsi="宋体" w:eastAsia="宋体" w:cs="宋体"/>
          <w:color w:val="auto"/>
          <w:sz w:val="28"/>
          <w:szCs w:val="28"/>
          <w:highlight w:val="none"/>
        </w:rPr>
        <w:t>依法对供应商的资格进行审查，审查合格的供应商方可进入评审阶段，不合格的供应商其磋商响应无效。供应商须在提交磋商响应文件截止时间前提交下述资质证明材料</w:t>
      </w:r>
      <w:r>
        <w:rPr>
          <w:rFonts w:hint="eastAsia" w:ascii="宋体" w:hAnsi="宋体" w:eastAsia="宋体" w:cs="宋体"/>
          <w:color w:val="auto"/>
          <w:sz w:val="28"/>
          <w:szCs w:val="28"/>
          <w:highlight w:val="none"/>
          <w:lang w:eastAsia="zh-CN"/>
        </w:rPr>
        <w:t>或复印件加盖公章</w:t>
      </w:r>
      <w:r>
        <w:rPr>
          <w:rFonts w:hint="eastAsia" w:ascii="宋体" w:hAnsi="宋体" w:eastAsia="宋体" w:cs="宋体"/>
          <w:color w:val="auto"/>
          <w:sz w:val="28"/>
          <w:szCs w:val="28"/>
          <w:highlight w:val="none"/>
        </w:rPr>
        <w:t>，逾期不接受任何补充资料：</w:t>
      </w:r>
    </w:p>
    <w:p>
      <w:pPr>
        <w:pStyle w:val="100"/>
        <w:numPr>
          <w:ilvl w:val="0"/>
          <w:numId w:val="0"/>
        </w:numPr>
        <w:ind w:left="480" w:leftChars="0"/>
        <w:rPr>
          <w:rFonts w:hint="eastAsia" w:ascii="宋体" w:hAnsi="宋体" w:eastAsia="宋体" w:cs="宋体"/>
          <w:sz w:val="28"/>
          <w:szCs w:val="28"/>
          <w:highlight w:val="none"/>
        </w:rPr>
      </w:pPr>
      <w:bookmarkStart w:id="58" w:name="_Toc12045"/>
      <w:bookmarkStart w:id="59" w:name="_Toc450138941"/>
      <w:bookmarkStart w:id="60" w:name="_Toc449368376"/>
      <w:r>
        <w:rPr>
          <w:rFonts w:hint="eastAsia" w:ascii="宋体" w:hAnsi="宋体" w:eastAsia="宋体" w:cs="宋体"/>
          <w:sz w:val="28"/>
          <w:szCs w:val="28"/>
          <w:highlight w:val="none"/>
          <w:lang w:val="en-US" w:eastAsia="zh-Hans"/>
        </w:rPr>
        <w:t>（1）</w:t>
      </w:r>
      <w:r>
        <w:rPr>
          <w:rFonts w:hint="eastAsia" w:ascii="宋体" w:hAnsi="宋体" w:eastAsia="宋体" w:cs="宋体"/>
          <w:sz w:val="28"/>
          <w:szCs w:val="28"/>
          <w:highlight w:val="none"/>
        </w:rPr>
        <w:t>具有独立承担民事责任能力的法人、其他组织或自然人，并出具合法有效的统一社会信用代码的营业执照或事业单位法人证书等国家规定的相关证明,自然人参与的提供其身份证明；</w:t>
      </w:r>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Hans"/>
        </w:rPr>
        <w:t>（2）供应商须具备工程监理综合资质或市政公用工程监理</w:t>
      </w:r>
      <w:r>
        <w:rPr>
          <w:rFonts w:hint="eastAsia" w:ascii="宋体" w:hAnsi="宋体" w:cs="宋体"/>
          <w:sz w:val="28"/>
          <w:szCs w:val="28"/>
          <w:highlight w:val="none"/>
          <w:lang w:val="en-US" w:eastAsia="zh-CN"/>
        </w:rPr>
        <w:t>乙级</w:t>
      </w:r>
      <w:r>
        <w:rPr>
          <w:rFonts w:hint="eastAsia" w:ascii="宋体" w:hAnsi="宋体" w:eastAsia="宋体" w:cs="宋体"/>
          <w:sz w:val="28"/>
          <w:szCs w:val="28"/>
          <w:highlight w:val="none"/>
          <w:lang w:val="en-US" w:eastAsia="zh-Hans"/>
        </w:rPr>
        <w:t>及以上资质；拟派项目总监理工程师须具备国家注册市政公用工程监理工程师执业资格并在本单位注册，且无在监工程（提供无在监承诺书）；</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）财务状况：提供2024年度或2025年度经审计的财务审计报告(成立时间至提交响应文件截止时间不足一年的可提供成立后任意时段的资产负债表)，或其开标前六个月内基本存款账户开户银行出具的资信证明；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）完税证明：提供2025年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月至今已缴纳的至少三个月的纳税证明或完税证明，依法免税的单位应提供相关证明材料；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）社保缴纳情况：提供2025年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）参加本次政府采购活动前三年内，在经营活动中没有重大违法记录声明；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）法定代表人授权书（附法定代表人身份证复印件）及被授权人身份证复印件（法定代表人直接参加磋商只需提供法定代表人身份证复印件加盖公章）；</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不得为“信用中国、中国执行信息公开网”网站中列入失信被执行人和重大税收违法失信主体的供应商，不得为中国政府采购网（www.ccgp.gov.cn）政府采购严重违法失信行为记录名单中被财政部门禁止参加政府采购活动的供应商；</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）磋商担保：须提供磋商保证金交纳凭证（银行汇（存）款回执单）或磋商担保函，复印件须加盖投标人公章；</w:t>
      </w:r>
    </w:p>
    <w:p>
      <w:pPr>
        <w:pStyle w:val="100"/>
        <w:numPr>
          <w:ilvl w:val="0"/>
          <w:numId w:val="0"/>
        </w:numPr>
        <w:ind w:left="480" w:leftChars="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10</w:t>
      </w:r>
      <w:r>
        <w:rPr>
          <w:rFonts w:hint="eastAsia" w:ascii="宋体" w:hAnsi="宋体" w:cs="宋体"/>
          <w:sz w:val="28"/>
          <w:szCs w:val="28"/>
          <w:highlight w:val="none"/>
          <w:lang w:eastAsia="zh-CN"/>
        </w:rPr>
        <w:t>）本项目专门面向中小企业采购(提供中小企业声明函)，非中小企业单位(监狱企业、残疾人福利单位除外)不得参与。</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11</w:t>
      </w:r>
      <w:r>
        <w:rPr>
          <w:rFonts w:hint="eastAsia" w:ascii="宋体" w:hAnsi="宋体" w:cs="宋体"/>
          <w:sz w:val="28"/>
          <w:szCs w:val="28"/>
          <w:highlight w:val="none"/>
          <w:lang w:eastAsia="zh-CN"/>
        </w:rPr>
        <w:t>）单位负责人为同一人或者存在控股、管理关系的不同单位，不得参加同一标段投标或者未划分标段的同一招标项目</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）本项目不接受联合体磋商，提供声明函。</w:t>
      </w:r>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2、符合性审查</w:t>
      </w:r>
      <w:bookmarkEnd w:id="58"/>
    </w:p>
    <w:p>
      <w:pPr>
        <w:pageBreakBefore w:val="0"/>
        <w:kinsoku/>
        <w:wordWrap/>
        <w:overflowPunct/>
        <w:topLinePunct w:val="0"/>
        <w:autoSpaceDE/>
        <w:autoSpaceDN/>
        <w:bidi w:val="0"/>
        <w:snapToGrid/>
        <w:spacing w:line="360" w:lineRule="auto"/>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依据磋商文件的规定，对资格合格者磋商响应文件的完整性、有效性和对磋商文件的响应程度进行审查，以确定是否对磋商文件的实质性内容做出响应，包含但不限于以下内容：</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bookmarkStart w:id="61" w:name="_Toc10924"/>
      <w:r>
        <w:rPr>
          <w:rFonts w:hint="eastAsia" w:ascii="宋体" w:hAnsi="宋体" w:eastAsia="宋体" w:cs="宋体"/>
          <w:color w:val="auto"/>
          <w:sz w:val="28"/>
          <w:szCs w:val="28"/>
          <w:highlight w:val="none"/>
          <w:lang w:val="en-US" w:eastAsia="zh-CN"/>
        </w:rPr>
        <w:t>（1）供应商名称是否与磋商文件的单位名称一致；</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bookmarkStart w:id="62" w:name="OLE_LINK21"/>
      <w:r>
        <w:rPr>
          <w:rFonts w:hint="eastAsia" w:ascii="宋体" w:hAnsi="宋体" w:eastAsia="宋体" w:cs="宋体"/>
          <w:color w:val="auto"/>
          <w:sz w:val="28"/>
          <w:szCs w:val="28"/>
          <w:highlight w:val="none"/>
          <w:lang w:val="en-US" w:eastAsia="zh-CN"/>
        </w:rPr>
        <w:t>电子响应文件的“文件制作机器码”和“文件创建标识码”通过评标系统的雷同性分析；</w:t>
      </w:r>
      <w:bookmarkEnd w:id="62"/>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bookmarkStart w:id="63" w:name="OLE_LINK22"/>
      <w:r>
        <w:rPr>
          <w:rFonts w:hint="eastAsia" w:ascii="宋体" w:hAnsi="宋体" w:eastAsia="宋体" w:cs="宋体"/>
          <w:color w:val="auto"/>
          <w:sz w:val="28"/>
          <w:szCs w:val="28"/>
          <w:highlight w:val="none"/>
          <w:lang w:val="en-US" w:eastAsia="zh-CN"/>
        </w:rPr>
        <w:t>响应文件是否按照磋商文件的要求盖章签字；</w:t>
      </w:r>
      <w:bookmarkEnd w:id="63"/>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bookmarkStart w:id="64" w:name="OLE_LINK16"/>
      <w:r>
        <w:rPr>
          <w:rFonts w:hint="eastAsia" w:ascii="宋体" w:hAnsi="宋体" w:eastAsia="宋体" w:cs="宋体"/>
          <w:color w:val="auto"/>
          <w:sz w:val="28"/>
          <w:szCs w:val="28"/>
          <w:highlight w:val="none"/>
          <w:lang w:val="en-US" w:eastAsia="zh-CN"/>
        </w:rPr>
        <w:t>投标内容是否有重大缺漏项；</w:t>
      </w:r>
      <w:bookmarkEnd w:id="64"/>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bookmarkStart w:id="65" w:name="OLE_LINK23"/>
      <w:r>
        <w:rPr>
          <w:rFonts w:hint="eastAsia" w:ascii="宋体" w:hAnsi="宋体" w:eastAsia="宋体" w:cs="宋体"/>
          <w:color w:val="auto"/>
          <w:sz w:val="28"/>
          <w:szCs w:val="28"/>
          <w:highlight w:val="none"/>
          <w:lang w:val="en-US" w:eastAsia="zh-CN"/>
        </w:rPr>
        <w:t>投标报价是否符合磋商文件要求的</w:t>
      </w:r>
      <w:bookmarkEnd w:id="65"/>
      <w:r>
        <w:rPr>
          <w:rFonts w:hint="eastAsia" w:ascii="宋体" w:hAnsi="宋体" w:eastAsia="宋体" w:cs="宋体"/>
          <w:color w:val="auto"/>
          <w:sz w:val="28"/>
          <w:szCs w:val="28"/>
          <w:highlight w:val="none"/>
          <w:lang w:val="en-US" w:eastAsia="zh-CN"/>
        </w:rPr>
        <w:t>；</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bookmarkStart w:id="66" w:name="OLE_LINK24"/>
      <w:r>
        <w:rPr>
          <w:rFonts w:hint="eastAsia" w:ascii="宋体" w:hAnsi="宋体" w:eastAsia="宋体" w:cs="宋体"/>
          <w:color w:val="auto"/>
          <w:sz w:val="28"/>
          <w:szCs w:val="28"/>
          <w:highlight w:val="none"/>
          <w:lang w:val="en-US" w:eastAsia="zh-CN"/>
        </w:rPr>
        <w:t>投标有效期是否符合磋商文件的要求</w:t>
      </w:r>
      <w:bookmarkEnd w:id="66"/>
      <w:r>
        <w:rPr>
          <w:rFonts w:hint="eastAsia" w:ascii="宋体" w:hAnsi="宋体" w:eastAsia="宋体" w:cs="宋体"/>
          <w:color w:val="auto"/>
          <w:sz w:val="28"/>
          <w:szCs w:val="28"/>
          <w:highlight w:val="none"/>
          <w:lang w:val="en-US" w:eastAsia="zh-CN"/>
        </w:rPr>
        <w:t>；</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w:t>
      </w:r>
      <w:bookmarkStart w:id="67" w:name="OLE_LINK25"/>
      <w:r>
        <w:rPr>
          <w:rFonts w:hint="eastAsia" w:ascii="宋体" w:hAnsi="宋体" w:eastAsia="宋体" w:cs="宋体"/>
          <w:color w:val="auto"/>
          <w:sz w:val="28"/>
          <w:szCs w:val="28"/>
          <w:highlight w:val="none"/>
          <w:lang w:val="en-US" w:eastAsia="zh-CN"/>
        </w:rPr>
        <w:t>对磋商文件商务要求是否作了明确且实质性响应</w:t>
      </w:r>
      <w:bookmarkEnd w:id="67"/>
      <w:r>
        <w:rPr>
          <w:rFonts w:hint="eastAsia" w:ascii="宋体" w:hAnsi="宋体" w:eastAsia="宋体" w:cs="宋体"/>
          <w:color w:val="auto"/>
          <w:sz w:val="28"/>
          <w:szCs w:val="28"/>
          <w:highlight w:val="none"/>
          <w:lang w:val="en-US" w:eastAsia="zh-CN"/>
        </w:rPr>
        <w:t>；</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w:t>
      </w:r>
      <w:bookmarkStart w:id="68" w:name="OLE_LINK26"/>
      <w:r>
        <w:rPr>
          <w:rFonts w:hint="eastAsia" w:ascii="宋体" w:hAnsi="宋体" w:eastAsia="宋体" w:cs="宋体"/>
          <w:color w:val="auto"/>
          <w:sz w:val="28"/>
          <w:szCs w:val="28"/>
          <w:highlight w:val="none"/>
          <w:lang w:val="en-US" w:eastAsia="zh-CN"/>
        </w:rPr>
        <w:t>响应文件是否含有招标人不能接受的附件条件</w:t>
      </w:r>
      <w:bookmarkEnd w:id="68"/>
      <w:r>
        <w:rPr>
          <w:rFonts w:hint="eastAsia" w:ascii="宋体" w:hAnsi="宋体" w:eastAsia="宋体" w:cs="宋体"/>
          <w:color w:val="auto"/>
          <w:sz w:val="28"/>
          <w:szCs w:val="28"/>
          <w:highlight w:val="none"/>
          <w:lang w:val="en-US" w:eastAsia="zh-CN"/>
        </w:rPr>
        <w:t>；</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w:t>
      </w:r>
      <w:bookmarkStart w:id="69" w:name="OLE_LINK27"/>
      <w:r>
        <w:rPr>
          <w:rFonts w:hint="eastAsia" w:ascii="宋体" w:hAnsi="宋体" w:eastAsia="宋体" w:cs="宋体"/>
          <w:color w:val="auto"/>
          <w:sz w:val="28"/>
          <w:szCs w:val="28"/>
          <w:highlight w:val="none"/>
          <w:lang w:val="en-US" w:eastAsia="zh-CN"/>
        </w:rPr>
        <w:t>是否符合法律、法规和磋商文件规定的其他无效投标情形。</w:t>
      </w:r>
      <w:bookmarkEnd w:id="69"/>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、磋商响应文件的澄清</w:t>
      </w:r>
      <w:bookmarkEnd w:id="61"/>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（1）在评审期间,对于竞争性磋商响应文件中含义不明确、同类问题表述不一致或者有明显文字和计算错误的内容，</w:t>
      </w:r>
      <w:r>
        <w:rPr>
          <w:rFonts w:hint="eastAsia" w:ascii="宋体" w:hAnsi="宋体" w:cs="宋体"/>
          <w:color w:val="auto"/>
          <w:sz w:val="28"/>
          <w:szCs w:val="28"/>
          <w:highlight w:val="none"/>
          <w:lang w:eastAsia="zh-CN"/>
        </w:rPr>
        <w:t>磋商小组</w:t>
      </w:r>
      <w:r>
        <w:rPr>
          <w:rFonts w:hint="eastAsia" w:ascii="宋体" w:hAnsi="宋体" w:eastAsia="宋体" w:cs="宋体"/>
          <w:color w:val="auto"/>
          <w:sz w:val="28"/>
          <w:szCs w:val="28"/>
          <w:highlight w:val="none"/>
          <w:lang w:eastAsia="zh-CN"/>
        </w:rPr>
        <w:t>应当以书面形式要求供应商作出必要的澄清、说明或者补正。供应商的澄清、说明或者补正应当采用书面形式，并加盖公章，或者由法定代表人或被授权人签字。供应商的澄清、说明或者补正不得超出竞争性磋商响应文件的范围或者改变竞争性磋商响应文件的实质性内容。</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（2）书写错误的评审标准：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磋商小组</w:t>
      </w:r>
      <w:r>
        <w:rPr>
          <w:rFonts w:hint="eastAsia" w:ascii="宋体" w:hAnsi="宋体" w:eastAsia="宋体" w:cs="宋体"/>
          <w:color w:val="auto"/>
          <w:sz w:val="28"/>
          <w:szCs w:val="28"/>
          <w:highlight w:val="none"/>
          <w:lang w:eastAsia="zh-CN"/>
        </w:rPr>
        <w:t>在评审过程中，发现磋商响应文件出现下列情况之一者，按以下原则修正：</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a、磋商响应文件有关内容与“一览表”不一致的，以“一览表”为准；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b、磋商响应文件大写与小写不一致时，以大写为准；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c、单价乘以数量不等于总价时，以单价乘以数量为准修改总价；单价有明显小数点错误的，以总价为准，并修改单价；</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d、总价金额与按单价汇总金额不一致的，以单价乘以数量的计算结果为准；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e、磋商响应文件图表与文字不符时，以文字为准；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f、磋商响应文件正本与副本不符时，以正本为准；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g、对不同文字文本磋商响应文件的解释发生异议的，以中文文本为准；</w:t>
      </w:r>
    </w:p>
    <w:p>
      <w:pPr>
        <w:pageBreakBefore w:val="0"/>
        <w:kinsoku/>
        <w:wordWrap/>
        <w:overflowPunct/>
        <w:topLinePunct w:val="0"/>
        <w:autoSpaceDE/>
        <w:autoSpaceDN/>
        <w:bidi w:val="0"/>
        <w:snapToGrid/>
        <w:spacing w:line="360" w:lineRule="auto"/>
        <w:ind w:left="0" w:leftChars="0" w:firstLine="560" w:firstLineChars="200"/>
        <w:jc w:val="left"/>
        <w:textAlignment w:val="baseline"/>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h、多处内容交叉不符时，以</w:t>
      </w:r>
      <w:r>
        <w:rPr>
          <w:rFonts w:hint="eastAsia" w:ascii="宋体" w:hAnsi="宋体" w:cs="宋体"/>
          <w:color w:val="auto"/>
          <w:sz w:val="28"/>
          <w:szCs w:val="28"/>
          <w:highlight w:val="none"/>
          <w:lang w:eastAsia="zh-CN"/>
        </w:rPr>
        <w:t>磋商小组</w:t>
      </w:r>
      <w:r>
        <w:rPr>
          <w:rFonts w:hint="eastAsia" w:ascii="宋体" w:hAnsi="宋体" w:eastAsia="宋体" w:cs="宋体"/>
          <w:color w:val="auto"/>
          <w:sz w:val="28"/>
          <w:szCs w:val="28"/>
          <w:highlight w:val="none"/>
          <w:lang w:eastAsia="zh-CN"/>
        </w:rPr>
        <w:t>评审结果为准。</w:t>
      </w:r>
    </w:p>
    <w:p>
      <w:pPr>
        <w:pageBreakBefore w:val="0"/>
        <w:kinsoku/>
        <w:wordWrap/>
        <w:overflowPunct/>
        <w:topLinePunct w:val="0"/>
        <w:bidi w:val="0"/>
        <w:spacing w:line="360" w:lineRule="auto"/>
        <w:ind w:firstLine="551"/>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注：按上述方法修正的内容（其中，同时出现上述a至d两种以上不一致的，按上述规定的顺序修正），经供应商确认后产生约束力，供应商不确认的，其磋商响应无效。</w:t>
      </w:r>
    </w:p>
    <w:p>
      <w:pPr>
        <w:pageBreakBefore w:val="0"/>
        <w:kinsoku/>
        <w:wordWrap/>
        <w:overflowPunct/>
        <w:topLinePunct w:val="0"/>
        <w:bidi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（3）</w:t>
      </w:r>
      <w:r>
        <w:rPr>
          <w:rFonts w:hint="eastAsia" w:ascii="宋体" w:hAnsi="宋体" w:cs="宋体"/>
          <w:bCs/>
          <w:sz w:val="28"/>
          <w:szCs w:val="28"/>
          <w:highlight w:val="none"/>
          <w:lang w:eastAsia="zh-CN"/>
        </w:rPr>
        <w:t>磋商小组</w:t>
      </w:r>
      <w:r>
        <w:rPr>
          <w:rFonts w:hint="eastAsia" w:ascii="宋体" w:hAnsi="宋体" w:eastAsia="宋体" w:cs="宋体"/>
          <w:bCs/>
          <w:sz w:val="28"/>
          <w:szCs w:val="28"/>
          <w:highlight w:val="none"/>
        </w:rPr>
        <w:t>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磋商响应处理。</w:t>
      </w:r>
    </w:p>
    <w:p>
      <w:pPr>
        <w:keepNext w:val="0"/>
        <w:keepLines w:val="0"/>
        <w:pageBreakBefore w:val="0"/>
        <w:widowControl/>
        <w:kinsoku/>
        <w:wordWrap/>
        <w:overflowPunct/>
        <w:topLinePunct w:val="0"/>
        <w:autoSpaceDE/>
        <w:autoSpaceDN/>
        <w:bidi w:val="0"/>
        <w:adjustRightInd/>
        <w:snapToGrid w:val="0"/>
        <w:spacing w:line="360" w:lineRule="auto"/>
        <w:rPr>
          <w:rFonts w:hint="eastAsia"/>
        </w:rPr>
      </w:pPr>
      <w:bookmarkStart w:id="70" w:name="_Toc13529"/>
      <w:r>
        <w:rPr>
          <w:rFonts w:hint="eastAsia"/>
          <w:lang w:val="en-US" w:eastAsia="zh-CN"/>
        </w:rPr>
        <w:t>4</w:t>
      </w:r>
      <w:r>
        <w:rPr>
          <w:rFonts w:hint="eastAsia"/>
          <w:lang w:eastAsia="zh-CN"/>
        </w:rPr>
        <w:t>、</w:t>
      </w:r>
      <w:r>
        <w:rPr>
          <w:rFonts w:hint="eastAsia"/>
        </w:rPr>
        <w:t>评议</w:t>
      </w:r>
      <w:bookmarkEnd w:id="70"/>
    </w:p>
    <w:p>
      <w:pPr>
        <w:keepNext w:val="0"/>
        <w:keepLines w:val="0"/>
        <w:pageBreakBefore w:val="0"/>
        <w:widowControl/>
        <w:kinsoku/>
        <w:wordWrap/>
        <w:overflowPunct/>
        <w:topLinePunct w:val="0"/>
        <w:autoSpaceDE/>
        <w:autoSpaceDN/>
        <w:bidi w:val="0"/>
        <w:adjustRightInd/>
        <w:snapToGrid w:val="0"/>
        <w:spacing w:line="360" w:lineRule="auto"/>
        <w:ind w:firstLine="565"/>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（1）磋商采购形式：采取背对背的磋商采购方式。即</w:t>
      </w:r>
      <w:r>
        <w:rPr>
          <w:rFonts w:hint="eastAsia" w:ascii="宋体" w:hAnsi="宋体" w:cs="宋体"/>
          <w:sz w:val="28"/>
          <w:szCs w:val="28"/>
          <w:highlight w:val="none"/>
          <w:lang w:eastAsia="zh-CN"/>
        </w:rPr>
        <w:t>磋商小组</w:t>
      </w:r>
      <w:r>
        <w:rPr>
          <w:rFonts w:hint="eastAsia" w:ascii="宋体" w:hAnsi="宋体" w:eastAsia="宋体" w:cs="宋体"/>
          <w:sz w:val="28"/>
          <w:szCs w:val="28"/>
          <w:highlight w:val="none"/>
        </w:rPr>
        <w:t>与各供应商分别进行一对一、面对面的磋商。</w:t>
      </w:r>
    </w:p>
    <w:p>
      <w:pPr>
        <w:keepNext w:val="0"/>
        <w:keepLines w:val="0"/>
        <w:pageBreakBefore w:val="0"/>
        <w:widowControl/>
        <w:kinsoku/>
        <w:wordWrap/>
        <w:overflowPunct/>
        <w:topLinePunct w:val="0"/>
        <w:autoSpaceDE/>
        <w:autoSpaceDN/>
        <w:bidi w:val="0"/>
        <w:adjustRightInd/>
        <w:snapToGrid w:val="0"/>
        <w:spacing w:line="360" w:lineRule="auto"/>
        <w:ind w:firstLine="58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（2）通过资质审查、磋商、澄清及承诺等程序且实质性响应磋商文件（资质、技术、商务等）的各供应商，才有再次报价的机会。磋商小组按其最终承诺和报价等，进行综合评比并排序。</w:t>
      </w:r>
    </w:p>
    <w:p>
      <w:pPr>
        <w:keepNext w:val="0"/>
        <w:keepLines w:val="0"/>
        <w:pageBreakBefore w:val="0"/>
        <w:widowControl/>
        <w:kinsoku/>
        <w:wordWrap/>
        <w:overflowPunct/>
        <w:topLinePunct w:val="0"/>
        <w:autoSpaceDE/>
        <w:autoSpaceDN/>
        <w:bidi w:val="0"/>
        <w:adjustRightInd/>
        <w:snapToGrid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（3）评审采取逐项分步评审方式，每一步评审不符合者，不进入下一步评审，全部评审合格的供应商进行最后的综合评审和打分，按最后得分由高向低排序，推荐成交候选人。</w:t>
      </w:r>
    </w:p>
    <w:p>
      <w:pPr>
        <w:keepNext w:val="0"/>
        <w:keepLines w:val="0"/>
        <w:pageBreakBefore w:val="0"/>
        <w:widowControl/>
        <w:kinsoku/>
        <w:wordWrap/>
        <w:overflowPunct/>
        <w:topLinePunct w:val="0"/>
        <w:autoSpaceDE/>
        <w:autoSpaceDN/>
        <w:bidi w:val="0"/>
        <w:adjustRightInd/>
        <w:snapToGrid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（4）其他需说明的情况：</w:t>
      </w:r>
    </w:p>
    <w:p>
      <w:pPr>
        <w:keepNext w:val="0"/>
        <w:keepLines w:val="0"/>
        <w:pageBreakBefore w:val="0"/>
        <w:widowControl/>
        <w:kinsoku/>
        <w:wordWrap/>
        <w:overflowPunct/>
        <w:topLinePunct w:val="0"/>
        <w:autoSpaceDE/>
        <w:autoSpaceDN/>
        <w:bidi w:val="0"/>
        <w:adjustRightInd/>
        <w:snapToGrid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a、对于磋商响应文件中不构成实质性偏差的小的不正规、不一致或不规则，可以接受，但这种接受不能损害或影响任何供应商的相对排序；</w:t>
      </w:r>
    </w:p>
    <w:p>
      <w:pPr>
        <w:keepNext w:val="0"/>
        <w:keepLines w:val="0"/>
        <w:pageBreakBefore w:val="0"/>
        <w:widowControl/>
        <w:kinsoku/>
        <w:wordWrap/>
        <w:overflowPunct/>
        <w:topLinePunct w:val="0"/>
        <w:autoSpaceDE/>
        <w:autoSpaceDN/>
        <w:bidi w:val="0"/>
        <w:adjustRightInd/>
        <w:snapToGrid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b、最低报价不是成交的唯一条件；</w:t>
      </w:r>
    </w:p>
    <w:p>
      <w:pPr>
        <w:keepNext w:val="0"/>
        <w:keepLines w:val="0"/>
        <w:pageBreakBefore w:val="0"/>
        <w:widowControl/>
        <w:kinsoku/>
        <w:wordWrap/>
        <w:overflowPunct/>
        <w:topLinePunct w:val="0"/>
        <w:autoSpaceDE/>
        <w:autoSpaceDN/>
        <w:bidi w:val="0"/>
        <w:adjustRightInd/>
        <w:snapToGrid w:val="0"/>
        <w:spacing w:line="360" w:lineRule="auto"/>
        <w:ind w:firstLine="548"/>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c、如果磋商实质上没有响应磋商文件的要求，其磋商将被拒绝，供应商不得通过修正或撤消不合要求的偏离或保留从而使其磋商成为实质上响应的磋商响应。</w:t>
      </w:r>
    </w:p>
    <w:p>
      <w:pPr>
        <w:pageBreakBefore w:val="0"/>
        <w:kinsoku/>
        <w:wordWrap/>
        <w:overflowPunct/>
        <w:topLinePunct w:val="0"/>
        <w:bidi w:val="0"/>
        <w:spacing w:line="360" w:lineRule="auto"/>
        <w:ind w:firstLine="565"/>
        <w:textAlignment w:val="auto"/>
        <w:rPr>
          <w:rFonts w:hint="eastAsia" w:ascii="宋体" w:hAnsi="宋体" w:eastAsia="宋体" w:cs="宋体"/>
          <w:sz w:val="28"/>
          <w:szCs w:val="28"/>
          <w:highlight w:val="none"/>
        </w:rPr>
      </w:pPr>
      <w:r>
        <w:rPr>
          <w:rFonts w:hint="eastAsia" w:ascii="宋体" w:hAnsi="宋体" w:eastAsia="宋体" w:cs="宋体"/>
          <w:bCs/>
          <w:sz w:val="28"/>
          <w:szCs w:val="28"/>
          <w:highlight w:val="none"/>
        </w:rPr>
        <w:t>d、无论磋商的结果如何，磋商期间一切费用自理。</w:t>
      </w:r>
    </w:p>
    <w:p>
      <w:pPr>
        <w:bidi w:val="0"/>
        <w:rPr>
          <w:rFonts w:hint="eastAsia"/>
        </w:rPr>
      </w:pPr>
      <w:bookmarkStart w:id="71" w:name="_Toc21543"/>
      <w:r>
        <w:rPr>
          <w:rFonts w:hint="eastAsia"/>
          <w:lang w:val="en-US" w:eastAsia="zh-CN"/>
        </w:rPr>
        <w:t>5</w:t>
      </w:r>
      <w:r>
        <w:rPr>
          <w:rFonts w:hint="eastAsia"/>
          <w:lang w:eastAsia="zh-CN"/>
        </w:rPr>
        <w:t>、</w:t>
      </w:r>
      <w:r>
        <w:rPr>
          <w:rFonts w:hint="eastAsia"/>
        </w:rPr>
        <w:t>政府采购政策评分标准</w:t>
      </w:r>
      <w:bookmarkEnd w:id="71"/>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1、小微企业的价格评分标准</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（1）对小型、微型企业产品的价格给予</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%的扣除，用扣除后的价格参与评审，其评审价=磋商报价*（</w:t>
      </w:r>
      <w:r>
        <w:rPr>
          <w:rFonts w:hint="eastAsia" w:ascii="宋体" w:hAnsi="宋体" w:eastAsia="宋体" w:cs="宋体"/>
          <w:sz w:val="28"/>
          <w:szCs w:val="28"/>
          <w:highlight w:val="none"/>
          <w:lang w:val="en-US" w:eastAsia="zh-CN"/>
        </w:rPr>
        <w:t>1-10%</w:t>
      </w:r>
      <w:r>
        <w:rPr>
          <w:rFonts w:hint="eastAsia" w:ascii="宋体" w:hAnsi="宋体" w:eastAsia="宋体" w:cs="宋体"/>
          <w:sz w:val="28"/>
          <w:szCs w:val="28"/>
          <w:highlight w:val="none"/>
        </w:rPr>
        <w:t>）。</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（2）联合体共同参加非专门面向中小企业的政府采购活动，联合协议中约定，小型和微型企业的协议合同金额占到联合体协议合同金额的30%以上的，可给予联合体</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%的价格扣除，用扣除后的价格参与评审，其评审价=磋商报价*（1-</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参加本项目的小微企业须提供《小微企业声明函》（附件），未提供的不视为小微企业。本项目提供的货物不包括使用大型企业注册商标的货物，小型、微型企业提供中型企业制造的货物的，视同为中型企业。供应商须作出承诺，保证真实性，如有虚假，将依法承担相应责任。</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（4）小微企业按</w:t>
      </w:r>
      <w:r>
        <w:rPr>
          <w:rFonts w:hint="eastAsia" w:ascii="宋体" w:hAnsi="宋体" w:eastAsia="宋体" w:cs="宋体"/>
          <w:sz w:val="28"/>
          <w:szCs w:val="28"/>
          <w:highlight w:val="none"/>
          <w:lang w:val="en-US" w:eastAsia="zh-CN"/>
        </w:rPr>
        <w:t>《政府采购促进中小企业发展管理办法》（财库﹝2020﹞46 号）</w:t>
      </w:r>
      <w:r>
        <w:rPr>
          <w:rFonts w:hint="eastAsia" w:ascii="宋体" w:hAnsi="宋体" w:eastAsia="宋体" w:cs="宋体"/>
          <w:sz w:val="28"/>
          <w:szCs w:val="28"/>
          <w:highlight w:val="none"/>
        </w:rPr>
        <w:t>和《工业和信息化部、国家统计局、国家发展和改革委员会、财政部关于印发&lt;中小企业划型标准规定&gt;的通知》（工信部联企业【2011】300号）文件规定标准确认。</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各行业划型标准为：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2"/>
        <w:ind w:firstLine="560" w:firstLineChars="200"/>
        <w:rPr>
          <w:rFonts w:hint="eastAsia" w:ascii="宋体" w:hAnsi="宋体" w:eastAsia="宋体" w:cs="宋体"/>
          <w:color w:val="000000"/>
          <w:sz w:val="28"/>
          <w:szCs w:val="28"/>
          <w:highlight w:val="none"/>
          <w:u w:val="none" w:color="000000"/>
          <w:lang w:val="en-US" w:eastAsia="zh-CN" w:bidi="ar-SA"/>
        </w:rPr>
      </w:pPr>
      <w:r>
        <w:rPr>
          <w:rFonts w:hint="eastAsia" w:ascii="宋体" w:hAnsi="宋体" w:eastAsia="宋体" w:cs="宋体"/>
          <w:color w:val="000000"/>
          <w:sz w:val="28"/>
          <w:szCs w:val="28"/>
          <w:highlight w:val="none"/>
          <w:u w:val="none" w:color="000000"/>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pStyle w:val="2"/>
        <w:ind w:firstLine="560" w:firstLineChars="200"/>
        <w:rPr>
          <w:rFonts w:hint="eastAsia"/>
        </w:rPr>
      </w:pPr>
      <w:r>
        <w:rPr>
          <w:rFonts w:hint="eastAsia" w:ascii="宋体" w:hAnsi="宋体" w:eastAsia="宋体" w:cs="宋体"/>
          <w:color w:val="000000"/>
          <w:sz w:val="28"/>
          <w:szCs w:val="28"/>
          <w:highlight w:val="none"/>
          <w:u w:val="none" w:color="000000"/>
          <w:lang w:val="en-US" w:eastAsia="zh-CN" w:bidi="ar-SA"/>
        </w:rPr>
        <w:t>（十六）其他未列明行业。从业人员300人以下的为中小微型企业。其中，从业人员100人及以上的为中型企业；从业人员10人及以上的为小型企业；从业人员10人以下的为微型企业。</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2、监狱企业的价格评分标准</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（1）在政府采购活动中，监狱企业视同小型、微型企业，享受预留份额、评审中价格扣除等政府采购促进中小企业发展的政府采购政策。对监狱企业产品的价格给予</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%的扣除，用扣除后的价格参与评审，其评审价=磋商报价*（</w:t>
      </w:r>
      <w:r>
        <w:rPr>
          <w:rFonts w:hint="eastAsia" w:ascii="宋体" w:hAnsi="宋体" w:eastAsia="宋体" w:cs="宋体"/>
          <w:sz w:val="28"/>
          <w:szCs w:val="28"/>
          <w:highlight w:val="none"/>
          <w:lang w:val="en-US" w:eastAsia="zh-CN"/>
        </w:rPr>
        <w:t>1-10%</w:t>
      </w:r>
      <w:r>
        <w:rPr>
          <w:rFonts w:hint="eastAsia" w:ascii="宋体" w:hAnsi="宋体" w:eastAsia="宋体" w:cs="宋体"/>
          <w:sz w:val="28"/>
          <w:szCs w:val="28"/>
          <w:highlight w:val="none"/>
        </w:rPr>
        <w:t>）</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（2）监狱企业属于小型、微型企业的，不重复享受政策。</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（3）监狱企业参加政府采购活动时，应当提供由省级以上监狱管理局、戒毒管理局（含新疆生产建设兵团）出具的属于监狱企业的证明文件。</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（4）监狱企业按《财政部 司法部关于政府采购支持监狱企业发展有关问题的通知》（财库〔2014〕68号）文件规定标准执行。</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3、残疾人福利性单位的价格评分标准</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（1）在政府采购活动中，残疾人福利性单位视同小型、微型企业，享受预留份额、评审中价格扣除等政府采购促进中小企业发展的政府采购政策。对残疾人福利性单位产品的价格给予</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%的扣除，用扣除后的价格参与评审，其评审价=磋商报价*（</w:t>
      </w:r>
      <w:r>
        <w:rPr>
          <w:rFonts w:hint="eastAsia" w:ascii="宋体" w:hAnsi="宋体" w:eastAsia="宋体" w:cs="宋体"/>
          <w:sz w:val="28"/>
          <w:szCs w:val="28"/>
          <w:highlight w:val="none"/>
          <w:lang w:val="en-US" w:eastAsia="zh-CN"/>
        </w:rPr>
        <w:t>1-10%</w:t>
      </w:r>
      <w:r>
        <w:rPr>
          <w:rFonts w:hint="eastAsia" w:ascii="宋体" w:hAnsi="宋体" w:eastAsia="宋体" w:cs="宋体"/>
          <w:sz w:val="28"/>
          <w:szCs w:val="28"/>
          <w:highlight w:val="none"/>
        </w:rPr>
        <w:t>）。</w:t>
      </w:r>
    </w:p>
    <w:p>
      <w:pPr>
        <w:pageBreakBefore w:val="0"/>
        <w:kinsoku/>
        <w:wordWrap/>
        <w:overflowPunct/>
        <w:topLinePunct w:val="0"/>
        <w:bidi w:val="0"/>
        <w:spacing w:line="360" w:lineRule="auto"/>
        <w:ind w:firstLine="56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（2）残疾人福利性单位属于小型、微型企业的，不重复享受政策。</w:t>
      </w:r>
    </w:p>
    <w:p>
      <w:pPr>
        <w:pageBreakBefore w:val="0"/>
        <w:kinsoku/>
        <w:wordWrap/>
        <w:overflowPunct/>
        <w:topLinePunct w:val="0"/>
        <w:bidi w:val="0"/>
        <w:spacing w:line="360" w:lineRule="auto"/>
        <w:ind w:firstLine="560"/>
        <w:textAlignment w:val="auto"/>
        <w:rPr>
          <w:rFonts w:hint="eastAsia" w:asciiTheme="minorEastAsia" w:hAnsiTheme="minorEastAsia" w:eastAsiaTheme="minorEastAsia" w:cstheme="minorEastAsia"/>
          <w:color w:val="auto"/>
          <w:sz w:val="28"/>
          <w:szCs w:val="28"/>
          <w:highlight w:val="none"/>
        </w:rPr>
      </w:pPr>
      <w:r>
        <w:rPr>
          <w:rFonts w:hint="eastAsia" w:ascii="宋体" w:hAnsi="宋体" w:eastAsia="宋体" w:cs="宋体"/>
          <w:sz w:val="28"/>
          <w:szCs w:val="28"/>
          <w:highlight w:val="none"/>
        </w:rPr>
        <w:t>（3）符合条件的残疾人福利性单位在参加政府采购活动时，应当提供本通知规定的《残疾人福利性单位声明函》（见附件），并对声明的真实性负责，未提供的不视为残疾人福利性单位。</w:t>
      </w:r>
      <w:bookmarkEnd w:id="59"/>
      <w:bookmarkEnd w:id="60"/>
      <w:r>
        <w:rPr>
          <w:rFonts w:hint="eastAsia" w:asciiTheme="minorEastAsia" w:hAnsiTheme="minorEastAsia" w:eastAsiaTheme="minorEastAsia" w:cstheme="minorEastAsia"/>
          <w:color w:val="auto"/>
          <w:sz w:val="28"/>
          <w:szCs w:val="28"/>
          <w:highlight w:val="none"/>
          <w:lang w:val="en-US" w:eastAsia="zh-CN"/>
        </w:rPr>
        <w:t xml:space="preserve">      </w:t>
      </w:r>
    </w:p>
    <w:p>
      <w:pPr>
        <w:bidi w:val="0"/>
        <w:rPr>
          <w:rFonts w:hint="eastAsia"/>
          <w:lang w:val="en-US" w:eastAsia="zh-CN"/>
        </w:rPr>
      </w:pPr>
      <w:bookmarkStart w:id="72" w:name="_Toc24042"/>
      <w:r>
        <w:rPr>
          <w:rFonts w:hint="eastAsia"/>
          <w:lang w:val="en-US" w:eastAsia="zh-CN"/>
        </w:rPr>
        <w:t>6、评标办法</w:t>
      </w:r>
      <w:bookmarkEnd w:id="72"/>
    </w:p>
    <w:p>
      <w:pPr>
        <w:bidi w:val="0"/>
        <w:rPr>
          <w:rFonts w:hint="eastAsia"/>
        </w:rPr>
      </w:pPr>
      <w:bookmarkStart w:id="73" w:name="_Toc26125"/>
      <w:r>
        <w:rPr>
          <w:rFonts w:hint="eastAsia"/>
          <w:lang w:val="en-US" w:eastAsia="zh-CN"/>
        </w:rPr>
        <w:t>6.1、</w:t>
      </w:r>
      <w:r>
        <w:rPr>
          <w:rFonts w:hint="eastAsia"/>
        </w:rPr>
        <w:t>详细评审办法（综合评分法）</w:t>
      </w:r>
      <w:bookmarkEnd w:id="73"/>
    </w:p>
    <w:tbl>
      <w:tblPr>
        <w:tblStyle w:val="25"/>
        <w:tblW w:w="11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117"/>
        <w:gridCol w:w="7183"/>
        <w:gridCol w:w="1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799" w:type="dxa"/>
            <w:noWrap w:val="0"/>
            <w:vAlign w:val="center"/>
          </w:tcPr>
          <w:p>
            <w:pPr>
              <w:spacing w:line="560" w:lineRule="exact"/>
              <w:jc w:val="center"/>
              <w:rPr>
                <w:rFonts w:hint="eastAsia" w:ascii="宋体" w:hAnsi="宋体" w:eastAsia="宋体" w:cs="宋体"/>
                <w:color w:val="000000"/>
                <w:sz w:val="28"/>
                <w:szCs w:val="28"/>
                <w:highlight w:val="none"/>
              </w:rPr>
            </w:pPr>
            <w:bookmarkStart w:id="74" w:name="_Toc2067"/>
            <w:r>
              <w:rPr>
                <w:rFonts w:hint="eastAsia" w:ascii="宋体" w:hAnsi="宋体" w:eastAsia="宋体" w:cs="宋体"/>
                <w:color w:val="000000"/>
                <w:sz w:val="28"/>
                <w:szCs w:val="28"/>
                <w:highlight w:val="none"/>
              </w:rPr>
              <w:t>评审</w:t>
            </w:r>
          </w:p>
          <w:p>
            <w:pPr>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因素</w:t>
            </w:r>
          </w:p>
        </w:tc>
        <w:tc>
          <w:tcPr>
            <w:tcW w:w="8300" w:type="dxa"/>
            <w:gridSpan w:val="2"/>
            <w:noWrap w:val="0"/>
            <w:vAlign w:val="center"/>
          </w:tcPr>
          <w:p>
            <w:pPr>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内     容</w:t>
            </w:r>
          </w:p>
        </w:tc>
        <w:tc>
          <w:tcPr>
            <w:tcW w:w="1940" w:type="dxa"/>
            <w:noWrap w:val="0"/>
            <w:vAlign w:val="center"/>
          </w:tcPr>
          <w:p>
            <w:pPr>
              <w:spacing w:line="560" w:lineRule="exact"/>
              <w:jc w:val="center"/>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主观/客观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jc w:val="center"/>
        </w:trPr>
        <w:tc>
          <w:tcPr>
            <w:tcW w:w="799" w:type="dxa"/>
            <w:noWrap w:val="0"/>
            <w:vAlign w:val="center"/>
          </w:tcPr>
          <w:p>
            <w:pPr>
              <w:jc w:val="center"/>
              <w:rPr>
                <w:rFonts w:hint="eastAsia" w:ascii="宋体" w:hAnsi="宋体" w:eastAsia="宋体" w:cs="宋体"/>
                <w:b/>
                <w:bCs/>
                <w:color w:val="000000"/>
                <w:kern w:val="0"/>
                <w:sz w:val="28"/>
                <w:szCs w:val="28"/>
                <w:highlight w:val="none"/>
                <w:vertAlign w:val="baseline"/>
                <w:lang w:val="en-US" w:eastAsia="zh-CN" w:bidi="ar"/>
              </w:rPr>
            </w:pPr>
            <w:r>
              <w:rPr>
                <w:rFonts w:hint="eastAsia" w:ascii="宋体" w:hAnsi="宋体" w:cs="宋体"/>
                <w:b/>
                <w:bCs/>
                <w:color w:val="000000"/>
                <w:kern w:val="0"/>
                <w:sz w:val="28"/>
                <w:szCs w:val="28"/>
                <w:highlight w:val="none"/>
                <w:vertAlign w:val="baseline"/>
                <w:lang w:val="en-US" w:eastAsia="zh-CN" w:bidi="ar"/>
              </w:rPr>
              <w:t>投标报价（10分）</w:t>
            </w:r>
          </w:p>
        </w:tc>
        <w:tc>
          <w:tcPr>
            <w:tcW w:w="8300" w:type="dxa"/>
            <w:gridSpan w:val="2"/>
            <w:noWrap w:val="0"/>
            <w:vAlign w:val="center"/>
          </w:tcPr>
          <w:p>
            <w:pPr>
              <w:jc w:val="left"/>
              <w:rPr>
                <w:rFonts w:hint="eastAsia" w:ascii="宋体" w:hAnsi="宋体" w:eastAsia="宋体" w:cs="宋体"/>
                <w:b w:val="0"/>
                <w:bCs w:val="0"/>
                <w:color w:val="000000"/>
                <w:kern w:val="0"/>
                <w:sz w:val="28"/>
                <w:szCs w:val="28"/>
                <w:highlight w:val="none"/>
                <w:vertAlign w:val="baseline"/>
                <w:lang w:val="en-US" w:eastAsia="zh-CN" w:bidi="ar"/>
              </w:rPr>
            </w:pPr>
            <w:r>
              <w:rPr>
                <w:rFonts w:hint="eastAsia" w:ascii="宋体" w:hAnsi="宋体" w:eastAsia="宋体" w:cs="宋体"/>
                <w:b w:val="0"/>
                <w:bCs w:val="0"/>
                <w:color w:val="000000"/>
                <w:kern w:val="0"/>
                <w:sz w:val="28"/>
                <w:szCs w:val="28"/>
                <w:highlight w:val="none"/>
                <w:vertAlign w:val="baseline"/>
                <w:lang w:val="en-US" w:eastAsia="zh-CN" w:bidi="ar"/>
              </w:rPr>
              <w:t>满足磋商文件要求且投标价格最低的投标价为评标基准价，其价格分为满分，满分</w:t>
            </w:r>
            <w:r>
              <w:rPr>
                <w:rFonts w:hint="eastAsia" w:ascii="宋体" w:hAnsi="宋体" w:cs="宋体"/>
                <w:b w:val="0"/>
                <w:bCs w:val="0"/>
                <w:color w:val="000000"/>
                <w:kern w:val="0"/>
                <w:sz w:val="28"/>
                <w:szCs w:val="28"/>
                <w:highlight w:val="none"/>
                <w:vertAlign w:val="baseline"/>
                <w:lang w:val="en-US" w:eastAsia="zh-CN" w:bidi="ar"/>
              </w:rPr>
              <w:t>10</w:t>
            </w:r>
            <w:r>
              <w:rPr>
                <w:rFonts w:hint="eastAsia" w:ascii="宋体" w:hAnsi="宋体" w:eastAsia="宋体" w:cs="宋体"/>
                <w:b w:val="0"/>
                <w:bCs w:val="0"/>
                <w:color w:val="000000"/>
                <w:kern w:val="0"/>
                <w:sz w:val="28"/>
                <w:szCs w:val="28"/>
                <w:highlight w:val="none"/>
                <w:vertAlign w:val="baseline"/>
                <w:lang w:val="en-US" w:eastAsia="zh-CN" w:bidi="ar"/>
              </w:rPr>
              <w:t>分。</w:t>
            </w:r>
          </w:p>
          <w:p>
            <w:pPr>
              <w:jc w:val="left"/>
              <w:rPr>
                <w:rFonts w:hint="eastAsia" w:ascii="宋体" w:hAnsi="宋体" w:eastAsia="宋体" w:cs="宋体"/>
                <w:b/>
                <w:bCs/>
                <w:color w:val="000000"/>
                <w:kern w:val="0"/>
                <w:sz w:val="28"/>
                <w:szCs w:val="28"/>
                <w:highlight w:val="none"/>
                <w:vertAlign w:val="baseline"/>
                <w:lang w:val="en-US" w:eastAsia="zh-CN" w:bidi="ar"/>
              </w:rPr>
            </w:pPr>
            <w:r>
              <w:rPr>
                <w:rFonts w:hint="eastAsia" w:ascii="宋体" w:hAnsi="宋体" w:eastAsia="宋体" w:cs="宋体"/>
                <w:b w:val="0"/>
                <w:bCs w:val="0"/>
                <w:color w:val="000000"/>
                <w:kern w:val="0"/>
                <w:sz w:val="28"/>
                <w:szCs w:val="28"/>
                <w:highlight w:val="none"/>
                <w:vertAlign w:val="baseline"/>
                <w:lang w:val="en-US" w:eastAsia="zh-CN" w:bidi="ar"/>
              </w:rPr>
              <w:t>磋商报价得分=（评审基准价／投标报价）×</w:t>
            </w:r>
            <w:r>
              <w:rPr>
                <w:rFonts w:hint="eastAsia" w:ascii="宋体" w:hAnsi="宋体" w:cs="宋体"/>
                <w:b w:val="0"/>
                <w:bCs w:val="0"/>
                <w:color w:val="000000"/>
                <w:kern w:val="0"/>
                <w:sz w:val="28"/>
                <w:szCs w:val="28"/>
                <w:highlight w:val="none"/>
                <w:vertAlign w:val="baseline"/>
                <w:lang w:val="en-US" w:eastAsia="zh-CN" w:bidi="ar"/>
              </w:rPr>
              <w:t>10</w:t>
            </w:r>
            <w:r>
              <w:rPr>
                <w:rFonts w:hint="eastAsia" w:ascii="宋体" w:hAnsi="宋体" w:eastAsia="宋体" w:cs="宋体"/>
                <w:b w:val="0"/>
                <w:bCs w:val="0"/>
                <w:color w:val="000000"/>
                <w:kern w:val="0"/>
                <w:sz w:val="28"/>
                <w:szCs w:val="28"/>
                <w:highlight w:val="none"/>
                <w:vertAlign w:val="baseline"/>
                <w:lang w:val="en-US" w:eastAsia="zh-CN" w:bidi="ar"/>
              </w:rPr>
              <w:t>。</w:t>
            </w:r>
          </w:p>
        </w:tc>
        <w:tc>
          <w:tcPr>
            <w:tcW w:w="1940" w:type="dxa"/>
            <w:noWrap w:val="0"/>
            <w:vAlign w:val="center"/>
          </w:tcPr>
          <w:p>
            <w:pPr>
              <w:jc w:val="left"/>
              <w:rPr>
                <w:rFonts w:hint="default" w:ascii="宋体" w:hAnsi="宋体" w:eastAsia="宋体" w:cs="宋体"/>
                <w:b w:val="0"/>
                <w:bCs w:val="0"/>
                <w:color w:val="000000"/>
                <w:kern w:val="0"/>
                <w:sz w:val="28"/>
                <w:szCs w:val="28"/>
                <w:highlight w:val="none"/>
                <w:vertAlign w:val="baseline"/>
                <w:lang w:val="en-US" w:eastAsia="zh-CN" w:bidi="ar"/>
              </w:rPr>
            </w:pPr>
            <w:r>
              <w:rPr>
                <w:rFonts w:hint="eastAsia" w:ascii="宋体" w:hAnsi="宋体" w:cs="宋体"/>
                <w:b w:val="0"/>
                <w:bCs w:val="0"/>
                <w:color w:val="000000"/>
                <w:kern w:val="0"/>
                <w:sz w:val="28"/>
                <w:szCs w:val="28"/>
                <w:highlight w:val="none"/>
                <w:vertAlign w:val="baseline"/>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799" w:type="dxa"/>
            <w:vMerge w:val="restart"/>
            <w:noWrap w:val="0"/>
            <w:vAlign w:val="center"/>
          </w:tcPr>
          <w:p>
            <w:pPr>
              <w:spacing w:line="560" w:lineRule="exact"/>
              <w:rPr>
                <w:rFonts w:hint="eastAsia" w:ascii="宋体" w:hAnsi="宋体" w:eastAsia="宋体" w:cs="宋体"/>
                <w:color w:val="000000"/>
                <w:sz w:val="28"/>
                <w:szCs w:val="28"/>
                <w:highlight w:val="none"/>
                <w:lang w:eastAsia="zh-CN"/>
              </w:rPr>
            </w:pPr>
            <w:r>
              <w:rPr>
                <w:rFonts w:hint="eastAsia" w:ascii="宋体" w:hAnsi="宋体" w:cs="宋体"/>
                <w:b/>
                <w:bCs/>
                <w:color w:val="000000"/>
                <w:kern w:val="0"/>
                <w:sz w:val="28"/>
                <w:szCs w:val="28"/>
                <w:highlight w:val="none"/>
                <w:vertAlign w:val="baseline"/>
                <w:lang w:val="en-US" w:eastAsia="zh-CN" w:bidi="ar"/>
              </w:rPr>
              <w:t>技术评审（90分）</w:t>
            </w:r>
          </w:p>
        </w:tc>
        <w:tc>
          <w:tcPr>
            <w:tcW w:w="1117" w:type="dxa"/>
            <w:noWrap w:val="0"/>
            <w:vAlign w:val="center"/>
          </w:tcPr>
          <w:p>
            <w:pPr>
              <w:jc w:val="center"/>
              <w:rPr>
                <w:rFonts w:hint="default"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lang w:val="en-US" w:eastAsia="zh-CN"/>
              </w:rPr>
              <w:t>监理大纲（24分）</w:t>
            </w:r>
          </w:p>
        </w:tc>
        <w:tc>
          <w:tcPr>
            <w:tcW w:w="7183" w:type="dxa"/>
            <w:noWrap w:val="0"/>
            <w:vAlign w:val="top"/>
          </w:tcPr>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一、针对本项目提供具体可行的监理大纲，内容包括：①质量控制措施、进度控制措施、投资控制措施；②监理工作目标及监理依据；③监理工作程序、方法和制度；④质量、安全环保措施；⑤合同管理及信息管理；⑥监理组织协调内容及措施；⑦监理工作重点、难点分析及应对措施；⑧保修阶段的服务工作、验收方案。</w:t>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二、评审标准：1、完整性：方案须全面，对评审内容中的各项要求描述详细；2、可实施性：切合本项目实际情况，实施步骤清晰、合理；3、针对性：方案能够紧扣项目实际情况，内容科学合理。</w:t>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三、赋分依据（满分24分）①质量控制措施、进度控制措施、投资控制措施：每完全满足一个评审标准得1分，满分3分；未提供不得分；②监理工作目标及监理依据：每完全满足一个评审标准得1分，满分3分；未提供不得分；③监理工作程序、方法和制度：每完全满足一个评审标准得1分，满分3分；未提供不得分；④质量、安全环保措施：每完全满足一个评审标准得1分，满分3分；未提供不得分；⑤合同管理及信息管理：每完全满足一个评审标准得1分，满分3分；未提供不得分；⑥监理组织协调内容及措施：每完全满足一个评审标准得1分，满分3分；未提供不得分；⑦监理工作重点、难点分析及应对措施：每完全满足一个评审标准得1分，满分3分；未提供不得分；⑧保修阶段的服务工作、验收方案：每完全满足一个评审标准得1分，满分3分；未提供不得分；</w:t>
            </w:r>
          </w:p>
        </w:tc>
        <w:tc>
          <w:tcPr>
            <w:tcW w:w="1940" w:type="dxa"/>
            <w:noWrap w:val="0"/>
            <w:vAlign w:val="top"/>
          </w:tcPr>
          <w:p>
            <w:pPr>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主观</w:t>
            </w:r>
          </w:p>
          <w:p>
            <w:pPr>
              <w:rPr>
                <w:rFonts w:hint="eastAsia" w:ascii="宋体" w:hAnsi="宋体" w:eastAsia="宋体" w:cs="宋体"/>
                <w:color w:val="000000"/>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jc w:val="center"/>
        </w:trPr>
        <w:tc>
          <w:tcPr>
            <w:tcW w:w="799" w:type="dxa"/>
            <w:vMerge w:val="continue"/>
            <w:noWrap w:val="0"/>
            <w:vAlign w:val="center"/>
          </w:tcPr>
          <w:p>
            <w:pPr>
              <w:spacing w:line="560" w:lineRule="exact"/>
              <w:ind w:firstLine="560" w:firstLineChars="200"/>
              <w:rPr>
                <w:rFonts w:hint="eastAsia" w:ascii="宋体" w:hAnsi="宋体" w:eastAsia="宋体" w:cs="宋体"/>
                <w:color w:val="000000"/>
                <w:sz w:val="28"/>
                <w:szCs w:val="28"/>
                <w:highlight w:val="none"/>
              </w:rPr>
            </w:pPr>
          </w:p>
        </w:tc>
        <w:tc>
          <w:tcPr>
            <w:tcW w:w="1117" w:type="dxa"/>
            <w:noWrap w:val="0"/>
            <w:vAlign w:val="center"/>
          </w:tcPr>
          <w:p>
            <w:pPr>
              <w:jc w:val="center"/>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拟投入检测仪器设备（</w:t>
            </w:r>
            <w:r>
              <w:rPr>
                <w:rFonts w:hint="eastAsia" w:ascii="宋体" w:hAnsi="宋体" w:cs="宋体"/>
                <w:b/>
                <w:bCs/>
                <w:color w:val="000000"/>
                <w:sz w:val="28"/>
                <w:szCs w:val="28"/>
                <w:highlight w:val="none"/>
                <w:lang w:val="en-US" w:eastAsia="zh-CN"/>
              </w:rPr>
              <w:t>8</w:t>
            </w:r>
            <w:r>
              <w:rPr>
                <w:rFonts w:hint="eastAsia" w:ascii="宋体" w:hAnsi="宋体" w:eastAsia="宋体" w:cs="宋体"/>
                <w:b/>
                <w:bCs/>
                <w:color w:val="000000"/>
                <w:sz w:val="28"/>
                <w:szCs w:val="28"/>
                <w:highlight w:val="none"/>
                <w:lang w:val="en-US" w:eastAsia="zh-CN"/>
              </w:rPr>
              <w:t>分）</w:t>
            </w:r>
          </w:p>
        </w:tc>
        <w:tc>
          <w:tcPr>
            <w:tcW w:w="7183" w:type="dxa"/>
            <w:noWrap w:val="0"/>
            <w:vAlign w:val="top"/>
          </w:tcPr>
          <w:p>
            <w:pPr>
              <w:pStyle w:val="98"/>
              <w:spacing w:before="37" w:line="311" w:lineRule="auto"/>
              <w:ind w:right="26"/>
              <w:jc w:val="left"/>
              <w:rPr>
                <w:rFonts w:hint="default" w:ascii="宋体" w:hAnsi="宋体" w:eastAsia="宋体" w:cs="宋体"/>
                <w:color w:val="000000"/>
                <w:sz w:val="28"/>
                <w:szCs w:val="28"/>
                <w:highlight w:val="none"/>
                <w:lang w:val="en-US" w:eastAsia="zh-CN"/>
              </w:rPr>
            </w:pPr>
            <w:r>
              <w:rPr>
                <w:rFonts w:hint="default" w:ascii="宋体" w:hAnsi="宋体" w:eastAsia="宋体" w:cs="宋体"/>
                <w:color w:val="000000"/>
                <w:sz w:val="28"/>
                <w:szCs w:val="28"/>
                <w:highlight w:val="none"/>
                <w:lang w:val="en-US" w:eastAsia="zh-CN"/>
              </w:rPr>
              <w:t>一、针对本项目提供监理检测设备配置情况。</w:t>
            </w:r>
          </w:p>
          <w:p>
            <w:pPr>
              <w:pStyle w:val="98"/>
              <w:spacing w:before="37" w:line="311" w:lineRule="auto"/>
              <w:ind w:right="26"/>
              <w:jc w:val="left"/>
              <w:rPr>
                <w:rFonts w:hint="default" w:ascii="宋体" w:hAnsi="宋体" w:eastAsia="宋体" w:cs="宋体"/>
                <w:color w:val="000000"/>
                <w:sz w:val="28"/>
                <w:szCs w:val="28"/>
                <w:highlight w:val="none"/>
                <w:lang w:val="en-US" w:eastAsia="zh-CN"/>
              </w:rPr>
            </w:pPr>
            <w:r>
              <w:rPr>
                <w:rFonts w:hint="default" w:ascii="宋体" w:hAnsi="宋体" w:eastAsia="宋体" w:cs="宋体"/>
                <w:color w:val="000000"/>
                <w:sz w:val="28"/>
                <w:szCs w:val="28"/>
                <w:highlight w:val="none"/>
                <w:lang w:val="en-US" w:eastAsia="zh-CN"/>
              </w:rPr>
              <w:t>二、评审标准：1、完整性：须全面，检测设备配置齐全、先进，完全满足工程检测要求；可实施性：切合本项目实际情况，监理检测设备配置情况清晰、合理；</w:t>
            </w:r>
            <w:r>
              <w:rPr>
                <w:rFonts w:hint="eastAsia" w:cs="宋体"/>
                <w:color w:val="000000"/>
                <w:sz w:val="28"/>
                <w:szCs w:val="28"/>
                <w:highlight w:val="none"/>
                <w:lang w:val="en-US" w:eastAsia="zh-CN"/>
              </w:rPr>
              <w:t>2</w:t>
            </w:r>
            <w:r>
              <w:rPr>
                <w:rFonts w:hint="default" w:ascii="宋体" w:hAnsi="宋体" w:eastAsia="宋体" w:cs="宋体"/>
                <w:color w:val="000000"/>
                <w:sz w:val="28"/>
                <w:szCs w:val="28"/>
                <w:highlight w:val="none"/>
                <w:lang w:val="en-US" w:eastAsia="zh-CN"/>
              </w:rPr>
              <w:t>、针对性：监理检测设备配置情况能够紧扣项目实际情况，内容科学合理。</w:t>
            </w:r>
          </w:p>
          <w:p>
            <w:pPr>
              <w:pStyle w:val="98"/>
              <w:spacing w:before="37" w:line="311" w:lineRule="auto"/>
              <w:ind w:right="26"/>
              <w:jc w:val="left"/>
              <w:rPr>
                <w:rFonts w:hint="default" w:ascii="宋体" w:hAnsi="宋体" w:eastAsia="宋体" w:cs="宋体"/>
                <w:color w:val="000000"/>
                <w:sz w:val="28"/>
                <w:szCs w:val="28"/>
                <w:highlight w:val="none"/>
                <w:lang w:val="en-US" w:eastAsia="zh-CN"/>
              </w:rPr>
            </w:pPr>
            <w:r>
              <w:rPr>
                <w:rFonts w:hint="default" w:ascii="宋体" w:hAnsi="宋体" w:eastAsia="宋体" w:cs="宋体"/>
                <w:color w:val="000000"/>
                <w:sz w:val="28"/>
                <w:szCs w:val="28"/>
                <w:highlight w:val="none"/>
                <w:lang w:val="en-US" w:eastAsia="zh-CN"/>
              </w:rPr>
              <w:t>三、赋分依据：针对本项目提供监理检测设备配置情况，每完全满足一个评审标准得</w:t>
            </w:r>
            <w:r>
              <w:rPr>
                <w:rFonts w:hint="eastAsia" w:cs="宋体"/>
                <w:color w:val="000000"/>
                <w:sz w:val="28"/>
                <w:szCs w:val="28"/>
                <w:highlight w:val="none"/>
                <w:lang w:val="en-US" w:eastAsia="zh-CN"/>
              </w:rPr>
              <w:t>4</w:t>
            </w:r>
            <w:r>
              <w:rPr>
                <w:rFonts w:hint="default" w:ascii="宋体" w:hAnsi="宋体" w:eastAsia="宋体" w:cs="宋体"/>
                <w:color w:val="000000"/>
                <w:sz w:val="28"/>
                <w:szCs w:val="28"/>
                <w:highlight w:val="none"/>
                <w:lang w:val="en-US" w:eastAsia="zh-CN"/>
              </w:rPr>
              <w:t>分，满分</w:t>
            </w:r>
            <w:r>
              <w:rPr>
                <w:rFonts w:hint="eastAsia" w:cs="宋体"/>
                <w:color w:val="000000"/>
                <w:sz w:val="28"/>
                <w:szCs w:val="28"/>
                <w:highlight w:val="none"/>
                <w:lang w:val="en-US" w:eastAsia="zh-CN"/>
              </w:rPr>
              <w:t>8</w:t>
            </w:r>
            <w:r>
              <w:rPr>
                <w:rFonts w:hint="default" w:ascii="宋体" w:hAnsi="宋体" w:eastAsia="宋体" w:cs="宋体"/>
                <w:color w:val="000000"/>
                <w:sz w:val="28"/>
                <w:szCs w:val="28"/>
                <w:highlight w:val="none"/>
                <w:lang w:val="en-US" w:eastAsia="zh-CN"/>
              </w:rPr>
              <w:t>分；未提供不得分。</w:t>
            </w:r>
          </w:p>
        </w:tc>
        <w:tc>
          <w:tcPr>
            <w:tcW w:w="1940" w:type="dxa"/>
            <w:noWrap w:val="0"/>
            <w:vAlign w:val="top"/>
          </w:tcPr>
          <w:p>
            <w:pPr>
              <w:pStyle w:val="98"/>
              <w:spacing w:before="37" w:line="311" w:lineRule="auto"/>
              <w:ind w:right="26"/>
              <w:jc w:val="left"/>
              <w:rPr>
                <w:rFonts w:hint="default" w:ascii="宋体" w:hAnsi="宋体" w:eastAsia="宋体" w:cs="宋体"/>
                <w:color w:val="000000"/>
                <w:kern w:val="0"/>
                <w:sz w:val="28"/>
                <w:szCs w:val="28"/>
                <w:highlight w:val="none"/>
                <w:u w:val="none" w:color="000000"/>
                <w:vertAlign w:val="baseline"/>
                <w:lang w:val="en-US" w:eastAsia="zh-CN" w:bidi="ar"/>
              </w:rPr>
            </w:pPr>
            <w:r>
              <w:rPr>
                <w:rFonts w:hint="eastAsia" w:cs="宋体"/>
                <w:color w:val="000000"/>
                <w:kern w:val="0"/>
                <w:sz w:val="28"/>
                <w:szCs w:val="28"/>
                <w:highlight w:val="none"/>
                <w:u w:val="none" w:color="000000"/>
                <w:vertAlign w:val="baseline"/>
                <w:lang w:val="en-US" w:eastAsia="zh-CN" w:bidi="ar"/>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jc w:val="center"/>
        </w:trPr>
        <w:tc>
          <w:tcPr>
            <w:tcW w:w="799" w:type="dxa"/>
            <w:vMerge w:val="continue"/>
            <w:noWrap w:val="0"/>
            <w:vAlign w:val="center"/>
          </w:tcPr>
          <w:p>
            <w:pPr>
              <w:spacing w:line="560" w:lineRule="exact"/>
              <w:ind w:firstLine="560" w:firstLineChars="200"/>
              <w:rPr>
                <w:rFonts w:hint="eastAsia" w:ascii="宋体" w:hAnsi="宋体" w:eastAsia="宋体" w:cs="宋体"/>
                <w:color w:val="000000"/>
                <w:sz w:val="28"/>
                <w:szCs w:val="28"/>
                <w:highlight w:val="none"/>
              </w:rPr>
            </w:pPr>
          </w:p>
        </w:tc>
        <w:tc>
          <w:tcPr>
            <w:tcW w:w="1117" w:type="dxa"/>
            <w:noWrap w:val="0"/>
            <w:vAlign w:val="center"/>
          </w:tcPr>
          <w:p>
            <w:pPr>
              <w:jc w:val="center"/>
              <w:rPr>
                <w:rFonts w:hint="eastAsia" w:ascii="宋体" w:hAnsi="宋体" w:eastAsia="仿宋_GB2312" w:cs="宋体"/>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内部工作制度（8分）</w:t>
            </w:r>
          </w:p>
        </w:tc>
        <w:tc>
          <w:tcPr>
            <w:tcW w:w="7183" w:type="dxa"/>
            <w:noWrap w:val="0"/>
            <w:vAlign w:val="top"/>
          </w:tcPr>
          <w:p>
            <w:pPr>
              <w:pStyle w:val="98"/>
              <w:spacing w:before="37" w:line="311" w:lineRule="auto"/>
              <w:ind w:right="26"/>
              <w:jc w:val="left"/>
              <w:rPr>
                <w:rFonts w:hint="default" w:ascii="宋体" w:hAnsi="宋体" w:eastAsia="宋体" w:cs="宋体"/>
                <w:color w:val="000000"/>
                <w:sz w:val="28"/>
                <w:szCs w:val="28"/>
                <w:highlight w:val="none"/>
                <w:lang w:val="en-US" w:eastAsia="zh-CN"/>
              </w:rPr>
            </w:pPr>
            <w:r>
              <w:rPr>
                <w:rFonts w:hint="default" w:ascii="宋体" w:hAnsi="宋体" w:eastAsia="宋体" w:cs="宋体"/>
                <w:color w:val="000000"/>
                <w:sz w:val="28"/>
                <w:szCs w:val="28"/>
                <w:highlight w:val="none"/>
                <w:lang w:val="en-US" w:eastAsia="zh-CN"/>
              </w:rPr>
              <w:t>针对本项目提供具体可行的工作制度，内容包括：①实施与验收阶段监理组织内部的工作制度；②监理汇报制度；③文件管理制度；④监理现场工作制度。评审标准：1、完整性：方案须全面，对评审内容中的各项要求描述详细，切合本项目实际情况，实施步骤清晰、合理；2、针对性：方案能够紧扣项目实际情况，内容科学合理。三、赋分依据（满分8分）①实施与验收阶段监理组织内部的工作制度：每完全满足一个评审标准得1分，满分2分；未提供不得分；②监理汇报制度:每完全满足一个评审标准得1分，满分2分；未提供不得分；③文件管理制度：每完全满足一个评审标准得1分，满分2分；④监理现场工作制度：每完全满足一个评审标准得1分，满分2分；未提供不得分。</w:t>
            </w:r>
          </w:p>
        </w:tc>
        <w:tc>
          <w:tcPr>
            <w:tcW w:w="1940" w:type="dxa"/>
            <w:noWrap w:val="0"/>
            <w:vAlign w:val="top"/>
          </w:tcPr>
          <w:p>
            <w:pPr>
              <w:pStyle w:val="98"/>
              <w:spacing w:before="37" w:line="311" w:lineRule="auto"/>
              <w:ind w:right="26"/>
              <w:jc w:val="left"/>
              <w:rPr>
                <w:rFonts w:hint="default" w:cs="宋体"/>
                <w:color w:val="000000"/>
                <w:kern w:val="0"/>
                <w:sz w:val="28"/>
                <w:szCs w:val="28"/>
                <w:highlight w:val="none"/>
                <w:u w:val="none" w:color="000000"/>
                <w:vertAlign w:val="baseline"/>
                <w:lang w:val="en-US" w:eastAsia="zh-CN" w:bidi="ar"/>
              </w:rPr>
            </w:pPr>
            <w:r>
              <w:rPr>
                <w:rFonts w:hint="eastAsia" w:cs="宋体"/>
                <w:color w:val="000000"/>
                <w:kern w:val="0"/>
                <w:sz w:val="28"/>
                <w:szCs w:val="28"/>
                <w:highlight w:val="none"/>
                <w:u w:val="none" w:color="000000"/>
                <w:vertAlign w:val="baseline"/>
                <w:lang w:val="en-US" w:eastAsia="zh-CN" w:bidi="ar"/>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jc w:val="center"/>
        </w:trPr>
        <w:tc>
          <w:tcPr>
            <w:tcW w:w="799" w:type="dxa"/>
            <w:vMerge w:val="continue"/>
            <w:noWrap w:val="0"/>
            <w:vAlign w:val="center"/>
          </w:tcPr>
          <w:p>
            <w:pPr>
              <w:spacing w:line="560" w:lineRule="exact"/>
              <w:ind w:firstLine="560" w:firstLineChars="200"/>
              <w:rPr>
                <w:rFonts w:hint="eastAsia" w:ascii="宋体" w:hAnsi="宋体" w:eastAsia="宋体" w:cs="宋体"/>
                <w:color w:val="000000"/>
                <w:sz w:val="28"/>
                <w:szCs w:val="28"/>
                <w:highlight w:val="none"/>
                <w:lang w:val="en-US" w:eastAsia="zh-CN"/>
              </w:rPr>
            </w:pPr>
          </w:p>
        </w:tc>
        <w:tc>
          <w:tcPr>
            <w:tcW w:w="1117" w:type="dxa"/>
            <w:noWrap w:val="0"/>
            <w:vAlign w:val="center"/>
          </w:tcPr>
          <w:p>
            <w:pPr>
              <w:jc w:val="center"/>
              <w:rPr>
                <w:rFonts w:hint="eastAsia" w:ascii="宋体" w:hAnsi="宋体" w:eastAsia="宋体" w:cs="宋体"/>
                <w:b/>
                <w:bCs/>
                <w:color w:val="000000"/>
                <w:kern w:val="0"/>
                <w:sz w:val="28"/>
                <w:szCs w:val="28"/>
                <w:highlight w:val="none"/>
                <w:vertAlign w:val="baseline"/>
                <w:lang w:val="en-US" w:eastAsia="zh-CN" w:bidi="ar"/>
              </w:rPr>
            </w:pPr>
            <w:r>
              <w:rPr>
                <w:rFonts w:hint="eastAsia" w:ascii="宋体" w:hAnsi="宋体" w:eastAsia="宋体" w:cs="宋体"/>
                <w:b/>
                <w:bCs/>
                <w:color w:val="000000"/>
                <w:kern w:val="0"/>
                <w:sz w:val="28"/>
                <w:szCs w:val="28"/>
                <w:highlight w:val="none"/>
                <w:vertAlign w:val="baseline"/>
                <w:lang w:val="en-US" w:eastAsia="zh-CN" w:bidi="ar"/>
              </w:rPr>
              <w:t>业绩（</w:t>
            </w:r>
            <w:r>
              <w:rPr>
                <w:rFonts w:hint="eastAsia" w:ascii="宋体" w:hAnsi="宋体" w:cs="宋体"/>
                <w:b/>
                <w:bCs/>
                <w:color w:val="000000"/>
                <w:kern w:val="0"/>
                <w:sz w:val="28"/>
                <w:szCs w:val="28"/>
                <w:highlight w:val="none"/>
                <w:vertAlign w:val="baseline"/>
                <w:lang w:val="en-US" w:eastAsia="zh-CN" w:bidi="ar"/>
              </w:rPr>
              <w:t>25</w:t>
            </w:r>
            <w:r>
              <w:rPr>
                <w:rFonts w:hint="eastAsia" w:ascii="宋体" w:hAnsi="宋体" w:eastAsia="宋体" w:cs="宋体"/>
                <w:b/>
                <w:bCs/>
                <w:color w:val="000000"/>
                <w:kern w:val="0"/>
                <w:sz w:val="28"/>
                <w:szCs w:val="28"/>
                <w:highlight w:val="none"/>
                <w:vertAlign w:val="baseline"/>
                <w:lang w:val="en-US" w:eastAsia="zh-CN" w:bidi="ar"/>
              </w:rPr>
              <w:t>分）</w:t>
            </w:r>
          </w:p>
        </w:tc>
        <w:tc>
          <w:tcPr>
            <w:tcW w:w="7183" w:type="dxa"/>
            <w:noWrap w:val="0"/>
            <w:vAlign w:val="top"/>
          </w:tcPr>
          <w:p>
            <w:pPr>
              <w:pStyle w:val="98"/>
              <w:spacing w:before="37" w:line="311" w:lineRule="auto"/>
              <w:ind w:right="26" w:rightChars="0"/>
              <w:jc w:val="left"/>
              <w:rPr>
                <w:rFonts w:hint="eastAsia" w:ascii="宋体" w:hAnsi="宋体" w:eastAsia="宋体" w:cs="宋体"/>
                <w:color w:val="000000"/>
                <w:kern w:val="0"/>
                <w:sz w:val="28"/>
                <w:szCs w:val="28"/>
                <w:highlight w:val="none"/>
                <w:vertAlign w:val="baseline"/>
                <w:lang w:val="en-US" w:eastAsia="zh-CN" w:bidi="ar"/>
              </w:rPr>
            </w:pPr>
            <w:r>
              <w:rPr>
                <w:rFonts w:hint="eastAsia" w:ascii="宋体" w:hAnsi="宋体" w:eastAsia="宋体" w:cs="宋体"/>
                <w:color w:val="000000"/>
                <w:kern w:val="0"/>
                <w:sz w:val="28"/>
                <w:szCs w:val="28"/>
                <w:highlight w:val="none"/>
                <w:u w:val="none" w:color="000000"/>
                <w:vertAlign w:val="baseline"/>
                <w:lang w:val="en-US" w:eastAsia="zh-CN" w:bidi="ar"/>
              </w:rPr>
              <w:t>具有近三年（202</w:t>
            </w:r>
            <w:r>
              <w:rPr>
                <w:rFonts w:hint="eastAsia" w:cs="宋体"/>
                <w:color w:val="000000"/>
                <w:kern w:val="0"/>
                <w:sz w:val="28"/>
                <w:szCs w:val="28"/>
                <w:highlight w:val="none"/>
                <w:u w:val="none" w:color="000000"/>
                <w:vertAlign w:val="baseline"/>
                <w:lang w:val="en-US" w:eastAsia="zh-CN" w:bidi="ar"/>
              </w:rPr>
              <w:t>3</w:t>
            </w:r>
            <w:r>
              <w:rPr>
                <w:rFonts w:hint="eastAsia" w:ascii="宋体" w:hAnsi="宋体" w:eastAsia="宋体" w:cs="宋体"/>
                <w:color w:val="000000"/>
                <w:kern w:val="0"/>
                <w:sz w:val="28"/>
                <w:szCs w:val="28"/>
                <w:highlight w:val="none"/>
                <w:u w:val="none" w:color="000000"/>
                <w:vertAlign w:val="baseline"/>
                <w:lang w:val="en-US" w:eastAsia="zh-CN" w:bidi="ar"/>
              </w:rPr>
              <w:t>年</w:t>
            </w:r>
            <w:r>
              <w:rPr>
                <w:rFonts w:hint="eastAsia" w:cs="宋体"/>
                <w:color w:val="000000"/>
                <w:kern w:val="0"/>
                <w:sz w:val="28"/>
                <w:szCs w:val="28"/>
                <w:highlight w:val="none"/>
                <w:u w:val="none" w:color="000000"/>
                <w:vertAlign w:val="baseline"/>
                <w:lang w:val="en-US" w:eastAsia="zh-CN" w:bidi="ar"/>
              </w:rPr>
              <w:t>7</w:t>
            </w:r>
            <w:r>
              <w:rPr>
                <w:rFonts w:hint="eastAsia" w:ascii="宋体" w:hAnsi="宋体" w:eastAsia="宋体" w:cs="宋体"/>
                <w:color w:val="000000"/>
                <w:kern w:val="0"/>
                <w:sz w:val="28"/>
                <w:szCs w:val="28"/>
                <w:highlight w:val="none"/>
                <w:u w:val="none" w:color="000000"/>
                <w:vertAlign w:val="baseline"/>
                <w:lang w:val="en-US" w:eastAsia="zh-CN" w:bidi="ar"/>
              </w:rPr>
              <w:t>月</w:t>
            </w:r>
            <w:r>
              <w:rPr>
                <w:rFonts w:hint="eastAsia" w:cs="宋体"/>
                <w:color w:val="000000"/>
                <w:kern w:val="0"/>
                <w:sz w:val="28"/>
                <w:szCs w:val="28"/>
                <w:highlight w:val="none"/>
                <w:u w:val="none" w:color="000000"/>
                <w:vertAlign w:val="baseline"/>
                <w:lang w:val="en-US" w:eastAsia="zh-CN" w:bidi="ar"/>
              </w:rPr>
              <w:t>1日至今</w:t>
            </w:r>
            <w:r>
              <w:rPr>
                <w:rFonts w:hint="eastAsia" w:ascii="宋体" w:hAnsi="宋体" w:eastAsia="宋体" w:cs="宋体"/>
                <w:color w:val="000000"/>
                <w:kern w:val="0"/>
                <w:sz w:val="28"/>
                <w:szCs w:val="28"/>
                <w:highlight w:val="none"/>
                <w:u w:val="none" w:color="000000"/>
                <w:vertAlign w:val="baseline"/>
                <w:lang w:val="en-US" w:eastAsia="zh-CN" w:bidi="ar"/>
              </w:rPr>
              <w:t>）类似相关业绩，每提供1个得</w:t>
            </w:r>
            <w:r>
              <w:rPr>
                <w:rFonts w:hint="eastAsia" w:cs="宋体"/>
                <w:color w:val="000000"/>
                <w:kern w:val="0"/>
                <w:sz w:val="28"/>
                <w:szCs w:val="28"/>
                <w:highlight w:val="none"/>
                <w:u w:val="none" w:color="000000"/>
                <w:vertAlign w:val="baseline"/>
                <w:lang w:val="en-US" w:eastAsia="zh-CN" w:bidi="ar"/>
              </w:rPr>
              <w:t>5</w:t>
            </w:r>
            <w:r>
              <w:rPr>
                <w:rFonts w:hint="eastAsia" w:ascii="宋体" w:hAnsi="宋体" w:eastAsia="宋体" w:cs="宋体"/>
                <w:color w:val="000000"/>
                <w:kern w:val="0"/>
                <w:sz w:val="28"/>
                <w:szCs w:val="28"/>
                <w:highlight w:val="none"/>
                <w:u w:val="none" w:color="000000"/>
                <w:vertAlign w:val="baseline"/>
                <w:lang w:val="en-US" w:eastAsia="zh-CN" w:bidi="ar"/>
              </w:rPr>
              <w:t>分，最高得</w:t>
            </w:r>
            <w:r>
              <w:rPr>
                <w:rFonts w:hint="eastAsia" w:cs="宋体"/>
                <w:color w:val="000000"/>
                <w:kern w:val="0"/>
                <w:sz w:val="28"/>
                <w:szCs w:val="28"/>
                <w:highlight w:val="none"/>
                <w:u w:val="none" w:color="000000"/>
                <w:vertAlign w:val="baseline"/>
                <w:lang w:val="en-US" w:eastAsia="zh-CN" w:bidi="ar"/>
              </w:rPr>
              <w:t>25</w:t>
            </w:r>
            <w:r>
              <w:rPr>
                <w:rFonts w:hint="eastAsia" w:ascii="宋体" w:hAnsi="宋体" w:eastAsia="宋体" w:cs="宋体"/>
                <w:color w:val="000000"/>
                <w:kern w:val="0"/>
                <w:sz w:val="28"/>
                <w:szCs w:val="28"/>
                <w:highlight w:val="none"/>
                <w:u w:val="none" w:color="000000"/>
                <w:vertAlign w:val="baseline"/>
                <w:lang w:val="en-US" w:eastAsia="zh-CN" w:bidi="ar"/>
              </w:rPr>
              <w:t>分，</w:t>
            </w:r>
            <w:r>
              <w:rPr>
                <w:rFonts w:hint="eastAsia" w:cs="宋体"/>
                <w:color w:val="000000"/>
                <w:kern w:val="0"/>
                <w:sz w:val="28"/>
                <w:szCs w:val="28"/>
                <w:highlight w:val="none"/>
                <w:u w:val="none" w:color="000000"/>
                <w:vertAlign w:val="baseline"/>
                <w:lang w:val="en-US" w:eastAsia="zh-CN" w:bidi="ar"/>
              </w:rPr>
              <w:t>未提供</w:t>
            </w:r>
            <w:r>
              <w:rPr>
                <w:rFonts w:hint="eastAsia" w:ascii="宋体" w:hAnsi="宋体" w:eastAsia="宋体" w:cs="宋体"/>
                <w:color w:val="000000"/>
                <w:kern w:val="0"/>
                <w:sz w:val="28"/>
                <w:szCs w:val="28"/>
                <w:highlight w:val="none"/>
                <w:u w:val="none" w:color="000000"/>
                <w:vertAlign w:val="baseline"/>
                <w:lang w:val="en-US" w:eastAsia="zh-CN" w:bidi="ar"/>
              </w:rPr>
              <w:t>不得分。（以所附合同或中标通知书为准</w:t>
            </w:r>
            <w:r>
              <w:rPr>
                <w:rFonts w:hint="eastAsia" w:cs="宋体"/>
                <w:color w:val="000000"/>
                <w:kern w:val="0"/>
                <w:sz w:val="28"/>
                <w:szCs w:val="28"/>
                <w:highlight w:val="none"/>
                <w:u w:val="none" w:color="000000"/>
                <w:vertAlign w:val="baseline"/>
                <w:lang w:val="en-US" w:eastAsia="zh-CN" w:bidi="ar"/>
              </w:rPr>
              <w:t>，</w:t>
            </w:r>
            <w:r>
              <w:rPr>
                <w:rFonts w:hint="eastAsia" w:ascii="宋体" w:hAnsi="宋体" w:eastAsia="宋体" w:cs="宋体"/>
                <w:b w:val="0"/>
                <w:bCs w:val="0"/>
                <w:color w:val="auto"/>
                <w:sz w:val="28"/>
                <w:szCs w:val="28"/>
                <w:highlight w:val="none"/>
                <w:lang w:val="en-US" w:eastAsia="zh-CN" w:bidi="ar"/>
              </w:rPr>
              <w:t>复印件加盖公章</w:t>
            </w:r>
            <w:r>
              <w:rPr>
                <w:rFonts w:hint="eastAsia" w:ascii="宋体" w:hAnsi="宋体" w:eastAsia="宋体" w:cs="宋体"/>
                <w:color w:val="000000"/>
                <w:kern w:val="0"/>
                <w:sz w:val="28"/>
                <w:szCs w:val="28"/>
                <w:highlight w:val="none"/>
                <w:u w:val="none" w:color="000000"/>
                <w:vertAlign w:val="baseline"/>
                <w:lang w:val="en-US" w:eastAsia="zh-CN" w:bidi="ar"/>
              </w:rPr>
              <w:t>）</w:t>
            </w:r>
          </w:p>
        </w:tc>
        <w:tc>
          <w:tcPr>
            <w:tcW w:w="1940" w:type="dxa"/>
            <w:noWrap w:val="0"/>
            <w:vAlign w:val="top"/>
          </w:tcPr>
          <w:p>
            <w:pPr>
              <w:pStyle w:val="98"/>
              <w:spacing w:before="37" w:line="311" w:lineRule="auto"/>
              <w:ind w:right="26"/>
              <w:jc w:val="left"/>
              <w:rPr>
                <w:rFonts w:hint="default" w:ascii="宋体" w:hAnsi="宋体" w:eastAsia="宋体" w:cs="宋体"/>
                <w:color w:val="000000"/>
                <w:kern w:val="0"/>
                <w:sz w:val="28"/>
                <w:szCs w:val="28"/>
                <w:highlight w:val="none"/>
                <w:vertAlign w:val="baseline"/>
                <w:lang w:val="en-US" w:eastAsia="zh-CN" w:bidi="ar"/>
              </w:rPr>
            </w:pPr>
            <w:r>
              <w:rPr>
                <w:rFonts w:hint="eastAsia" w:cs="宋体"/>
                <w:color w:val="000000"/>
                <w:kern w:val="0"/>
                <w:sz w:val="28"/>
                <w:szCs w:val="28"/>
                <w:highlight w:val="none"/>
                <w:vertAlign w:val="baseline"/>
                <w:lang w:val="en-US" w:eastAsia="zh-CN" w:bidi="ar"/>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1" w:hRule="atLeast"/>
          <w:jc w:val="center"/>
        </w:trPr>
        <w:tc>
          <w:tcPr>
            <w:tcW w:w="799" w:type="dxa"/>
            <w:vMerge w:val="continue"/>
            <w:noWrap w:val="0"/>
            <w:vAlign w:val="center"/>
          </w:tcPr>
          <w:p>
            <w:pPr>
              <w:spacing w:line="560" w:lineRule="exact"/>
              <w:ind w:firstLine="560" w:firstLineChars="200"/>
              <w:rPr>
                <w:rFonts w:hint="eastAsia" w:ascii="宋体" w:hAnsi="宋体" w:eastAsia="宋体" w:cs="宋体"/>
                <w:color w:val="000000"/>
                <w:sz w:val="28"/>
                <w:szCs w:val="28"/>
                <w:highlight w:val="none"/>
                <w:lang w:val="en-US" w:eastAsia="zh-CN"/>
              </w:rPr>
            </w:pPr>
          </w:p>
        </w:tc>
        <w:tc>
          <w:tcPr>
            <w:tcW w:w="1117" w:type="dxa"/>
            <w:noWrap w:val="0"/>
            <w:vAlign w:val="center"/>
          </w:tcPr>
          <w:p>
            <w:pPr>
              <w:jc w:val="center"/>
              <w:rPr>
                <w:rFonts w:hint="eastAsia" w:ascii="宋体" w:hAnsi="宋体" w:eastAsia="宋体" w:cs="宋体"/>
                <w:b/>
                <w:bCs/>
                <w:color w:val="000000"/>
                <w:kern w:val="0"/>
                <w:sz w:val="28"/>
                <w:szCs w:val="28"/>
                <w:highlight w:val="none"/>
                <w:vertAlign w:val="baseline"/>
                <w:lang w:val="en-US" w:eastAsia="zh-CN" w:bidi="ar"/>
              </w:rPr>
            </w:pPr>
            <w:r>
              <w:rPr>
                <w:rFonts w:hint="eastAsia" w:ascii="宋体" w:hAnsi="宋体" w:eastAsia="宋体" w:cs="宋体"/>
                <w:b/>
                <w:bCs/>
                <w:color w:val="000000"/>
                <w:kern w:val="0"/>
                <w:sz w:val="28"/>
                <w:szCs w:val="28"/>
                <w:highlight w:val="none"/>
                <w:vertAlign w:val="baseline"/>
                <w:lang w:val="en-US" w:eastAsia="zh-CN" w:bidi="ar"/>
              </w:rPr>
              <w:t>人员配备（</w:t>
            </w:r>
            <w:r>
              <w:rPr>
                <w:rFonts w:hint="eastAsia" w:ascii="宋体" w:hAnsi="宋体" w:cs="宋体"/>
                <w:b/>
                <w:bCs/>
                <w:color w:val="000000"/>
                <w:kern w:val="0"/>
                <w:sz w:val="28"/>
                <w:szCs w:val="28"/>
                <w:highlight w:val="none"/>
                <w:vertAlign w:val="baseline"/>
                <w:lang w:val="en-US" w:eastAsia="zh-CN" w:bidi="ar"/>
              </w:rPr>
              <w:t>25</w:t>
            </w:r>
            <w:r>
              <w:rPr>
                <w:rFonts w:hint="eastAsia" w:ascii="宋体" w:hAnsi="宋体" w:eastAsia="宋体" w:cs="宋体"/>
                <w:b/>
                <w:bCs/>
                <w:color w:val="000000"/>
                <w:kern w:val="0"/>
                <w:sz w:val="28"/>
                <w:szCs w:val="28"/>
                <w:highlight w:val="none"/>
                <w:vertAlign w:val="baseline"/>
                <w:lang w:val="en-US" w:eastAsia="zh-CN" w:bidi="ar"/>
              </w:rPr>
              <w:t>分）</w:t>
            </w:r>
          </w:p>
        </w:tc>
        <w:tc>
          <w:tcPr>
            <w:tcW w:w="7183" w:type="dxa"/>
            <w:noWrap w:val="0"/>
            <w:vAlign w:val="top"/>
          </w:tcPr>
          <w:p>
            <w:pPr>
              <w:pStyle w:val="98"/>
              <w:spacing w:before="37" w:line="311" w:lineRule="auto"/>
              <w:ind w:right="26"/>
              <w:jc w:val="left"/>
              <w:rPr>
                <w:rFonts w:hint="eastAsia" w:ascii="宋体" w:hAnsi="宋体" w:eastAsia="宋体" w:cs="宋体"/>
                <w:color w:val="000000"/>
                <w:kern w:val="0"/>
                <w:sz w:val="28"/>
                <w:szCs w:val="28"/>
                <w:highlight w:val="none"/>
                <w:u w:val="none" w:color="000000"/>
                <w:vertAlign w:val="baseline"/>
                <w:lang w:val="en-US" w:eastAsia="zh-CN" w:bidi="ar"/>
              </w:rPr>
            </w:pPr>
            <w:r>
              <w:rPr>
                <w:rFonts w:hint="eastAsia" w:ascii="宋体" w:hAnsi="宋体" w:eastAsia="宋体" w:cs="宋体"/>
                <w:b/>
                <w:bCs/>
                <w:color w:val="000000"/>
                <w:kern w:val="0"/>
                <w:sz w:val="28"/>
                <w:szCs w:val="28"/>
                <w:highlight w:val="none"/>
                <w:u w:val="none" w:color="000000"/>
                <w:vertAlign w:val="baseline"/>
                <w:lang w:val="en-US" w:eastAsia="zh-CN" w:bidi="ar"/>
              </w:rPr>
              <w:t>1.项目负责人</w:t>
            </w:r>
            <w:r>
              <w:rPr>
                <w:rFonts w:hint="eastAsia" w:ascii="宋体" w:hAnsi="宋体" w:eastAsia="宋体" w:cs="宋体"/>
                <w:color w:val="000000"/>
                <w:kern w:val="0"/>
                <w:sz w:val="28"/>
                <w:szCs w:val="28"/>
                <w:highlight w:val="none"/>
                <w:u w:val="none" w:color="000000"/>
                <w:vertAlign w:val="baseline"/>
                <w:lang w:val="en-US" w:eastAsia="zh-CN" w:bidi="ar"/>
              </w:rPr>
              <w:t>：配备项目负责人，具有本科及以上学历计</w:t>
            </w:r>
            <w:r>
              <w:rPr>
                <w:rFonts w:hint="eastAsia" w:cs="宋体"/>
                <w:color w:val="000000"/>
                <w:kern w:val="0"/>
                <w:sz w:val="28"/>
                <w:szCs w:val="28"/>
                <w:highlight w:val="none"/>
                <w:u w:val="none" w:color="000000"/>
                <w:vertAlign w:val="baseline"/>
                <w:lang w:val="en-US" w:eastAsia="zh-CN" w:bidi="ar"/>
              </w:rPr>
              <w:t>4</w:t>
            </w:r>
            <w:r>
              <w:rPr>
                <w:rFonts w:hint="eastAsia" w:ascii="宋体" w:hAnsi="宋体" w:eastAsia="宋体" w:cs="宋体"/>
                <w:color w:val="000000"/>
                <w:kern w:val="0"/>
                <w:sz w:val="28"/>
                <w:szCs w:val="28"/>
                <w:highlight w:val="none"/>
                <w:u w:val="none" w:color="000000"/>
                <w:vertAlign w:val="baseline"/>
                <w:lang w:val="en-US" w:eastAsia="zh-CN" w:bidi="ar"/>
              </w:rPr>
              <w:t>分；具有相关专业中级以上职称计</w:t>
            </w:r>
            <w:r>
              <w:rPr>
                <w:rFonts w:hint="eastAsia" w:cs="宋体"/>
                <w:color w:val="000000"/>
                <w:kern w:val="0"/>
                <w:sz w:val="28"/>
                <w:szCs w:val="28"/>
                <w:highlight w:val="none"/>
                <w:u w:val="none" w:color="000000"/>
                <w:vertAlign w:val="baseline"/>
                <w:lang w:val="en-US" w:eastAsia="zh-CN" w:bidi="ar"/>
              </w:rPr>
              <w:t>3</w:t>
            </w:r>
            <w:r>
              <w:rPr>
                <w:rFonts w:hint="eastAsia" w:ascii="宋体" w:hAnsi="宋体" w:eastAsia="宋体" w:cs="宋体"/>
                <w:color w:val="000000"/>
                <w:kern w:val="0"/>
                <w:sz w:val="28"/>
                <w:szCs w:val="28"/>
                <w:highlight w:val="none"/>
                <w:u w:val="none" w:color="000000"/>
                <w:vertAlign w:val="baseline"/>
                <w:lang w:val="en-US" w:eastAsia="zh-CN" w:bidi="ar"/>
              </w:rPr>
              <w:t>分，满分</w:t>
            </w:r>
            <w:r>
              <w:rPr>
                <w:rFonts w:hint="eastAsia" w:cs="宋体"/>
                <w:color w:val="000000"/>
                <w:kern w:val="0"/>
                <w:sz w:val="28"/>
                <w:szCs w:val="28"/>
                <w:highlight w:val="none"/>
                <w:u w:val="none" w:color="000000"/>
                <w:vertAlign w:val="baseline"/>
                <w:lang w:val="en-US" w:eastAsia="zh-CN" w:bidi="ar"/>
              </w:rPr>
              <w:t>7</w:t>
            </w:r>
            <w:r>
              <w:rPr>
                <w:rFonts w:hint="eastAsia" w:ascii="宋体" w:hAnsi="宋体" w:eastAsia="宋体" w:cs="宋体"/>
                <w:color w:val="000000"/>
                <w:kern w:val="0"/>
                <w:sz w:val="28"/>
                <w:szCs w:val="28"/>
                <w:highlight w:val="none"/>
                <w:u w:val="none" w:color="000000"/>
                <w:vertAlign w:val="baseline"/>
                <w:lang w:val="en-US" w:eastAsia="zh-CN" w:bidi="ar"/>
              </w:rPr>
              <w:t>分。</w:t>
            </w:r>
          </w:p>
          <w:p>
            <w:pPr>
              <w:pStyle w:val="98"/>
              <w:spacing w:before="37" w:line="311" w:lineRule="auto"/>
              <w:ind w:right="26"/>
              <w:jc w:val="left"/>
              <w:rPr>
                <w:rFonts w:hint="default" w:ascii="宋体" w:hAnsi="宋体" w:eastAsia="宋体" w:cs="宋体"/>
                <w:color w:val="000000"/>
                <w:kern w:val="0"/>
                <w:sz w:val="28"/>
                <w:szCs w:val="28"/>
                <w:highlight w:val="none"/>
                <w:u w:val="none" w:color="000000"/>
                <w:vertAlign w:val="baseline"/>
                <w:lang w:val="en-US" w:eastAsia="zh-CN" w:bidi="ar"/>
              </w:rPr>
            </w:pPr>
            <w:r>
              <w:rPr>
                <w:rFonts w:hint="eastAsia" w:ascii="宋体" w:hAnsi="宋体" w:eastAsia="宋体" w:cs="宋体"/>
                <w:b/>
                <w:bCs/>
                <w:color w:val="000000"/>
                <w:kern w:val="0"/>
                <w:sz w:val="28"/>
                <w:szCs w:val="28"/>
                <w:highlight w:val="none"/>
                <w:u w:val="none" w:color="000000"/>
                <w:vertAlign w:val="baseline"/>
                <w:lang w:val="en-US" w:eastAsia="zh-CN" w:bidi="ar"/>
              </w:rPr>
              <w:t>2.项目团队成员</w:t>
            </w:r>
            <w:r>
              <w:rPr>
                <w:rFonts w:hint="eastAsia" w:cs="宋体"/>
                <w:b/>
                <w:bCs/>
                <w:color w:val="000000"/>
                <w:kern w:val="0"/>
                <w:sz w:val="28"/>
                <w:szCs w:val="28"/>
                <w:highlight w:val="none"/>
                <w:u w:val="none" w:color="000000"/>
                <w:vertAlign w:val="baseline"/>
                <w:lang w:val="en-US" w:eastAsia="zh-CN" w:bidi="ar"/>
              </w:rPr>
              <w:t>：</w:t>
            </w:r>
            <w:r>
              <w:rPr>
                <w:rFonts w:hint="eastAsia" w:ascii="宋体" w:hAnsi="宋体" w:eastAsia="宋体" w:cs="宋体"/>
                <w:color w:val="000000"/>
                <w:kern w:val="0"/>
                <w:sz w:val="28"/>
                <w:szCs w:val="28"/>
                <w:highlight w:val="none"/>
                <w:u w:val="none" w:color="000000"/>
                <w:vertAlign w:val="baseline"/>
                <w:lang w:val="en-US" w:eastAsia="zh-CN" w:bidi="ar"/>
              </w:rPr>
              <w:t>具有本科及以上学历计</w:t>
            </w:r>
            <w:r>
              <w:rPr>
                <w:rFonts w:hint="eastAsia" w:cs="宋体"/>
                <w:color w:val="000000"/>
                <w:kern w:val="0"/>
                <w:sz w:val="28"/>
                <w:szCs w:val="28"/>
                <w:highlight w:val="none"/>
                <w:u w:val="none" w:color="000000"/>
                <w:vertAlign w:val="baseline"/>
                <w:lang w:val="en-US" w:eastAsia="zh-CN" w:bidi="ar"/>
              </w:rPr>
              <w:t>3</w:t>
            </w:r>
            <w:r>
              <w:rPr>
                <w:rFonts w:hint="eastAsia" w:ascii="宋体" w:hAnsi="宋体" w:eastAsia="宋体" w:cs="宋体"/>
                <w:color w:val="000000"/>
                <w:kern w:val="0"/>
                <w:sz w:val="28"/>
                <w:szCs w:val="28"/>
                <w:highlight w:val="none"/>
                <w:u w:val="none" w:color="000000"/>
                <w:vertAlign w:val="baseline"/>
                <w:lang w:val="en-US" w:eastAsia="zh-CN" w:bidi="ar"/>
              </w:rPr>
              <w:t>分，</w:t>
            </w:r>
            <w:bookmarkStart w:id="75" w:name="OLE_LINK4"/>
            <w:r>
              <w:rPr>
                <w:rFonts w:hint="eastAsia" w:ascii="宋体" w:hAnsi="宋体" w:eastAsia="宋体" w:cs="宋体"/>
                <w:color w:val="000000"/>
                <w:kern w:val="0"/>
                <w:sz w:val="28"/>
                <w:szCs w:val="28"/>
                <w:highlight w:val="none"/>
                <w:u w:val="none" w:color="000000"/>
                <w:vertAlign w:val="baseline"/>
                <w:lang w:val="en-US" w:eastAsia="zh-CN" w:bidi="ar"/>
              </w:rPr>
              <w:t>最多得</w:t>
            </w:r>
            <w:r>
              <w:rPr>
                <w:rFonts w:hint="eastAsia" w:cs="宋体"/>
                <w:color w:val="000000"/>
                <w:kern w:val="0"/>
                <w:sz w:val="28"/>
                <w:szCs w:val="28"/>
                <w:highlight w:val="none"/>
                <w:u w:val="none" w:color="000000"/>
                <w:vertAlign w:val="baseline"/>
                <w:lang w:val="en-US" w:eastAsia="zh-CN" w:bidi="ar"/>
              </w:rPr>
              <w:t>6</w:t>
            </w:r>
            <w:r>
              <w:rPr>
                <w:rFonts w:hint="eastAsia" w:ascii="宋体" w:hAnsi="宋体" w:eastAsia="宋体" w:cs="宋体"/>
                <w:color w:val="000000"/>
                <w:kern w:val="0"/>
                <w:sz w:val="28"/>
                <w:szCs w:val="28"/>
                <w:highlight w:val="none"/>
                <w:u w:val="none" w:color="000000"/>
                <w:vertAlign w:val="baseline"/>
                <w:lang w:val="en-US" w:eastAsia="zh-CN" w:bidi="ar"/>
              </w:rPr>
              <w:t>分</w:t>
            </w:r>
            <w:bookmarkEnd w:id="75"/>
            <w:r>
              <w:rPr>
                <w:rFonts w:hint="eastAsia" w:ascii="宋体" w:hAnsi="宋体" w:eastAsia="宋体" w:cs="宋体"/>
                <w:color w:val="000000"/>
                <w:kern w:val="0"/>
                <w:sz w:val="28"/>
                <w:szCs w:val="28"/>
                <w:highlight w:val="none"/>
                <w:u w:val="none" w:color="000000"/>
                <w:vertAlign w:val="baseline"/>
                <w:lang w:val="en-US" w:eastAsia="zh-CN" w:bidi="ar"/>
              </w:rPr>
              <w:t>；具有相关专业中级以上职称计</w:t>
            </w:r>
            <w:r>
              <w:rPr>
                <w:rFonts w:hint="eastAsia" w:cs="宋体"/>
                <w:color w:val="000000"/>
                <w:kern w:val="0"/>
                <w:sz w:val="28"/>
                <w:szCs w:val="28"/>
                <w:highlight w:val="none"/>
                <w:u w:val="none" w:color="000000"/>
                <w:vertAlign w:val="baseline"/>
                <w:lang w:val="en-US" w:eastAsia="zh-CN" w:bidi="ar"/>
              </w:rPr>
              <w:t>3</w:t>
            </w:r>
            <w:r>
              <w:rPr>
                <w:rFonts w:hint="eastAsia" w:ascii="宋体" w:hAnsi="宋体" w:eastAsia="宋体" w:cs="宋体"/>
                <w:color w:val="000000"/>
                <w:kern w:val="0"/>
                <w:sz w:val="28"/>
                <w:szCs w:val="28"/>
                <w:highlight w:val="none"/>
                <w:u w:val="none" w:color="000000"/>
                <w:vertAlign w:val="baseline"/>
                <w:lang w:val="en-US" w:eastAsia="zh-CN" w:bidi="ar"/>
              </w:rPr>
              <w:t>分，最多得</w:t>
            </w:r>
            <w:r>
              <w:rPr>
                <w:rFonts w:hint="eastAsia" w:cs="宋体"/>
                <w:color w:val="000000"/>
                <w:kern w:val="0"/>
                <w:sz w:val="28"/>
                <w:szCs w:val="28"/>
                <w:highlight w:val="none"/>
                <w:u w:val="none" w:color="000000"/>
                <w:vertAlign w:val="baseline"/>
                <w:lang w:val="en-US" w:eastAsia="zh-CN" w:bidi="ar"/>
              </w:rPr>
              <w:t>12</w:t>
            </w:r>
            <w:r>
              <w:rPr>
                <w:rFonts w:hint="eastAsia" w:ascii="宋体" w:hAnsi="宋体" w:eastAsia="宋体" w:cs="宋体"/>
                <w:color w:val="000000"/>
                <w:kern w:val="0"/>
                <w:sz w:val="28"/>
                <w:szCs w:val="28"/>
                <w:highlight w:val="none"/>
                <w:u w:val="none" w:color="000000"/>
                <w:vertAlign w:val="baseline"/>
                <w:lang w:val="en-US" w:eastAsia="zh-CN" w:bidi="ar"/>
              </w:rPr>
              <w:t>分。满分18分</w:t>
            </w:r>
          </w:p>
          <w:p>
            <w:pPr>
              <w:pStyle w:val="98"/>
              <w:spacing w:before="37" w:line="311" w:lineRule="auto"/>
              <w:ind w:right="26"/>
              <w:jc w:val="left"/>
              <w:rPr>
                <w:rFonts w:hint="eastAsia" w:ascii="宋体" w:hAnsi="宋体" w:eastAsia="宋体" w:cs="宋体"/>
                <w:color w:val="000000"/>
                <w:kern w:val="0"/>
                <w:sz w:val="28"/>
                <w:szCs w:val="28"/>
                <w:highlight w:val="none"/>
                <w:u w:val="none" w:color="000000"/>
                <w:vertAlign w:val="baseline"/>
                <w:lang w:val="en-US" w:eastAsia="zh-CN" w:bidi="ar"/>
              </w:rPr>
            </w:pPr>
            <w:r>
              <w:rPr>
                <w:rFonts w:hint="eastAsia" w:ascii="宋体" w:hAnsi="宋体" w:eastAsia="宋体" w:cs="宋体"/>
                <w:color w:val="000000"/>
                <w:kern w:val="0"/>
                <w:sz w:val="28"/>
                <w:szCs w:val="28"/>
                <w:highlight w:val="none"/>
                <w:u w:val="none" w:color="000000"/>
                <w:vertAlign w:val="baseline"/>
                <w:lang w:val="en-US" w:eastAsia="zh-CN" w:bidi="ar"/>
              </w:rPr>
              <w:t>说明：以上所有人员不得重复且须提供相关证书复印件并加盖公章。</w:t>
            </w:r>
          </w:p>
          <w:p>
            <w:pPr>
              <w:pStyle w:val="98"/>
              <w:spacing w:before="37" w:line="311" w:lineRule="auto"/>
              <w:ind w:right="26"/>
              <w:jc w:val="left"/>
              <w:rPr>
                <w:rFonts w:hint="eastAsia" w:ascii="宋体" w:hAnsi="宋体" w:eastAsia="宋体" w:cs="宋体"/>
                <w:color w:val="000000"/>
                <w:kern w:val="0"/>
                <w:sz w:val="28"/>
                <w:szCs w:val="28"/>
                <w:highlight w:val="none"/>
                <w:vertAlign w:val="baseline"/>
                <w:lang w:val="en-US" w:eastAsia="zh-CN" w:bidi="ar"/>
              </w:rPr>
            </w:pPr>
            <w:r>
              <w:rPr>
                <w:rFonts w:hint="eastAsia" w:ascii="宋体" w:hAnsi="宋体" w:eastAsia="宋体" w:cs="宋体"/>
                <w:color w:val="000000"/>
                <w:kern w:val="0"/>
                <w:sz w:val="28"/>
                <w:szCs w:val="28"/>
                <w:highlight w:val="none"/>
                <w:u w:val="none" w:color="000000"/>
                <w:vertAlign w:val="baseline"/>
                <w:lang w:val="en-US" w:eastAsia="zh-CN" w:bidi="ar"/>
              </w:rPr>
              <w:t>未按上述要求提供证明材不计分。</w:t>
            </w:r>
          </w:p>
        </w:tc>
        <w:tc>
          <w:tcPr>
            <w:tcW w:w="1940" w:type="dxa"/>
            <w:noWrap w:val="0"/>
            <w:vAlign w:val="top"/>
          </w:tcPr>
          <w:p>
            <w:pPr>
              <w:pStyle w:val="98"/>
              <w:spacing w:before="37" w:line="311" w:lineRule="auto"/>
              <w:ind w:right="26"/>
              <w:jc w:val="left"/>
              <w:rPr>
                <w:rFonts w:hint="default" w:ascii="宋体" w:hAnsi="宋体" w:eastAsia="宋体" w:cs="宋体"/>
                <w:color w:val="000000"/>
                <w:kern w:val="0"/>
                <w:sz w:val="28"/>
                <w:szCs w:val="28"/>
                <w:highlight w:val="none"/>
                <w:u w:val="none" w:color="000000"/>
                <w:vertAlign w:val="baseline"/>
                <w:lang w:val="en-US" w:eastAsia="zh-CN" w:bidi="ar"/>
              </w:rPr>
            </w:pPr>
            <w:r>
              <w:rPr>
                <w:rFonts w:hint="eastAsia" w:cs="宋体"/>
                <w:color w:val="000000"/>
                <w:kern w:val="0"/>
                <w:sz w:val="28"/>
                <w:szCs w:val="28"/>
                <w:highlight w:val="none"/>
                <w:u w:val="none" w:color="000000"/>
                <w:vertAlign w:val="baseline"/>
                <w:lang w:val="en-US" w:eastAsia="zh-CN" w:bidi="ar"/>
              </w:rPr>
              <w:t>客观</w:t>
            </w:r>
          </w:p>
        </w:tc>
      </w:tr>
    </w:tbl>
    <w:p>
      <w:pPr>
        <w:bidi w:val="0"/>
        <w:rPr>
          <w:rFonts w:hint="eastAsia"/>
          <w:sz w:val="24"/>
          <w:szCs w:val="24"/>
        </w:rPr>
      </w:pPr>
    </w:p>
    <w:p>
      <w:pPr>
        <w:pStyle w:val="5"/>
        <w:bidi w:val="0"/>
        <w:rPr>
          <w:rFonts w:hint="eastAsia"/>
          <w:lang w:eastAsia="zh-CN"/>
        </w:rPr>
      </w:pPr>
      <w:r>
        <w:rPr>
          <w:rFonts w:hint="eastAsia"/>
        </w:rPr>
        <w:t>（十</w:t>
      </w:r>
      <w:r>
        <w:rPr>
          <w:rFonts w:hint="eastAsia"/>
          <w:lang w:eastAsia="zh-CN"/>
        </w:rPr>
        <w:t>四</w:t>
      </w:r>
      <w:r>
        <w:rPr>
          <w:rFonts w:hint="eastAsia"/>
        </w:rPr>
        <w:t>）推荐</w:t>
      </w:r>
      <w:r>
        <w:rPr>
          <w:rFonts w:hint="eastAsia"/>
          <w:lang w:eastAsia="zh-CN"/>
        </w:rPr>
        <w:t>成交候选人</w:t>
      </w:r>
      <w:bookmarkEnd w:id="74"/>
    </w:p>
    <w:p>
      <w:pPr>
        <w:bidi w:val="0"/>
        <w:rPr>
          <w:rFonts w:hint="eastAsia"/>
        </w:rPr>
      </w:pPr>
      <w:bookmarkStart w:id="76" w:name="_Toc12962"/>
      <w:r>
        <w:rPr>
          <w:rFonts w:hint="eastAsia"/>
        </w:rPr>
        <w:t>1、评委会将向采购人推荐1-3名</w:t>
      </w:r>
      <w:r>
        <w:rPr>
          <w:rFonts w:hint="eastAsia"/>
          <w:lang w:eastAsia="zh-CN"/>
        </w:rPr>
        <w:t>成交候选人</w:t>
      </w:r>
      <w:r>
        <w:rPr>
          <w:rFonts w:hint="eastAsia"/>
        </w:rPr>
        <w:t>。</w:t>
      </w:r>
      <w:bookmarkEnd w:id="76"/>
    </w:p>
    <w:p>
      <w:pPr>
        <w:bidi w:val="0"/>
        <w:rPr>
          <w:rFonts w:hint="eastAsia"/>
        </w:rPr>
      </w:pPr>
      <w:r>
        <w:rPr>
          <w:rFonts w:hint="eastAsia"/>
        </w:rPr>
        <w:t>2、</w:t>
      </w:r>
      <w:r>
        <w:rPr>
          <w:rFonts w:hint="eastAsia"/>
          <w:lang w:eastAsia="zh-CN"/>
        </w:rPr>
        <w:t>供应商</w:t>
      </w:r>
      <w:r>
        <w:rPr>
          <w:rFonts w:hint="eastAsia"/>
        </w:rPr>
        <w:t>得分相同时，按</w:t>
      </w:r>
      <w:r>
        <w:rPr>
          <w:rFonts w:hint="eastAsia"/>
          <w:lang w:eastAsia="zh-CN"/>
        </w:rPr>
        <w:t>竞争性磋商响应文件</w:t>
      </w:r>
      <w:r>
        <w:rPr>
          <w:rFonts w:hint="eastAsia"/>
        </w:rPr>
        <w:t>综合响应程度得分高者优先，决定</w:t>
      </w:r>
      <w:r>
        <w:rPr>
          <w:rFonts w:hint="eastAsia"/>
          <w:lang w:eastAsia="zh-CN"/>
        </w:rPr>
        <w:t>成交</w:t>
      </w:r>
      <w:r>
        <w:rPr>
          <w:rFonts w:hint="eastAsia"/>
        </w:rPr>
        <w:t>候选顺序。</w:t>
      </w:r>
    </w:p>
    <w:p>
      <w:pPr>
        <w:bidi w:val="0"/>
        <w:rPr>
          <w:rFonts w:hint="eastAsia"/>
        </w:rPr>
      </w:pPr>
      <w:bookmarkStart w:id="77" w:name="_Toc317"/>
      <w:r>
        <w:rPr>
          <w:rFonts w:hint="eastAsia"/>
        </w:rPr>
        <w:t>3、采购人对</w:t>
      </w:r>
      <w:r>
        <w:rPr>
          <w:rFonts w:hint="eastAsia"/>
          <w:lang w:eastAsia="zh-CN"/>
        </w:rPr>
        <w:t>成交候选人</w:t>
      </w:r>
      <w:r>
        <w:rPr>
          <w:rFonts w:hint="eastAsia"/>
        </w:rPr>
        <w:t>进行确认，签订合同等事宜。</w:t>
      </w:r>
      <w:bookmarkEnd w:id="77"/>
    </w:p>
    <w:p>
      <w:pPr>
        <w:pStyle w:val="5"/>
        <w:bidi w:val="0"/>
        <w:rPr>
          <w:rFonts w:hint="eastAsia"/>
        </w:rPr>
      </w:pPr>
      <w:bookmarkStart w:id="78" w:name="_Toc27137"/>
      <w:r>
        <w:rPr>
          <w:rFonts w:hint="eastAsia"/>
        </w:rPr>
        <w:t>（十</w:t>
      </w:r>
      <w:r>
        <w:rPr>
          <w:rFonts w:hint="eastAsia"/>
          <w:lang w:eastAsia="zh-CN"/>
        </w:rPr>
        <w:t>五</w:t>
      </w:r>
      <w:r>
        <w:rPr>
          <w:rFonts w:hint="eastAsia"/>
        </w:rPr>
        <w:t>）确定</w:t>
      </w:r>
      <w:r>
        <w:rPr>
          <w:rFonts w:hint="eastAsia"/>
          <w:lang w:eastAsia="zh-CN"/>
        </w:rPr>
        <w:t>成交人</w:t>
      </w:r>
      <w:r>
        <w:rPr>
          <w:rFonts w:hint="eastAsia"/>
        </w:rPr>
        <w:t>及签订合同</w:t>
      </w:r>
      <w:bookmarkEnd w:id="78"/>
    </w:p>
    <w:p>
      <w:pPr>
        <w:bidi w:val="0"/>
        <w:rPr>
          <w:rFonts w:hint="eastAsia" w:ascii="Times New Roman" w:hAnsi="Times New Roman" w:eastAsia="宋体" w:cs="Times New Roman"/>
        </w:rPr>
      </w:pPr>
      <w:r>
        <w:rPr>
          <w:rFonts w:hint="eastAsia" w:ascii="Times New Roman" w:hAnsi="Times New Roman" w:eastAsia="宋体" w:cs="Times New Roman"/>
        </w:rPr>
        <w:t>1、确定</w:t>
      </w:r>
      <w:r>
        <w:rPr>
          <w:rFonts w:hint="eastAsia" w:ascii="Times New Roman" w:hAnsi="Times New Roman" w:eastAsia="宋体" w:cs="Times New Roman"/>
          <w:lang w:eastAsia="zh-CN"/>
        </w:rPr>
        <w:t>成交人</w:t>
      </w:r>
      <w:r>
        <w:rPr>
          <w:rFonts w:hint="eastAsia" w:ascii="Times New Roman" w:hAnsi="Times New Roman" w:eastAsia="宋体" w:cs="Times New Roman"/>
        </w:rPr>
        <w:t>。代理机构将于采购人依法确定</w:t>
      </w:r>
      <w:r>
        <w:rPr>
          <w:rFonts w:hint="eastAsia" w:ascii="Times New Roman" w:hAnsi="Times New Roman" w:eastAsia="宋体" w:cs="Times New Roman"/>
          <w:lang w:eastAsia="zh-CN"/>
        </w:rPr>
        <w:t>成交人</w:t>
      </w:r>
      <w:r>
        <w:rPr>
          <w:rFonts w:hint="eastAsia" w:ascii="Times New Roman" w:hAnsi="Times New Roman" w:eastAsia="宋体" w:cs="Times New Roman"/>
        </w:rPr>
        <w:t>后发布</w:t>
      </w:r>
      <w:r>
        <w:rPr>
          <w:rFonts w:hint="eastAsia" w:ascii="Times New Roman" w:hAnsi="Times New Roman" w:eastAsia="宋体" w:cs="Times New Roman"/>
          <w:lang w:eastAsia="zh-CN"/>
        </w:rPr>
        <w:t>成交</w:t>
      </w:r>
      <w:r>
        <w:rPr>
          <w:rFonts w:hint="eastAsia" w:ascii="Times New Roman" w:hAnsi="Times New Roman" w:eastAsia="宋体" w:cs="Times New Roman"/>
        </w:rPr>
        <w:t>公告，并向</w:t>
      </w:r>
      <w:r>
        <w:rPr>
          <w:rFonts w:hint="eastAsia" w:ascii="Times New Roman" w:hAnsi="Times New Roman" w:eastAsia="宋体" w:cs="Times New Roman"/>
          <w:lang w:eastAsia="zh-CN"/>
        </w:rPr>
        <w:t>成交人</w:t>
      </w:r>
      <w:r>
        <w:rPr>
          <w:rFonts w:hint="eastAsia" w:ascii="Times New Roman" w:hAnsi="Times New Roman" w:eastAsia="宋体" w:cs="Times New Roman"/>
        </w:rPr>
        <w:t>发出</w:t>
      </w:r>
      <w:r>
        <w:rPr>
          <w:rFonts w:hint="eastAsia" w:ascii="Times New Roman" w:hAnsi="Times New Roman" w:eastAsia="宋体" w:cs="Times New Roman"/>
          <w:lang w:eastAsia="zh-CN"/>
        </w:rPr>
        <w:t>成交通知书</w:t>
      </w:r>
      <w:r>
        <w:rPr>
          <w:rFonts w:hint="eastAsia" w:ascii="Times New Roman" w:hAnsi="Times New Roman" w:eastAsia="宋体" w:cs="Times New Roman"/>
        </w:rPr>
        <w:t>。</w:t>
      </w:r>
      <w:r>
        <w:rPr>
          <w:rFonts w:hint="eastAsia" w:ascii="Times New Roman" w:hAnsi="Times New Roman" w:eastAsia="宋体" w:cs="Times New Roman"/>
          <w:lang w:eastAsia="zh-CN"/>
        </w:rPr>
        <w:t>成交人</w:t>
      </w:r>
      <w:r>
        <w:rPr>
          <w:rFonts w:hint="eastAsia" w:ascii="Times New Roman" w:hAnsi="Times New Roman" w:eastAsia="宋体" w:cs="Times New Roman"/>
        </w:rPr>
        <w:t>在接到通知后，必须在5个工作日内领取</w:t>
      </w:r>
      <w:r>
        <w:rPr>
          <w:rFonts w:hint="eastAsia" w:ascii="Times New Roman" w:hAnsi="Times New Roman" w:eastAsia="宋体" w:cs="Times New Roman"/>
          <w:lang w:eastAsia="zh-CN"/>
        </w:rPr>
        <w:t>成交通知书</w:t>
      </w:r>
      <w:r>
        <w:rPr>
          <w:rFonts w:hint="eastAsia" w:ascii="Times New Roman" w:hAnsi="Times New Roman" w:eastAsia="宋体" w:cs="Times New Roman"/>
        </w:rPr>
        <w:t>并交纳</w:t>
      </w:r>
      <w:r>
        <w:rPr>
          <w:rFonts w:hint="eastAsia" w:ascii="Times New Roman" w:hAnsi="Times New Roman" w:eastAsia="宋体" w:cs="Times New Roman"/>
          <w:lang w:eastAsia="zh-CN"/>
        </w:rPr>
        <w:t>采购</w:t>
      </w:r>
      <w:r>
        <w:rPr>
          <w:rFonts w:hint="eastAsia" w:ascii="Times New Roman" w:hAnsi="Times New Roman" w:eastAsia="宋体" w:cs="Times New Roman"/>
        </w:rPr>
        <w:t>代理服务费。</w:t>
      </w:r>
    </w:p>
    <w:p>
      <w:pPr>
        <w:bidi w:val="0"/>
        <w:rPr>
          <w:rFonts w:hint="eastAsia" w:ascii="Times New Roman" w:hAnsi="Times New Roman" w:eastAsia="宋体" w:cs="Times New Roman"/>
        </w:rPr>
      </w:pPr>
      <w:r>
        <w:rPr>
          <w:rFonts w:hint="eastAsia" w:ascii="Times New Roman" w:hAnsi="Times New Roman" w:eastAsia="宋体" w:cs="Times New Roman"/>
        </w:rPr>
        <w:t>2、采购人在签订合同时，保留根据项目实际情况在合法范围内进行调整的权力，包括对</w:t>
      </w:r>
      <w:r>
        <w:rPr>
          <w:rFonts w:hint="eastAsia" w:ascii="Times New Roman" w:hAnsi="Times New Roman" w:eastAsia="宋体" w:cs="Times New Roman"/>
          <w:lang w:eastAsia="zh-CN"/>
        </w:rPr>
        <w:t>项目</w:t>
      </w:r>
      <w:r>
        <w:rPr>
          <w:rFonts w:hint="eastAsia" w:ascii="Times New Roman" w:hAnsi="Times New Roman" w:eastAsia="宋体" w:cs="Times New Roman"/>
        </w:rPr>
        <w:t>服务予以增加或减少。</w:t>
      </w:r>
    </w:p>
    <w:p>
      <w:pPr>
        <w:bidi w:val="0"/>
        <w:rPr>
          <w:rFonts w:hint="eastAsia" w:ascii="Times New Roman" w:hAnsi="Times New Roman" w:eastAsia="宋体" w:cs="Times New Roman"/>
        </w:rPr>
      </w:pPr>
      <w:bookmarkStart w:id="79" w:name="_Toc13223"/>
      <w:r>
        <w:rPr>
          <w:rFonts w:hint="eastAsia" w:ascii="Times New Roman" w:hAnsi="Times New Roman" w:eastAsia="宋体" w:cs="Times New Roman"/>
        </w:rPr>
        <w:t>3、签订合同。</w:t>
      </w:r>
      <w:bookmarkEnd w:id="79"/>
    </w:p>
    <w:p>
      <w:pPr>
        <w:bidi w:val="0"/>
        <w:rPr>
          <w:rFonts w:hint="eastAsia" w:ascii="Times New Roman" w:hAnsi="Times New Roman" w:eastAsia="宋体" w:cs="Times New Roman"/>
        </w:rPr>
      </w:pPr>
      <w:r>
        <w:rPr>
          <w:rFonts w:hint="eastAsia" w:ascii="Times New Roman" w:hAnsi="Times New Roman" w:eastAsia="宋体" w:cs="Times New Roman"/>
        </w:rPr>
        <w:t>（1）</w:t>
      </w:r>
      <w:r>
        <w:rPr>
          <w:rFonts w:hint="eastAsia" w:ascii="Times New Roman" w:hAnsi="Times New Roman" w:eastAsia="宋体" w:cs="Times New Roman"/>
          <w:lang w:eastAsia="zh-CN"/>
        </w:rPr>
        <w:t>成交人</w:t>
      </w:r>
      <w:r>
        <w:rPr>
          <w:rFonts w:hint="eastAsia" w:ascii="Times New Roman" w:hAnsi="Times New Roman" w:eastAsia="宋体" w:cs="Times New Roman"/>
        </w:rPr>
        <w:t>应及时与采购人签订合同，代理机构作为见证方见证。</w:t>
      </w:r>
    </w:p>
    <w:p>
      <w:pPr>
        <w:bidi w:val="0"/>
        <w:rPr>
          <w:rFonts w:hint="eastAsia" w:ascii="Times New Roman" w:hAnsi="Times New Roman" w:eastAsia="宋体" w:cs="Times New Roman"/>
        </w:rPr>
      </w:pPr>
      <w:r>
        <w:rPr>
          <w:rFonts w:hint="eastAsia" w:ascii="Times New Roman" w:hAnsi="Times New Roman" w:eastAsia="宋体" w:cs="Times New Roman"/>
        </w:rPr>
        <w:t>（2）如果</w:t>
      </w:r>
      <w:r>
        <w:rPr>
          <w:rFonts w:hint="eastAsia" w:ascii="Times New Roman" w:hAnsi="Times New Roman" w:eastAsia="宋体" w:cs="Times New Roman"/>
          <w:lang w:eastAsia="zh-CN"/>
        </w:rPr>
        <w:t>成交人</w:t>
      </w:r>
      <w:r>
        <w:rPr>
          <w:rFonts w:hint="eastAsia" w:ascii="Times New Roman" w:hAnsi="Times New Roman" w:eastAsia="宋体" w:cs="Times New Roman"/>
        </w:rPr>
        <w:t>未能按规定领取</w:t>
      </w:r>
      <w:r>
        <w:rPr>
          <w:rFonts w:hint="eastAsia" w:ascii="Times New Roman" w:hAnsi="Times New Roman" w:eastAsia="宋体" w:cs="Times New Roman"/>
          <w:lang w:eastAsia="zh-CN"/>
        </w:rPr>
        <w:t>成交通知书</w:t>
      </w:r>
      <w:r>
        <w:rPr>
          <w:rFonts w:hint="eastAsia" w:ascii="Times New Roman" w:hAnsi="Times New Roman" w:eastAsia="宋体" w:cs="Times New Roman"/>
        </w:rPr>
        <w:t>并签约，经监管部门同意后，采购人将取消其</w:t>
      </w:r>
      <w:r>
        <w:rPr>
          <w:rFonts w:hint="eastAsia" w:ascii="Times New Roman" w:hAnsi="Times New Roman" w:eastAsia="宋体" w:cs="Times New Roman"/>
          <w:lang w:eastAsia="zh-CN"/>
        </w:rPr>
        <w:t>成交</w:t>
      </w:r>
      <w:r>
        <w:rPr>
          <w:rFonts w:hint="eastAsia" w:ascii="Times New Roman" w:hAnsi="Times New Roman" w:eastAsia="宋体" w:cs="Times New Roman"/>
        </w:rPr>
        <w:t>资格，并不退还其投标保证金。在此情况下将另选</w:t>
      </w:r>
      <w:r>
        <w:rPr>
          <w:rFonts w:hint="eastAsia" w:ascii="Times New Roman" w:hAnsi="Times New Roman" w:eastAsia="宋体" w:cs="Times New Roman"/>
          <w:lang w:eastAsia="zh-CN"/>
        </w:rPr>
        <w:t>成交人</w:t>
      </w:r>
      <w:r>
        <w:rPr>
          <w:rFonts w:hint="eastAsia" w:ascii="Times New Roman" w:hAnsi="Times New Roman" w:eastAsia="宋体" w:cs="Times New Roman"/>
        </w:rPr>
        <w:t>或重新招标。</w:t>
      </w:r>
    </w:p>
    <w:p>
      <w:pPr>
        <w:bidi w:val="0"/>
        <w:rPr>
          <w:rFonts w:hint="eastAsia" w:ascii="Times New Roman" w:hAnsi="Times New Roman" w:eastAsia="宋体" w:cs="Times New Roman"/>
        </w:rPr>
      </w:pPr>
      <w:r>
        <w:rPr>
          <w:rFonts w:hint="eastAsia" w:ascii="Times New Roman" w:hAnsi="Times New Roman" w:eastAsia="宋体" w:cs="Times New Roman"/>
        </w:rPr>
        <w:t>4、</w:t>
      </w:r>
      <w:r>
        <w:rPr>
          <w:rFonts w:hint="eastAsia" w:ascii="Times New Roman" w:hAnsi="Times New Roman" w:eastAsia="宋体" w:cs="Times New Roman"/>
          <w:lang w:eastAsia="zh-CN"/>
        </w:rPr>
        <w:t>竞争性磋商文件</w:t>
      </w:r>
      <w:r>
        <w:rPr>
          <w:rFonts w:hint="eastAsia" w:ascii="Times New Roman" w:hAnsi="Times New Roman" w:eastAsia="宋体" w:cs="Times New Roman"/>
        </w:rPr>
        <w:t>、</w:t>
      </w:r>
      <w:r>
        <w:rPr>
          <w:rFonts w:hint="eastAsia" w:ascii="Times New Roman" w:hAnsi="Times New Roman" w:eastAsia="宋体" w:cs="Times New Roman"/>
          <w:lang w:eastAsia="zh-CN"/>
        </w:rPr>
        <w:t>成交人</w:t>
      </w:r>
      <w:r>
        <w:rPr>
          <w:rFonts w:hint="eastAsia" w:ascii="Times New Roman" w:hAnsi="Times New Roman" w:eastAsia="宋体" w:cs="Times New Roman"/>
        </w:rPr>
        <w:t>的</w:t>
      </w:r>
      <w:r>
        <w:rPr>
          <w:rFonts w:hint="eastAsia" w:ascii="Times New Roman" w:hAnsi="Times New Roman" w:eastAsia="宋体" w:cs="Times New Roman"/>
          <w:lang w:eastAsia="zh-CN"/>
        </w:rPr>
        <w:t>竞争性磋商响应文件</w:t>
      </w:r>
      <w:r>
        <w:rPr>
          <w:rFonts w:hint="eastAsia" w:ascii="Times New Roman" w:hAnsi="Times New Roman" w:eastAsia="宋体" w:cs="Times New Roman"/>
        </w:rPr>
        <w:t>、对</w:t>
      </w:r>
      <w:r>
        <w:rPr>
          <w:rFonts w:hint="eastAsia" w:ascii="Times New Roman" w:hAnsi="Times New Roman" w:eastAsia="宋体" w:cs="Times New Roman"/>
          <w:lang w:eastAsia="zh-CN"/>
        </w:rPr>
        <w:t>竞争性磋商响应文件</w:t>
      </w:r>
      <w:r>
        <w:rPr>
          <w:rFonts w:hint="eastAsia" w:ascii="Times New Roman" w:hAnsi="Times New Roman" w:eastAsia="宋体" w:cs="Times New Roman"/>
        </w:rPr>
        <w:t>的书面澄清、</w:t>
      </w:r>
      <w:r>
        <w:rPr>
          <w:rFonts w:hint="eastAsia" w:ascii="Times New Roman" w:hAnsi="Times New Roman" w:eastAsia="宋体" w:cs="Times New Roman"/>
          <w:lang w:eastAsia="zh-CN"/>
        </w:rPr>
        <w:t>成交通知书</w:t>
      </w:r>
      <w:r>
        <w:rPr>
          <w:rFonts w:hint="eastAsia" w:ascii="Times New Roman" w:hAnsi="Times New Roman" w:eastAsia="宋体" w:cs="Times New Roman"/>
        </w:rPr>
        <w:t>等均作为合同的附件，是合同的组成部分。</w:t>
      </w:r>
    </w:p>
    <w:p>
      <w:pPr>
        <w:keepNext w:val="0"/>
        <w:keepLines w:val="0"/>
        <w:pageBreakBefore w:val="0"/>
        <w:widowControl/>
        <w:kinsoku/>
        <w:wordWrap/>
        <w:overflowPunct/>
        <w:topLinePunct w:val="0"/>
        <w:autoSpaceDE/>
        <w:autoSpaceDN/>
        <w:bidi w:val="0"/>
        <w:adjustRightInd/>
        <w:snapToGrid/>
        <w:spacing w:line="460" w:lineRule="exact"/>
        <w:jc w:val="left"/>
        <w:textAlignment w:val="baseline"/>
        <w:rPr>
          <w:rFonts w:hint="eastAsia" w:ascii="宋体" w:hAnsi="宋体" w:eastAsia="宋体" w:cs="宋体"/>
          <w:color w:val="auto"/>
          <w:sz w:val="24"/>
          <w:szCs w:val="24"/>
          <w:highlight w:val="none"/>
        </w:rPr>
        <w:sectPr>
          <w:footerReference r:id="rId15" w:type="default"/>
          <w:pgSz w:w="11906" w:h="16838"/>
          <w:pgMar w:top="1440" w:right="1253" w:bottom="1440" w:left="1310" w:header="907" w:footer="680" w:gutter="0"/>
          <w:pgNumType w:fmt="decimal" w:start="1"/>
          <w:cols w:space="720" w:num="1"/>
          <w:docGrid w:type="lines" w:linePitch="312" w:charSpace="0"/>
        </w:sectPr>
      </w:pPr>
    </w:p>
    <w:p>
      <w:pPr>
        <w:pStyle w:val="3"/>
        <w:numPr>
          <w:ilvl w:val="0"/>
          <w:numId w:val="1"/>
        </w:numPr>
        <w:bidi w:val="0"/>
        <w:rPr>
          <w:rFonts w:hint="eastAsia" w:ascii="宋体" w:hAnsi="宋体" w:eastAsia="宋体" w:cs="宋体"/>
          <w:color w:val="auto"/>
          <w:sz w:val="36"/>
          <w:szCs w:val="36"/>
          <w:lang w:val="zh-CN" w:eastAsia="zh-CN"/>
        </w:rPr>
      </w:pPr>
      <w:bookmarkStart w:id="80" w:name="_Toc6518"/>
      <w:bookmarkStart w:id="81" w:name="_Toc25881"/>
      <w:bookmarkStart w:id="82" w:name="_Toc31486"/>
      <w:bookmarkStart w:id="83" w:name="_Toc23082"/>
      <w:bookmarkStart w:id="84" w:name="_Toc10579"/>
      <w:bookmarkStart w:id="85" w:name="_Toc30425"/>
      <w:bookmarkStart w:id="86" w:name="_Toc30861"/>
      <w:bookmarkStart w:id="87" w:name="_Toc1004"/>
      <w:bookmarkStart w:id="88" w:name="_Toc450138942"/>
      <w:r>
        <w:rPr>
          <w:rFonts w:hint="eastAsia" w:ascii="宋体" w:hAnsi="宋体" w:eastAsia="宋体" w:cs="宋体"/>
          <w:color w:val="auto"/>
          <w:sz w:val="36"/>
          <w:szCs w:val="36"/>
          <w:lang w:val="en-US" w:eastAsia="zh-CN"/>
        </w:rPr>
        <w:t xml:space="preserve">  </w:t>
      </w:r>
      <w:bookmarkStart w:id="89" w:name="_Toc1487"/>
      <w:r>
        <w:rPr>
          <w:rFonts w:hint="eastAsia" w:ascii="宋体" w:hAnsi="宋体" w:cs="宋体"/>
          <w:color w:val="auto"/>
          <w:sz w:val="36"/>
          <w:szCs w:val="36"/>
          <w:lang w:val="en-US" w:eastAsia="zh-CN"/>
        </w:rPr>
        <w:t>服务</w:t>
      </w:r>
      <w:r>
        <w:rPr>
          <w:rFonts w:hint="eastAsia" w:ascii="宋体" w:hAnsi="宋体" w:eastAsia="宋体" w:cs="宋体"/>
          <w:color w:val="auto"/>
          <w:sz w:val="36"/>
          <w:szCs w:val="36"/>
          <w:lang w:val="zh-CN" w:eastAsia="zh-CN"/>
        </w:rPr>
        <w:t>内容</w:t>
      </w:r>
      <w:bookmarkEnd w:id="80"/>
      <w:bookmarkEnd w:id="81"/>
      <w:bookmarkEnd w:id="82"/>
      <w:bookmarkEnd w:id="83"/>
      <w:bookmarkEnd w:id="84"/>
      <w:bookmarkEnd w:id="85"/>
      <w:bookmarkEnd w:id="86"/>
      <w:bookmarkEnd w:id="87"/>
      <w:bookmarkEnd w:id="89"/>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 项目概况</w:t>
      </w: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1.1项目名称：</w:t>
      </w:r>
      <w:r>
        <w:rPr>
          <w:rFonts w:hint="eastAsia" w:cs="Times New Roman"/>
          <w:highlight w:val="none"/>
          <w:lang w:val="en-US" w:eastAsia="zh-CN"/>
        </w:rPr>
        <w:t>扶风县城新区东二路、西二路、北二路、扶法路排水防涝工程EPC总承包监理（二次）</w:t>
      </w: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1.2采购内容：</w:t>
      </w:r>
      <w:r>
        <w:rPr>
          <w:rFonts w:hint="eastAsia" w:ascii="Times New Roman" w:hAnsi="Times New Roman" w:eastAsia="宋体" w:cs="Times New Roman"/>
          <w:highlight w:val="none"/>
          <w:lang w:val="en-US" w:eastAsia="zh-CN"/>
        </w:rPr>
        <w:t>该工程主要对扶风县城新区东二路、西二路、北二路、扶法路排水管网进行雨污分流改造，共改造钢筋混凝土雨水主管道4672米，其中在东二路（周礼路-南二路）改造管径为d1000雨水主管道971米，在西二路（周礼路-环城南路）改造管径为d1000~d1350雨水主管道1614米，在北二路（西二路-鼎盛路）改造管径为d1000雨水主管道1070米，在扶法路（北一路-环城南路）改造管径为d1200~d1350雨水主管道1017米；并配套管径为d300~d600钢筋混凝土连接支管共5760.27米，预埋管径为d500~d1200钢筋混凝土雨水主管道共1882.33米。同时设置钢筋混凝土雨水检查井共115座，偏沟式双箅雨水口共260座，开挖工作坑共69座，并恢复开挖破除的现状路面等。</w:t>
      </w: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1.</w:t>
      </w:r>
      <w:r>
        <w:rPr>
          <w:rFonts w:hint="eastAsia" w:cs="Times New Roman"/>
          <w:highlight w:val="none"/>
          <w:lang w:val="en-US" w:eastAsia="zh-CN"/>
        </w:rPr>
        <w:t>3</w:t>
      </w:r>
      <w:r>
        <w:rPr>
          <w:rFonts w:hint="eastAsia" w:ascii="Times New Roman" w:hAnsi="Times New Roman" w:eastAsia="宋体" w:cs="Times New Roman"/>
          <w:highlight w:val="none"/>
        </w:rPr>
        <w:t>实施地点：</w:t>
      </w:r>
      <w:r>
        <w:rPr>
          <w:rFonts w:hint="eastAsia" w:ascii="Times New Roman" w:hAnsi="Times New Roman" w:eastAsia="宋体" w:cs="Times New Roman"/>
          <w:highlight w:val="none"/>
          <w:lang w:val="en-US" w:eastAsia="zh-CN"/>
        </w:rPr>
        <w:t>扶风县</w:t>
      </w: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w:t>
      </w:r>
      <w:r>
        <w:rPr>
          <w:rFonts w:hint="eastAsia" w:cs="Times New Roman"/>
          <w:highlight w:val="none"/>
          <w:lang w:val="en-US" w:eastAsia="zh-CN"/>
        </w:rPr>
        <w:t>4</w:t>
      </w:r>
      <w:r>
        <w:rPr>
          <w:rFonts w:hint="eastAsia" w:ascii="Times New Roman" w:hAnsi="Times New Roman" w:eastAsia="宋体" w:cs="Times New Roman"/>
          <w:highlight w:val="none"/>
          <w:lang w:val="en-US" w:eastAsia="zh-CN"/>
        </w:rPr>
        <w:t>监理服务期：扶风县城新区东二路、西二路、北二路、扶法路排水防涝工程EPC总承包全过程监理</w:t>
      </w: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w:t>
      </w:r>
      <w:r>
        <w:rPr>
          <w:rFonts w:hint="eastAsia" w:cs="Times New Roman"/>
          <w:highlight w:val="none"/>
          <w:lang w:val="en-US" w:eastAsia="zh-CN"/>
        </w:rPr>
        <w:t>5</w:t>
      </w:r>
      <w:r>
        <w:rPr>
          <w:rFonts w:hint="eastAsia" w:ascii="Times New Roman" w:hAnsi="Times New Roman" w:eastAsia="宋体" w:cs="Times New Roman"/>
          <w:highlight w:val="none"/>
          <w:lang w:val="en-US" w:eastAsia="zh-CN"/>
        </w:rPr>
        <w:t>质量标准：合格</w:t>
      </w:r>
    </w:p>
    <w:p>
      <w:pPr>
        <w:spacing w:line="480" w:lineRule="exact"/>
        <w:ind w:firstLine="643" w:firstLineChars="200"/>
        <w:rPr>
          <w:rFonts w:hint="eastAsia" w:ascii="仿宋_GB2312" w:hAnsi="仿宋_GB2312" w:eastAsia="仿宋_GB2312" w:cs="仿宋_GB2312"/>
          <w:b/>
          <w:bCs w:val="0"/>
          <w:sz w:val="32"/>
          <w:szCs w:val="32"/>
        </w:rPr>
      </w:pPr>
    </w:p>
    <w:p>
      <w:pPr>
        <w:rPr>
          <w:rFonts w:hint="eastAsia" w:ascii="宋体" w:hAnsi="宋体" w:eastAsia="宋体" w:cs="宋体"/>
          <w:color w:val="auto"/>
          <w:sz w:val="36"/>
          <w:szCs w:val="36"/>
          <w:lang w:val="zh-CN" w:eastAsia="zh-CN"/>
        </w:rPr>
      </w:pPr>
      <w:r>
        <w:rPr>
          <w:rFonts w:hint="eastAsia" w:ascii="宋体" w:hAnsi="宋体" w:eastAsia="宋体" w:cs="宋体"/>
          <w:color w:val="auto"/>
          <w:sz w:val="36"/>
          <w:szCs w:val="36"/>
          <w:lang w:val="zh-CN" w:eastAsia="zh-CN"/>
        </w:rPr>
        <w:br w:type="page"/>
      </w:r>
    </w:p>
    <w:bookmarkEnd w:id="88"/>
    <w:p>
      <w:pPr>
        <w:pStyle w:val="3"/>
        <w:pageBreakBefore w:val="0"/>
        <w:wordWrap/>
        <w:overflowPunct/>
        <w:topLinePunct w:val="0"/>
        <w:bidi w:val="0"/>
        <w:spacing w:before="0" w:after="0" w:line="600" w:lineRule="exact"/>
        <w:jc w:val="center"/>
        <w:rPr>
          <w:rFonts w:hint="eastAsia" w:ascii="宋体" w:hAnsi="宋体" w:eastAsia="宋体" w:cs="宋体"/>
          <w:highlight w:val="none"/>
          <w:lang w:eastAsia="zh-CN"/>
        </w:rPr>
      </w:pPr>
      <w:bookmarkStart w:id="90" w:name="_Toc4409"/>
      <w:bookmarkStart w:id="91" w:name="_Toc29169"/>
      <w:bookmarkStart w:id="92" w:name="_Toc328739379"/>
      <w:bookmarkStart w:id="93" w:name="_Toc15858"/>
      <w:r>
        <w:rPr>
          <w:rFonts w:hint="eastAsia" w:ascii="宋体" w:hAnsi="宋体" w:eastAsia="宋体" w:cs="宋体"/>
          <w:highlight w:val="none"/>
          <w:lang w:eastAsia="zh-CN"/>
        </w:rPr>
        <w:t>第四部分</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商务要求</w:t>
      </w:r>
      <w:bookmarkEnd w:id="90"/>
    </w:p>
    <w:p>
      <w:pPr>
        <w:keepNext w:val="0"/>
        <w:keepLines w:val="0"/>
        <w:pageBreakBefore w:val="0"/>
        <w:kinsoku/>
        <w:wordWrap/>
        <w:overflowPunct/>
        <w:topLinePunct w:val="0"/>
        <w:autoSpaceDE/>
        <w:autoSpaceDN/>
        <w:bidi w:val="0"/>
        <w:adjustRightInd w:val="0"/>
        <w:snapToGrid w:val="0"/>
        <w:spacing w:line="360" w:lineRule="auto"/>
        <w:ind w:firstLine="562" w:firstLineChars="200"/>
        <w:rPr>
          <w:rFonts w:hint="eastAsia" w:ascii="宋体" w:hAnsi="宋体" w:eastAsia="宋体" w:cs="宋体"/>
          <w:b/>
          <w:color w:val="000000"/>
          <w:sz w:val="28"/>
          <w:szCs w:val="28"/>
          <w:highlight w:val="none"/>
        </w:rPr>
      </w:pPr>
      <w:bookmarkStart w:id="94" w:name="_Toc31686"/>
      <w:r>
        <w:rPr>
          <w:rFonts w:hint="eastAsia" w:ascii="宋体" w:hAnsi="宋体" w:eastAsia="宋体" w:cs="宋体"/>
          <w:b/>
          <w:color w:val="000000"/>
          <w:sz w:val="28"/>
          <w:szCs w:val="28"/>
        </w:rPr>
        <w:t>一</w:t>
      </w:r>
      <w:r>
        <w:rPr>
          <w:rFonts w:hint="eastAsia" w:ascii="宋体" w:hAnsi="宋体" w:eastAsia="宋体" w:cs="宋体"/>
          <w:b/>
          <w:color w:val="000000"/>
          <w:sz w:val="28"/>
          <w:szCs w:val="28"/>
          <w:highlight w:val="none"/>
        </w:rPr>
        <w:t>、</w:t>
      </w:r>
      <w:r>
        <w:rPr>
          <w:rFonts w:hint="eastAsia" w:ascii="宋体" w:hAnsi="宋体" w:eastAsia="宋体" w:cs="宋体"/>
          <w:b/>
          <w:color w:val="000000"/>
          <w:sz w:val="28"/>
          <w:szCs w:val="28"/>
          <w:highlight w:val="none"/>
          <w:lang w:eastAsia="zh-CN"/>
        </w:rPr>
        <w:t>服务期限及服务地点</w:t>
      </w:r>
      <w:r>
        <w:rPr>
          <w:rFonts w:hint="eastAsia" w:ascii="宋体" w:hAnsi="宋体" w:eastAsia="宋体" w:cs="宋体"/>
          <w:b/>
          <w:color w:val="000000"/>
          <w:sz w:val="28"/>
          <w:szCs w:val="28"/>
          <w:highlight w:val="none"/>
        </w:rPr>
        <w:t>：</w:t>
      </w:r>
      <w:bookmarkEnd w:id="94"/>
    </w:p>
    <w:p>
      <w:pPr>
        <w:pageBreakBefore w:val="0"/>
        <w:kinsoku/>
        <w:wordWrap/>
        <w:overflowPunct/>
        <w:topLinePunct w:val="0"/>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lang w:eastAsia="zh-CN"/>
        </w:rPr>
        <w:t>限</w:t>
      </w:r>
      <w:r>
        <w:rPr>
          <w:rFonts w:hint="eastAsia" w:ascii="宋体" w:hAnsi="宋体" w:eastAsia="宋体" w:cs="宋体"/>
          <w:color w:val="auto"/>
          <w:sz w:val="28"/>
          <w:szCs w:val="28"/>
          <w:highlight w:val="none"/>
        </w:rPr>
        <w:t>：</w:t>
      </w:r>
      <w:r>
        <w:rPr>
          <w:rFonts w:hint="eastAsia" w:ascii="宋体" w:hAnsi="宋体" w:cs="宋体"/>
          <w:sz w:val="28"/>
          <w:szCs w:val="28"/>
          <w:highlight w:val="none"/>
          <w:lang w:eastAsia="zh-CN"/>
        </w:rPr>
        <w:t>扶风县城新区东二路、西二路、北二路、扶法路排水防涝工程EPC总承包</w:t>
      </w:r>
      <w:r>
        <w:rPr>
          <w:rFonts w:hint="eastAsia" w:ascii="宋体" w:hAnsi="宋体" w:cs="宋体"/>
          <w:sz w:val="28"/>
          <w:szCs w:val="28"/>
          <w:highlight w:val="none"/>
          <w:lang w:val="en-US" w:eastAsia="zh-CN"/>
        </w:rPr>
        <w:t>全过程监理</w:t>
      </w:r>
    </w:p>
    <w:p>
      <w:pPr>
        <w:keepNext w:val="0"/>
        <w:keepLines w:val="0"/>
        <w:pageBreakBefore w:val="0"/>
        <w:widowControl w:val="0"/>
        <w:shd w:val="clear"/>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服务</w:t>
      </w:r>
      <w:r>
        <w:rPr>
          <w:rFonts w:hint="eastAsia" w:ascii="宋体" w:hAnsi="宋体" w:eastAsia="宋体" w:cs="宋体"/>
          <w:color w:val="auto"/>
          <w:sz w:val="28"/>
          <w:szCs w:val="28"/>
          <w:highlight w:val="none"/>
        </w:rPr>
        <w:t>地点：采购人指定地点</w:t>
      </w:r>
    </w:p>
    <w:p>
      <w:pPr>
        <w:keepNext w:val="0"/>
        <w:keepLines w:val="0"/>
        <w:pageBreakBefore w:val="0"/>
        <w:kinsoku/>
        <w:wordWrap/>
        <w:overflowPunct/>
        <w:topLinePunct w:val="0"/>
        <w:autoSpaceDE/>
        <w:autoSpaceDN/>
        <w:bidi w:val="0"/>
        <w:adjustRightInd w:val="0"/>
        <w:snapToGrid w:val="0"/>
        <w:spacing w:line="360" w:lineRule="auto"/>
        <w:ind w:firstLine="562" w:firstLineChars="200"/>
        <w:rPr>
          <w:rFonts w:hint="eastAsia" w:ascii="宋体" w:hAnsi="宋体" w:cs="宋体"/>
          <w:color w:val="000000"/>
          <w:sz w:val="28"/>
          <w:szCs w:val="28"/>
          <w:highlight w:val="none"/>
        </w:rPr>
      </w:pPr>
      <w:r>
        <w:rPr>
          <w:rFonts w:hint="eastAsia" w:ascii="宋体" w:hAnsi="宋体" w:cs="宋体"/>
          <w:b/>
          <w:color w:val="000000"/>
          <w:sz w:val="28"/>
          <w:szCs w:val="28"/>
          <w:highlight w:val="none"/>
        </w:rPr>
        <w:t>二、付款方式</w:t>
      </w:r>
      <w:r>
        <w:rPr>
          <w:rFonts w:hint="eastAsia" w:ascii="宋体" w:hAnsi="宋体" w:cs="宋体"/>
          <w:color w:val="000000"/>
          <w:sz w:val="28"/>
          <w:szCs w:val="28"/>
          <w:highlight w:val="none"/>
        </w:rPr>
        <w:t>：</w:t>
      </w:r>
    </w:p>
    <w:p>
      <w:pPr>
        <w:keepNext w:val="0"/>
        <w:keepLines w:val="0"/>
        <w:pageBreakBefore w:val="0"/>
        <w:kinsoku/>
        <w:wordWrap/>
        <w:overflowPunct/>
        <w:topLinePunct w:val="0"/>
        <w:autoSpaceDE/>
        <w:autoSpaceDN/>
        <w:bidi w:val="0"/>
        <w:adjustRightInd w:val="0"/>
        <w:snapToGrid w:val="0"/>
        <w:spacing w:line="360" w:lineRule="auto"/>
        <w:ind w:left="1" w:firstLine="560" w:firstLineChars="200"/>
        <w:rPr>
          <w:rFonts w:hint="eastAsia" w:ascii="宋体" w:hAnsi="宋体" w:cs="宋体"/>
          <w:color w:val="000000"/>
          <w:sz w:val="28"/>
          <w:szCs w:val="28"/>
          <w:highlight w:val="none"/>
        </w:rPr>
      </w:pPr>
      <w:bookmarkStart w:id="95" w:name="_Toc167712849"/>
      <w:bookmarkStart w:id="96" w:name="_Toc167714047"/>
      <w:bookmarkStart w:id="97" w:name="_Toc167715244"/>
      <w:r>
        <w:rPr>
          <w:rFonts w:hint="eastAsia" w:ascii="宋体" w:hAnsi="宋体" w:cs="宋体"/>
          <w:color w:val="000000"/>
          <w:sz w:val="28"/>
          <w:szCs w:val="28"/>
          <w:highlight w:val="none"/>
        </w:rPr>
        <w:t>签订合同时成交单位与采购方协商而定。</w:t>
      </w:r>
    </w:p>
    <w:p>
      <w:pPr>
        <w:keepNext w:val="0"/>
        <w:keepLines w:val="0"/>
        <w:pageBreakBefore w:val="0"/>
        <w:kinsoku/>
        <w:wordWrap/>
        <w:overflowPunct/>
        <w:topLinePunct w:val="0"/>
        <w:autoSpaceDE/>
        <w:autoSpaceDN/>
        <w:bidi w:val="0"/>
        <w:adjustRightInd w:val="0"/>
        <w:spacing w:line="360" w:lineRule="auto"/>
        <w:ind w:firstLine="562" w:firstLineChars="200"/>
        <w:rPr>
          <w:rFonts w:hint="eastAsia" w:ascii="宋体" w:hAnsi="宋体" w:cs="宋体"/>
          <w:b/>
          <w:bCs/>
          <w:sz w:val="28"/>
          <w:szCs w:val="28"/>
          <w:highlight w:val="none"/>
        </w:rPr>
      </w:pPr>
      <w:r>
        <w:rPr>
          <w:rFonts w:hint="eastAsia" w:ascii="宋体" w:hAnsi="宋体" w:cs="宋体"/>
          <w:b/>
          <w:bCs/>
          <w:kern w:val="0"/>
          <w:sz w:val="28"/>
          <w:szCs w:val="28"/>
          <w:highlight w:val="none"/>
          <w:lang w:val="en-US" w:eastAsia="zh-CN"/>
        </w:rPr>
        <w:t>三</w:t>
      </w:r>
      <w:r>
        <w:rPr>
          <w:rFonts w:hint="eastAsia" w:ascii="宋体" w:hAnsi="宋体" w:cs="宋体"/>
          <w:b/>
          <w:bCs/>
          <w:kern w:val="0"/>
          <w:sz w:val="28"/>
          <w:szCs w:val="28"/>
          <w:highlight w:val="none"/>
        </w:rPr>
        <w:t>、服务承诺</w:t>
      </w:r>
      <w:r>
        <w:rPr>
          <w:rFonts w:hint="eastAsia" w:ascii="宋体" w:hAnsi="宋体" w:cs="宋体"/>
          <w:b/>
          <w:bCs/>
          <w:sz w:val="28"/>
          <w:szCs w:val="28"/>
          <w:highlight w:val="none"/>
        </w:rPr>
        <w:t>:</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响应单位应遵照国家规范规定的技术服务内容及要求作出明确承诺。</w:t>
      </w:r>
    </w:p>
    <w:p>
      <w:pPr>
        <w:keepNext w:val="0"/>
        <w:keepLines w:val="0"/>
        <w:pageBreakBefore w:val="0"/>
        <w:kinsoku/>
        <w:wordWrap/>
        <w:overflowPunct/>
        <w:topLinePunct w:val="0"/>
        <w:autoSpaceDE/>
        <w:autoSpaceDN/>
        <w:bidi w:val="0"/>
        <w:adjustRightInd w:val="0"/>
        <w:spacing w:line="360" w:lineRule="auto"/>
        <w:ind w:firstLine="562" w:firstLineChars="200"/>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四</w:t>
      </w:r>
      <w:r>
        <w:rPr>
          <w:rFonts w:hint="eastAsia" w:ascii="宋体" w:hAnsi="宋体" w:cs="宋体"/>
          <w:b/>
          <w:bCs/>
          <w:sz w:val="28"/>
          <w:szCs w:val="28"/>
          <w:highlight w:val="none"/>
        </w:rPr>
        <w:t>、质量保证：</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1、</w:t>
      </w:r>
      <w:r>
        <w:rPr>
          <w:rFonts w:hint="eastAsia" w:ascii="宋体" w:hAnsi="宋体" w:cs="宋体"/>
          <w:sz w:val="28"/>
          <w:szCs w:val="28"/>
          <w:highlight w:val="none"/>
          <w:lang w:val="zh-CN"/>
        </w:rPr>
        <w:t>成交供应商不得将项目转包、分包。为了确保服务质量，成交供应商应组织一支强有力的技术骨干队伍，建立严格的质量管理体系，规范操作</w:t>
      </w:r>
      <w:r>
        <w:rPr>
          <w:rFonts w:hint="eastAsia" w:ascii="宋体" w:hAnsi="宋体" w:cs="宋体"/>
          <w:sz w:val="28"/>
          <w:szCs w:val="28"/>
          <w:highlight w:val="none"/>
        </w:rPr>
        <w:t>。</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2、成交人承诺的质保期起始时间为终验合格之日。</w:t>
      </w:r>
    </w:p>
    <w:p>
      <w:pPr>
        <w:keepNext w:val="0"/>
        <w:keepLines w:val="0"/>
        <w:pageBreakBefore w:val="0"/>
        <w:kinsoku/>
        <w:wordWrap/>
        <w:overflowPunct/>
        <w:topLinePunct w:val="0"/>
        <w:autoSpaceDE/>
        <w:autoSpaceDN/>
        <w:bidi w:val="0"/>
        <w:adjustRightInd w:val="0"/>
        <w:spacing w:line="360" w:lineRule="auto"/>
        <w:ind w:firstLine="562" w:firstLineChars="200"/>
        <w:rPr>
          <w:rFonts w:hint="eastAsia" w:ascii="宋体" w:hAnsi="宋体" w:cs="宋体"/>
          <w:b/>
          <w:sz w:val="28"/>
          <w:szCs w:val="28"/>
          <w:highlight w:val="none"/>
        </w:rPr>
      </w:pPr>
      <w:r>
        <w:rPr>
          <w:rFonts w:hint="eastAsia" w:ascii="宋体" w:hAnsi="宋体" w:cs="宋体"/>
          <w:b/>
          <w:sz w:val="28"/>
          <w:szCs w:val="28"/>
          <w:highlight w:val="none"/>
          <w:lang w:val="en-US" w:eastAsia="zh-CN"/>
        </w:rPr>
        <w:t>五</w:t>
      </w:r>
      <w:r>
        <w:rPr>
          <w:rFonts w:hint="eastAsia" w:ascii="宋体" w:hAnsi="宋体" w:cs="宋体"/>
          <w:b/>
          <w:sz w:val="28"/>
          <w:szCs w:val="28"/>
          <w:highlight w:val="none"/>
        </w:rPr>
        <w:t>、合同实施</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1、成交单位应在合同签订后7个日历日内安排人员（项目组成人员简历表所列）与使用单位就工作进行安排、部署。</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2、若未能在完成期限内完成合同规定的义务，由此对采购人造成的延误和一切损失，由成交单位承担和赔偿。</w:t>
      </w:r>
    </w:p>
    <w:bookmarkEnd w:id="95"/>
    <w:bookmarkEnd w:id="96"/>
    <w:bookmarkEnd w:id="97"/>
    <w:p>
      <w:pPr>
        <w:keepNext w:val="0"/>
        <w:keepLines w:val="0"/>
        <w:pageBreakBefore w:val="0"/>
        <w:kinsoku/>
        <w:wordWrap/>
        <w:overflowPunct/>
        <w:topLinePunct w:val="0"/>
        <w:autoSpaceDE/>
        <w:autoSpaceDN/>
        <w:bidi w:val="0"/>
        <w:spacing w:line="360" w:lineRule="auto"/>
        <w:ind w:firstLine="562" w:firstLineChars="20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六</w:t>
      </w:r>
      <w:r>
        <w:rPr>
          <w:rFonts w:hint="eastAsia" w:ascii="宋体" w:hAnsi="宋体" w:cs="宋体"/>
          <w:b/>
          <w:color w:val="000000"/>
          <w:sz w:val="28"/>
          <w:szCs w:val="28"/>
          <w:highlight w:val="none"/>
        </w:rPr>
        <w:t>、违约责任</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1、按《中华人民共和国民法典》中的相关条款执行。</w:t>
      </w:r>
    </w:p>
    <w:p>
      <w:pPr>
        <w:keepNext w:val="0"/>
        <w:keepLines w:val="0"/>
        <w:pageBreakBefore w:val="0"/>
        <w:kinsoku/>
        <w:wordWrap/>
        <w:overflowPunct/>
        <w:topLinePunct w:val="0"/>
        <w:autoSpaceDE/>
        <w:autoSpaceDN/>
        <w:bidi w:val="0"/>
        <w:adjustRightInd w:val="0"/>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2、未按合同要求提供产品质量不能满足技术要求，采购人有权终止合同，并对供方违约行为进行追究，同时按有关规定进行处罚。</w:t>
      </w:r>
    </w:p>
    <w:p>
      <w:pPr>
        <w:keepNext w:val="0"/>
        <w:keepLines w:val="0"/>
        <w:pageBreakBefore w:val="0"/>
        <w:kinsoku/>
        <w:wordWrap/>
        <w:overflowPunct/>
        <w:topLinePunct w:val="0"/>
        <w:autoSpaceDE/>
        <w:autoSpaceDN/>
        <w:bidi w:val="0"/>
        <w:spacing w:line="360" w:lineRule="auto"/>
        <w:ind w:firstLine="562" w:firstLineChars="200"/>
        <w:rPr>
          <w:rFonts w:hint="eastAsia" w:ascii="宋体" w:hAnsi="宋体" w:eastAsia="宋体" w:cs="宋体"/>
          <w:b/>
          <w:bCs/>
          <w:color w:val="auto"/>
          <w:sz w:val="24"/>
          <w:szCs w:val="24"/>
          <w:highlight w:val="none"/>
        </w:rPr>
      </w:pPr>
      <w:r>
        <w:rPr>
          <w:rFonts w:hint="eastAsia" w:ascii="宋体" w:hAnsi="宋体" w:cs="宋体"/>
          <w:b/>
          <w:bCs/>
          <w:sz w:val="28"/>
          <w:szCs w:val="28"/>
          <w:highlight w:val="none"/>
        </w:rPr>
        <w:t>注：商务要求为实质性要求，不得负偏离。</w:t>
      </w:r>
      <w:bookmarkEnd w:id="91"/>
      <w:bookmarkEnd w:id="92"/>
      <w:bookmarkStart w:id="98" w:name="_Toc21148"/>
      <w:bookmarkStart w:id="99" w:name="_Toc30254"/>
      <w:bookmarkStart w:id="100" w:name="_Toc27040"/>
      <w:bookmarkStart w:id="101" w:name="_Toc26863"/>
      <w:bookmarkStart w:id="102" w:name="_Toc15859"/>
      <w:bookmarkStart w:id="103" w:name="_Toc30133"/>
    </w:p>
    <w:p>
      <w:pPr>
        <w:rPr>
          <w:rFonts w:hint="eastAsia"/>
          <w:sz w:val="40"/>
          <w:szCs w:val="40"/>
          <w:highlight w:val="none"/>
        </w:rPr>
      </w:pPr>
      <w:bookmarkStart w:id="104" w:name="_Toc30756"/>
      <w:r>
        <w:rPr>
          <w:rFonts w:hint="eastAsia"/>
          <w:sz w:val="40"/>
          <w:szCs w:val="40"/>
          <w:highlight w:val="none"/>
        </w:rPr>
        <w:br w:type="page"/>
      </w:r>
    </w:p>
    <w:p>
      <w:pPr>
        <w:pStyle w:val="3"/>
        <w:bidi w:val="0"/>
        <w:rPr>
          <w:rFonts w:hint="eastAsia"/>
          <w:sz w:val="40"/>
          <w:szCs w:val="40"/>
          <w:highlight w:val="none"/>
        </w:rPr>
      </w:pPr>
      <w:r>
        <w:rPr>
          <w:rFonts w:hint="eastAsia"/>
          <w:sz w:val="40"/>
          <w:szCs w:val="40"/>
          <w:highlight w:val="none"/>
        </w:rPr>
        <w:t>第</w:t>
      </w:r>
      <w:r>
        <w:rPr>
          <w:rFonts w:hint="eastAsia"/>
          <w:sz w:val="40"/>
          <w:szCs w:val="40"/>
          <w:highlight w:val="none"/>
          <w:lang w:eastAsia="zh-CN"/>
        </w:rPr>
        <w:t>五</w:t>
      </w:r>
      <w:r>
        <w:rPr>
          <w:rFonts w:hint="eastAsia"/>
          <w:sz w:val="40"/>
          <w:szCs w:val="40"/>
          <w:highlight w:val="none"/>
        </w:rPr>
        <w:t>部分  合同范本</w:t>
      </w:r>
      <w:bookmarkEnd w:id="104"/>
    </w:p>
    <w:p>
      <w:pPr>
        <w:spacing w:line="360" w:lineRule="auto"/>
        <w:jc w:val="center"/>
        <w:rPr>
          <w:rFonts w:hint="eastAsia" w:ascii="宋体" w:hAnsi="宋体" w:cs="宋体"/>
          <w:sz w:val="28"/>
          <w:szCs w:val="28"/>
          <w:highlight w:val="none"/>
        </w:rPr>
      </w:pPr>
      <w:r>
        <w:rPr>
          <w:rFonts w:hint="eastAsia" w:ascii="宋体" w:hAnsi="宋体" w:cs="宋体"/>
          <w:b/>
          <w:sz w:val="28"/>
          <w:szCs w:val="28"/>
          <w:highlight w:val="none"/>
        </w:rPr>
        <w:t>（本合同</w:t>
      </w:r>
      <w:r>
        <w:rPr>
          <w:rFonts w:hint="eastAsia" w:ascii="宋体" w:hAnsi="宋体" w:cs="宋体"/>
          <w:b/>
          <w:sz w:val="28"/>
          <w:szCs w:val="28"/>
          <w:highlight w:val="none"/>
          <w:lang w:val="en-US" w:eastAsia="zh-CN"/>
        </w:rPr>
        <w:t>仅供参考</w:t>
      </w:r>
      <w:r>
        <w:rPr>
          <w:rFonts w:hint="eastAsia" w:ascii="宋体" w:hAnsi="宋体" w:cs="宋体"/>
          <w:b/>
          <w:sz w:val="28"/>
          <w:szCs w:val="28"/>
          <w:highlight w:val="none"/>
        </w:rPr>
        <w:t>）</w:t>
      </w:r>
    </w:p>
    <w:p>
      <w:pPr>
        <w:pStyle w:val="96"/>
        <w:spacing w:line="360" w:lineRule="auto"/>
        <w:ind w:firstLine="0" w:firstLineChars="0"/>
        <w:rPr>
          <w:rFonts w:hint="eastAsia" w:ascii="宋体" w:hAnsi="宋体"/>
          <w:sz w:val="28"/>
          <w:szCs w:val="28"/>
          <w:highlight w:val="none"/>
        </w:rPr>
      </w:pPr>
      <w:r>
        <w:rPr>
          <w:rFonts w:hint="eastAsia" w:ascii="宋体" w:hAnsi="宋体"/>
          <w:sz w:val="28"/>
          <w:szCs w:val="28"/>
          <w:highlight w:val="none"/>
        </w:rPr>
        <w:t>一、服务合同格式</w:t>
      </w:r>
    </w:p>
    <w:p>
      <w:pPr>
        <w:pStyle w:val="96"/>
        <w:spacing w:line="360" w:lineRule="auto"/>
        <w:ind w:firstLine="560"/>
        <w:rPr>
          <w:rFonts w:hint="eastAsia" w:ascii="宋体" w:hAnsi="宋体"/>
          <w:sz w:val="28"/>
          <w:szCs w:val="28"/>
          <w:highlight w:val="none"/>
        </w:rPr>
      </w:pPr>
      <w:r>
        <w:rPr>
          <w:rFonts w:hint="eastAsia" w:ascii="宋体" w:hAnsi="宋体"/>
          <w:sz w:val="28"/>
          <w:szCs w:val="28"/>
          <w:highlight w:val="none"/>
        </w:rPr>
        <w:t xml:space="preserve">合同编号： </w:t>
      </w:r>
    </w:p>
    <w:p>
      <w:pPr>
        <w:pStyle w:val="96"/>
        <w:spacing w:line="360" w:lineRule="auto"/>
        <w:ind w:firstLine="560"/>
        <w:rPr>
          <w:rFonts w:hint="eastAsia" w:ascii="宋体" w:hAnsi="宋体"/>
          <w:sz w:val="28"/>
          <w:szCs w:val="28"/>
          <w:highlight w:val="none"/>
        </w:rPr>
      </w:pPr>
      <w:r>
        <w:rPr>
          <w:rFonts w:hint="eastAsia" w:ascii="宋体" w:hAnsi="宋体"/>
          <w:sz w:val="28"/>
          <w:szCs w:val="28"/>
          <w:highlight w:val="none"/>
        </w:rPr>
        <w:t xml:space="preserve">签订地点： </w:t>
      </w:r>
    </w:p>
    <w:p>
      <w:pPr>
        <w:pStyle w:val="96"/>
        <w:spacing w:line="360" w:lineRule="auto"/>
        <w:ind w:firstLine="560"/>
        <w:rPr>
          <w:rFonts w:hint="eastAsia" w:ascii="宋体" w:hAnsi="宋体"/>
          <w:sz w:val="28"/>
          <w:szCs w:val="28"/>
        </w:rPr>
      </w:pPr>
      <w:r>
        <w:rPr>
          <w:rFonts w:hint="eastAsia" w:ascii="宋体" w:hAnsi="宋体"/>
          <w:sz w:val="28"/>
          <w:szCs w:val="28"/>
        </w:rPr>
        <w:t xml:space="preserve">签订时间: </w:t>
      </w:r>
    </w:p>
    <w:p>
      <w:pPr>
        <w:pStyle w:val="96"/>
        <w:spacing w:line="360" w:lineRule="auto"/>
        <w:ind w:firstLine="560"/>
        <w:rPr>
          <w:rFonts w:hint="eastAsia" w:ascii="宋体" w:hAnsi="宋体"/>
          <w:sz w:val="28"/>
          <w:szCs w:val="28"/>
        </w:rPr>
      </w:pPr>
      <w:r>
        <w:rPr>
          <w:rFonts w:hint="eastAsia" w:ascii="宋体" w:hAnsi="宋体"/>
          <w:sz w:val="28"/>
          <w:szCs w:val="28"/>
        </w:rPr>
        <w:t>采购人（甲方）：</w:t>
      </w:r>
    </w:p>
    <w:p>
      <w:pPr>
        <w:pStyle w:val="96"/>
        <w:spacing w:line="360" w:lineRule="auto"/>
        <w:ind w:firstLine="560"/>
        <w:rPr>
          <w:rFonts w:hint="eastAsia" w:ascii="宋体" w:hAnsi="宋体"/>
          <w:sz w:val="28"/>
          <w:szCs w:val="28"/>
        </w:rPr>
      </w:pPr>
      <w:r>
        <w:rPr>
          <w:rFonts w:hint="eastAsia" w:ascii="宋体" w:hAnsi="宋体"/>
          <w:sz w:val="28"/>
          <w:szCs w:val="28"/>
        </w:rPr>
        <w:t>供应商（乙方）：</w:t>
      </w:r>
    </w:p>
    <w:p>
      <w:pPr>
        <w:pStyle w:val="96"/>
        <w:spacing w:line="360" w:lineRule="auto"/>
        <w:ind w:firstLine="560"/>
        <w:rPr>
          <w:rFonts w:hint="eastAsia" w:ascii="宋体" w:hAnsi="宋体"/>
          <w:sz w:val="28"/>
          <w:szCs w:val="28"/>
        </w:rPr>
      </w:pPr>
      <w:r>
        <w:rPr>
          <w:rFonts w:hint="eastAsia" w:ascii="宋体" w:hAnsi="宋体"/>
          <w:sz w:val="28"/>
          <w:szCs w:val="28"/>
        </w:rPr>
        <w:t>根据《中华人民共和国政府采购法》、《政府采购竞争性磋商采购方式管理暂行办法》（财库[2014]214号）及其实施条例、《中华人民共和国民法典》</w:t>
      </w:r>
      <w:r>
        <w:rPr>
          <w:rFonts w:hint="eastAsia" w:ascii="宋体" w:hAnsi="宋体"/>
          <w:sz w:val="28"/>
          <w:szCs w:val="28"/>
          <w:highlight w:val="none"/>
        </w:rPr>
        <w:t>和甲方（采购项目编号：</w:t>
      </w:r>
      <w:r>
        <w:rPr>
          <w:rFonts w:hint="eastAsia" w:ascii="宋体" w:hAnsi="宋体"/>
          <w:sz w:val="28"/>
          <w:szCs w:val="28"/>
          <w:highlight w:val="none"/>
          <w:lang w:eastAsia="zh-CN"/>
        </w:rPr>
        <w:t>HRC-ZBDL-2026-00632.1B1</w:t>
      </w:r>
      <w:r>
        <w:rPr>
          <w:rFonts w:hint="eastAsia" w:ascii="宋体" w:hAnsi="宋体"/>
          <w:sz w:val="28"/>
          <w:szCs w:val="28"/>
          <w:highlight w:val="none"/>
        </w:rPr>
        <w:t>）的竞争性磋商文件、竞争性磋商</w:t>
      </w:r>
      <w:r>
        <w:rPr>
          <w:rFonts w:hint="eastAsia" w:ascii="宋体" w:hAnsi="宋体"/>
          <w:sz w:val="28"/>
          <w:szCs w:val="28"/>
        </w:rPr>
        <w:t>响应文件等有关规定，为确保甲方采购项目的顺利实施，甲、乙双方在平等自愿原则下签订本合同，并共同遵守如下条款：</w:t>
      </w:r>
    </w:p>
    <w:p>
      <w:pPr>
        <w:numPr>
          <w:ilvl w:val="0"/>
          <w:numId w:val="2"/>
        </w:numPr>
        <w:spacing w:line="360" w:lineRule="auto"/>
        <w:rPr>
          <w:rFonts w:hint="eastAsia" w:ascii="宋体" w:hAnsi="宋体" w:cs="宋体"/>
          <w:b/>
          <w:sz w:val="28"/>
          <w:szCs w:val="28"/>
        </w:rPr>
      </w:pPr>
      <w:r>
        <w:rPr>
          <w:rFonts w:hint="eastAsia" w:ascii="宋体" w:hAnsi="宋体" w:cs="宋体"/>
          <w:b/>
          <w:sz w:val="28"/>
          <w:szCs w:val="28"/>
        </w:rPr>
        <w:t>合同期限</w:t>
      </w:r>
    </w:p>
    <w:p>
      <w:pPr>
        <w:pStyle w:val="90"/>
        <w:spacing w:line="360" w:lineRule="auto"/>
        <w:ind w:left="17" w:leftChars="6" w:firstLine="789" w:firstLineChars="278"/>
        <w:rPr>
          <w:rFonts w:hint="eastAsia"/>
          <w:sz w:val="28"/>
          <w:szCs w:val="28"/>
          <w:lang w:val="zh-CN"/>
        </w:rPr>
      </w:pPr>
      <w:bookmarkStart w:id="105" w:name="_Toc283019214"/>
      <w:bookmarkStart w:id="106" w:name="_Toc282696226"/>
      <w:bookmarkStart w:id="107" w:name="_Toc237145406"/>
      <w:bookmarkStart w:id="108" w:name="_Toc239233914"/>
      <w:bookmarkStart w:id="109" w:name="_Toc211854449"/>
      <w:bookmarkStart w:id="110" w:name="_Toc232492928"/>
      <w:bookmarkStart w:id="111" w:name="_Toc225244852"/>
      <w:bookmarkStart w:id="112" w:name="_Toc238984975"/>
      <w:bookmarkStart w:id="113" w:name="_Toc225654644"/>
      <w:bookmarkStart w:id="114" w:name="_Toc185395249"/>
      <w:bookmarkStart w:id="115" w:name="_Toc247334841"/>
      <w:bookmarkStart w:id="116" w:name="_Toc212019594"/>
      <w:bookmarkStart w:id="117" w:name="_Toc239568418"/>
      <w:bookmarkStart w:id="118" w:name="_Toc211911348"/>
      <w:bookmarkStart w:id="119" w:name="_Toc225670751"/>
      <w:bookmarkStart w:id="120" w:name="_Toc241833903"/>
      <w:bookmarkStart w:id="121" w:name="_Toc286993786"/>
      <w:bookmarkStart w:id="122" w:name="_Toc251768862"/>
      <w:r>
        <w:rPr>
          <w:rFonts w:hint="eastAsia"/>
          <w:spacing w:val="2"/>
          <w:sz w:val="28"/>
          <w:szCs w:val="28"/>
        </w:rPr>
        <w:t>在规定时间内（</w:t>
      </w:r>
      <w:r>
        <w:rPr>
          <w:rFonts w:hint="eastAsia"/>
          <w:spacing w:val="2"/>
          <w:sz w:val="28"/>
          <w:szCs w:val="28"/>
          <w:lang w:eastAsia="zh-CN"/>
        </w:rPr>
        <w:t>服务期</w:t>
      </w:r>
      <w:r>
        <w:rPr>
          <w:rFonts w:hint="eastAsia"/>
          <w:spacing w:val="2"/>
          <w:sz w:val="28"/>
          <w:szCs w:val="28"/>
        </w:rPr>
        <w:t>限：  ）完成甲方要求服务（           ）并验收合格。</w:t>
      </w:r>
    </w:p>
    <w:p>
      <w:pPr>
        <w:numPr>
          <w:ilvl w:val="0"/>
          <w:numId w:val="2"/>
        </w:numPr>
        <w:spacing w:line="360" w:lineRule="auto"/>
        <w:rPr>
          <w:rFonts w:hint="eastAsia" w:ascii="宋体" w:hAnsi="宋体" w:cs="宋体"/>
          <w:b/>
          <w:sz w:val="28"/>
          <w:szCs w:val="28"/>
        </w:rPr>
      </w:pPr>
      <w:r>
        <w:rPr>
          <w:rFonts w:hint="eastAsia" w:ascii="宋体" w:hAnsi="宋体" w:cs="宋体"/>
          <w:b/>
          <w:sz w:val="28"/>
          <w:szCs w:val="28"/>
        </w:rPr>
        <w:t>服务内容与质量标准</w:t>
      </w:r>
    </w:p>
    <w:tbl>
      <w:tblPr>
        <w:tblStyle w:val="25"/>
        <w:tblW w:w="9502" w:type="dxa"/>
        <w:jc w:val="center"/>
        <w:tblLayout w:type="fixed"/>
        <w:tblCellMar>
          <w:top w:w="0" w:type="dxa"/>
          <w:left w:w="0" w:type="dxa"/>
          <w:bottom w:w="0" w:type="dxa"/>
          <w:right w:w="0" w:type="dxa"/>
        </w:tblCellMar>
      </w:tblPr>
      <w:tblGrid>
        <w:gridCol w:w="756"/>
        <w:gridCol w:w="1558"/>
        <w:gridCol w:w="2811"/>
        <w:gridCol w:w="1112"/>
        <w:gridCol w:w="1200"/>
        <w:gridCol w:w="2065"/>
      </w:tblGrid>
      <w:tr>
        <w:tblPrEx>
          <w:tblCellMar>
            <w:top w:w="0" w:type="dxa"/>
            <w:left w:w="0" w:type="dxa"/>
            <w:bottom w:w="0" w:type="dxa"/>
            <w:right w:w="0" w:type="dxa"/>
          </w:tblCellMar>
        </w:tblPrEx>
        <w:trPr>
          <w:trHeight w:val="1268" w:hRule="exact"/>
          <w:jc w:val="center"/>
        </w:trPr>
        <w:tc>
          <w:tcPr>
            <w:tcW w:w="756"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序号</w:t>
            </w:r>
          </w:p>
        </w:tc>
        <w:tc>
          <w:tcPr>
            <w:tcW w:w="1558"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采购项目</w:t>
            </w:r>
          </w:p>
        </w:tc>
        <w:tc>
          <w:tcPr>
            <w:tcW w:w="2811"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技术及要求</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单位</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数量</w:t>
            </w:r>
          </w:p>
        </w:tc>
        <w:tc>
          <w:tcPr>
            <w:tcW w:w="2065" w:type="dxa"/>
            <w:tcBorders>
              <w:top w:val="single" w:color="000000" w:sz="4" w:space="0"/>
              <w:left w:val="single" w:color="000000" w:sz="4" w:space="0"/>
              <w:bottom w:val="single" w:color="000000" w:sz="4" w:space="0"/>
              <w:right w:val="single" w:color="000000" w:sz="4" w:space="0"/>
            </w:tcBorders>
            <w:noWrap w:val="0"/>
            <w:vAlign w:val="center"/>
          </w:tcPr>
          <w:p>
            <w:pPr>
              <w:pStyle w:val="97"/>
              <w:spacing w:line="360" w:lineRule="auto"/>
              <w:jc w:val="center"/>
              <w:rPr>
                <w:rFonts w:hint="eastAsia" w:ascii="宋体" w:hAnsi="宋体" w:cs="宋体"/>
                <w:sz w:val="28"/>
                <w:szCs w:val="28"/>
              </w:rPr>
            </w:pPr>
            <w:r>
              <w:rPr>
                <w:rFonts w:hint="eastAsia" w:ascii="宋体" w:hAnsi="宋体" w:cs="宋体"/>
                <w:sz w:val="28"/>
                <w:szCs w:val="28"/>
              </w:rPr>
              <w:t>合价        （元）</w:t>
            </w:r>
          </w:p>
          <w:p>
            <w:pPr>
              <w:pStyle w:val="97"/>
              <w:spacing w:line="360" w:lineRule="auto"/>
              <w:ind w:left="2"/>
              <w:jc w:val="center"/>
              <w:rPr>
                <w:rFonts w:hint="eastAsia" w:ascii="宋体" w:hAnsi="宋体" w:cs="宋体"/>
                <w:sz w:val="28"/>
                <w:szCs w:val="28"/>
              </w:rPr>
            </w:pPr>
          </w:p>
        </w:tc>
      </w:tr>
      <w:tr>
        <w:tblPrEx>
          <w:tblCellMar>
            <w:top w:w="0" w:type="dxa"/>
            <w:left w:w="0" w:type="dxa"/>
            <w:bottom w:w="0" w:type="dxa"/>
            <w:right w:w="0" w:type="dxa"/>
          </w:tblCellMar>
        </w:tblPrEx>
        <w:trPr>
          <w:trHeight w:val="947" w:hRule="exact"/>
          <w:jc w:val="center"/>
        </w:trPr>
        <w:tc>
          <w:tcPr>
            <w:tcW w:w="756" w:type="dxa"/>
            <w:tcBorders>
              <w:top w:val="single" w:color="000000" w:sz="4" w:space="0"/>
              <w:left w:val="single" w:color="000000" w:sz="4" w:space="0"/>
              <w:bottom w:val="single" w:color="000000" w:sz="4" w:space="0"/>
              <w:right w:val="single" w:color="000000" w:sz="4" w:space="0"/>
            </w:tcBorders>
            <w:noWrap w:val="0"/>
            <w:vAlign w:val="top"/>
          </w:tcPr>
          <w:p>
            <w:pPr>
              <w:pStyle w:val="97"/>
              <w:spacing w:line="360" w:lineRule="auto"/>
              <w:jc w:val="center"/>
              <w:rPr>
                <w:rFonts w:hint="eastAsia" w:ascii="宋体" w:hAnsi="宋体" w:cs="宋体"/>
                <w:sz w:val="28"/>
                <w:szCs w:val="28"/>
              </w:rPr>
            </w:pPr>
          </w:p>
        </w:tc>
        <w:tc>
          <w:tcPr>
            <w:tcW w:w="1558" w:type="dxa"/>
            <w:tcBorders>
              <w:top w:val="single" w:color="000000" w:sz="4" w:space="0"/>
              <w:left w:val="single" w:color="000000" w:sz="4" w:space="0"/>
              <w:bottom w:val="single" w:color="000000" w:sz="4" w:space="0"/>
              <w:right w:val="single" w:color="000000" w:sz="4" w:space="0"/>
            </w:tcBorders>
            <w:noWrap w:val="0"/>
            <w:vAlign w:val="top"/>
          </w:tcPr>
          <w:p>
            <w:pPr>
              <w:pStyle w:val="97"/>
              <w:spacing w:line="360" w:lineRule="auto"/>
              <w:jc w:val="center"/>
              <w:rPr>
                <w:rFonts w:hint="eastAsia" w:ascii="宋体" w:hAnsi="宋体" w:cs="宋体"/>
                <w:sz w:val="28"/>
                <w:szCs w:val="28"/>
              </w:rPr>
            </w:pPr>
          </w:p>
        </w:tc>
        <w:tc>
          <w:tcPr>
            <w:tcW w:w="2811" w:type="dxa"/>
            <w:tcBorders>
              <w:top w:val="single" w:color="000000" w:sz="4" w:space="0"/>
              <w:left w:val="single" w:color="000000" w:sz="4" w:space="0"/>
              <w:bottom w:val="single" w:color="000000" w:sz="4" w:space="0"/>
              <w:right w:val="single" w:color="000000" w:sz="4" w:space="0"/>
            </w:tcBorders>
            <w:noWrap w:val="0"/>
            <w:vAlign w:val="top"/>
          </w:tcPr>
          <w:p>
            <w:pPr>
              <w:pStyle w:val="97"/>
              <w:spacing w:line="360" w:lineRule="auto"/>
              <w:ind w:left="103" w:right="-5"/>
              <w:rPr>
                <w:rFonts w:hint="eastAsia" w:ascii="宋体" w:hAnsi="宋体" w:cs="宋体"/>
                <w:sz w:val="28"/>
                <w:szCs w:val="28"/>
              </w:rPr>
            </w:pPr>
          </w:p>
        </w:tc>
        <w:tc>
          <w:tcPr>
            <w:tcW w:w="1112" w:type="dxa"/>
            <w:tcBorders>
              <w:top w:val="single" w:color="000000" w:sz="4" w:space="0"/>
              <w:left w:val="single" w:color="000000" w:sz="4" w:space="0"/>
              <w:bottom w:val="single" w:color="000000" w:sz="4" w:space="0"/>
              <w:right w:val="single" w:color="000000" w:sz="4" w:space="0"/>
            </w:tcBorders>
            <w:noWrap w:val="0"/>
            <w:vAlign w:val="top"/>
          </w:tcPr>
          <w:p>
            <w:pPr>
              <w:pStyle w:val="97"/>
              <w:spacing w:line="360" w:lineRule="auto"/>
              <w:jc w:val="center"/>
              <w:rPr>
                <w:rFonts w:hint="eastAsia" w:ascii="宋体" w:hAnsi="宋体" w:cs="宋体"/>
                <w:sz w:val="28"/>
                <w:szCs w:val="28"/>
              </w:rPr>
            </w:pPr>
          </w:p>
        </w:tc>
        <w:tc>
          <w:tcPr>
            <w:tcW w:w="1200" w:type="dxa"/>
            <w:tcBorders>
              <w:top w:val="single" w:color="000000" w:sz="4" w:space="0"/>
              <w:left w:val="single" w:color="000000" w:sz="4" w:space="0"/>
              <w:bottom w:val="single" w:color="000000" w:sz="4" w:space="0"/>
              <w:right w:val="single" w:color="000000" w:sz="4" w:space="0"/>
            </w:tcBorders>
            <w:noWrap w:val="0"/>
            <w:vAlign w:val="top"/>
          </w:tcPr>
          <w:p>
            <w:pPr>
              <w:pStyle w:val="97"/>
              <w:spacing w:line="360" w:lineRule="auto"/>
              <w:ind w:left="4"/>
              <w:jc w:val="center"/>
              <w:rPr>
                <w:rFonts w:hint="eastAsia" w:ascii="宋体" w:hAnsi="宋体" w:cs="宋体"/>
                <w:sz w:val="28"/>
                <w:szCs w:val="28"/>
              </w:rPr>
            </w:pPr>
          </w:p>
        </w:tc>
        <w:tc>
          <w:tcPr>
            <w:tcW w:w="206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sz w:val="28"/>
                <w:szCs w:val="28"/>
              </w:rPr>
            </w:pPr>
          </w:p>
        </w:tc>
      </w:tr>
    </w:tbl>
    <w:p>
      <w:pPr>
        <w:numPr>
          <w:ilvl w:val="0"/>
          <w:numId w:val="2"/>
        </w:numPr>
        <w:spacing w:line="360" w:lineRule="auto"/>
        <w:rPr>
          <w:rFonts w:hint="eastAsia" w:ascii="宋体" w:hAnsi="宋体" w:cs="宋体"/>
          <w:b/>
          <w:color w:val="000000"/>
          <w:sz w:val="28"/>
          <w:szCs w:val="28"/>
        </w:rPr>
      </w:pPr>
      <w:r>
        <w:rPr>
          <w:rFonts w:hint="eastAsia" w:ascii="宋体" w:hAnsi="宋体" w:cs="宋体"/>
          <w:b/>
          <w:color w:val="000000"/>
          <w:sz w:val="28"/>
          <w:szCs w:val="28"/>
        </w:rPr>
        <w:t>服务费用</w:t>
      </w:r>
    </w:p>
    <w:p>
      <w:pPr>
        <w:pStyle w:val="96"/>
        <w:spacing w:line="360" w:lineRule="auto"/>
        <w:ind w:firstLine="512" w:firstLineChars="183"/>
        <w:rPr>
          <w:rFonts w:hint="eastAsia" w:ascii="宋体" w:hAnsi="宋体"/>
          <w:color w:val="000000"/>
          <w:sz w:val="28"/>
          <w:szCs w:val="28"/>
        </w:rPr>
      </w:pPr>
      <w:r>
        <w:rPr>
          <w:rFonts w:hint="eastAsia" w:ascii="宋体" w:hAnsi="宋体"/>
          <w:color w:val="000000"/>
          <w:sz w:val="28"/>
          <w:szCs w:val="28"/>
        </w:rPr>
        <w:t>1、报价：</w:t>
      </w:r>
      <w:r>
        <w:rPr>
          <w:rFonts w:hint="eastAsia" w:ascii="宋体" w:hAnsi="宋体"/>
          <w:color w:val="000000"/>
          <w:sz w:val="28"/>
          <w:szCs w:val="28"/>
          <w:u w:val="single"/>
        </w:rPr>
        <w:t xml:space="preserve">            </w:t>
      </w:r>
      <w:r>
        <w:rPr>
          <w:rFonts w:hint="eastAsia" w:ascii="宋体" w:hAnsi="宋体"/>
          <w:color w:val="000000"/>
          <w:sz w:val="28"/>
          <w:szCs w:val="28"/>
        </w:rPr>
        <w:t>元。</w:t>
      </w:r>
    </w:p>
    <w:p>
      <w:pPr>
        <w:pStyle w:val="96"/>
        <w:spacing w:line="360" w:lineRule="auto"/>
        <w:ind w:firstLine="512" w:firstLineChars="183"/>
        <w:rPr>
          <w:rFonts w:hint="eastAsia" w:ascii="宋体" w:hAnsi="宋体"/>
          <w:color w:val="000000"/>
          <w:sz w:val="28"/>
          <w:szCs w:val="28"/>
        </w:rPr>
      </w:pPr>
      <w:r>
        <w:rPr>
          <w:rFonts w:hint="eastAsia" w:ascii="宋体" w:hAnsi="宋体"/>
          <w:color w:val="000000"/>
          <w:sz w:val="28"/>
          <w:szCs w:val="28"/>
        </w:rPr>
        <w:t>2、本合同执行期间服务总费用不变，甲方无须另向乙方支付本合同规定之外的其他任何费用。</w:t>
      </w:r>
    </w:p>
    <w:p>
      <w:pPr>
        <w:adjustRightInd w:val="0"/>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第四条  付款方式 </w:t>
      </w:r>
    </w:p>
    <w:p>
      <w:pPr>
        <w:bidi w:val="0"/>
        <w:rPr>
          <w:rFonts w:hint="eastAsia"/>
          <w:lang w:val="en-US" w:eastAsia="zh-CN"/>
        </w:rPr>
      </w:pPr>
      <w:r>
        <w:rPr>
          <w:rFonts w:hint="eastAsia"/>
          <w:lang w:val="en-US" w:eastAsia="zh-CN"/>
        </w:rPr>
        <w:t>签订合同时成交单位跟甲方协商而定</w:t>
      </w: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第五条   知识产权 </w:t>
      </w:r>
    </w:p>
    <w:p>
      <w:pPr>
        <w:tabs>
          <w:tab w:val="left" w:pos="1440"/>
        </w:tabs>
        <w:spacing w:line="360" w:lineRule="auto"/>
        <w:ind w:firstLine="560" w:firstLineChars="200"/>
        <w:rPr>
          <w:rFonts w:hint="eastAsia" w:ascii="宋体" w:hAnsi="宋体" w:cs="宋体"/>
          <w:sz w:val="28"/>
          <w:szCs w:val="28"/>
        </w:rPr>
      </w:pPr>
      <w:r>
        <w:rPr>
          <w:rFonts w:hint="eastAsia" w:ascii="宋体" w:hAnsi="宋体" w:cs="宋体"/>
          <w:sz w:val="28"/>
          <w:szCs w:val="28"/>
        </w:rPr>
        <w:t>乙方应保证所提供的服务或其任何一部分均不会侵犯任何第三方的专利权、商标权或著作权。</w:t>
      </w: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第六条  无产权瑕疵条款 </w:t>
      </w:r>
    </w:p>
    <w:p>
      <w:pPr>
        <w:tabs>
          <w:tab w:val="left" w:pos="1440"/>
        </w:tabs>
        <w:spacing w:line="360" w:lineRule="auto"/>
        <w:ind w:firstLine="560" w:firstLineChars="200"/>
        <w:rPr>
          <w:rFonts w:hint="eastAsia" w:ascii="宋体" w:hAnsi="宋体" w:cs="宋体"/>
          <w:sz w:val="28"/>
          <w:szCs w:val="28"/>
        </w:rPr>
      </w:pPr>
      <w:r>
        <w:rPr>
          <w:rFonts w:hint="eastAsia" w:ascii="宋体" w:hAnsi="宋体" w:cs="宋体"/>
          <w:sz w:val="28"/>
          <w:szCs w:val="28"/>
        </w:rPr>
        <w:t>乙方保证所提供的服务的所有权完全属于乙方且无任何抵押、查封等产权瑕疵。如有产权瑕疵的，视为乙方违约。乙方应负担由此而产生的一切损失。</w:t>
      </w:r>
    </w:p>
    <w:p>
      <w:pPr>
        <w:widowControl/>
        <w:spacing w:line="360" w:lineRule="auto"/>
        <w:ind w:firstLine="562" w:firstLineChars="200"/>
        <w:jc w:val="left"/>
        <w:rPr>
          <w:rFonts w:hint="eastAsia" w:ascii="宋体" w:hAnsi="宋体" w:cs="宋体"/>
          <w:b/>
          <w:sz w:val="28"/>
          <w:szCs w:val="28"/>
        </w:rPr>
      </w:pPr>
      <w:r>
        <w:rPr>
          <w:rFonts w:hint="eastAsia" w:ascii="宋体" w:hAnsi="宋体" w:cs="宋体"/>
          <w:b/>
          <w:sz w:val="28"/>
          <w:szCs w:val="28"/>
        </w:rPr>
        <w:t>第七条  履约保证金</w:t>
      </w:r>
    </w:p>
    <w:p>
      <w:pPr>
        <w:widowControl/>
        <w:spacing w:line="360" w:lineRule="auto"/>
        <w:ind w:firstLine="560" w:firstLineChars="200"/>
        <w:jc w:val="left"/>
        <w:rPr>
          <w:rFonts w:hint="eastAsia" w:ascii="宋体" w:hAnsi="宋体" w:cs="宋体"/>
          <w:b/>
          <w:sz w:val="28"/>
          <w:szCs w:val="28"/>
        </w:rPr>
      </w:pPr>
      <w:r>
        <w:rPr>
          <w:rFonts w:hint="eastAsia" w:ascii="宋体" w:hAnsi="宋体" w:cs="宋体"/>
          <w:kern w:val="0"/>
          <w:sz w:val="28"/>
          <w:szCs w:val="28"/>
        </w:rPr>
        <w:t>1、乙方在签订本合同之前，向甲方提交履约保证金人民币</w:t>
      </w:r>
      <w:r>
        <w:rPr>
          <w:rFonts w:hint="eastAsia" w:ascii="宋体" w:hAnsi="宋体" w:cs="宋体"/>
          <w:kern w:val="0"/>
          <w:sz w:val="28"/>
          <w:szCs w:val="28"/>
          <w:u w:val="single"/>
        </w:rPr>
        <w:t xml:space="preserve">/ </w:t>
      </w:r>
      <w:r>
        <w:rPr>
          <w:rFonts w:hint="eastAsia" w:ascii="宋体" w:hAnsi="宋体" w:cs="宋体"/>
          <w:kern w:val="0"/>
          <w:sz w:val="28"/>
          <w:szCs w:val="28"/>
        </w:rPr>
        <w:t>元，￥</w:t>
      </w:r>
      <w:r>
        <w:rPr>
          <w:rFonts w:hint="eastAsia" w:ascii="宋体" w:hAnsi="宋体" w:cs="宋体"/>
          <w:kern w:val="0"/>
          <w:sz w:val="28"/>
          <w:szCs w:val="28"/>
          <w:u w:val="single"/>
        </w:rPr>
        <w:t xml:space="preserve">/ </w:t>
      </w:r>
      <w:r>
        <w:rPr>
          <w:rFonts w:hint="eastAsia" w:ascii="宋体" w:hAnsi="宋体" w:cs="宋体"/>
          <w:kern w:val="0"/>
          <w:sz w:val="28"/>
          <w:szCs w:val="28"/>
        </w:rPr>
        <w:t xml:space="preserve"> 元。</w:t>
      </w:r>
    </w:p>
    <w:p>
      <w:pPr>
        <w:widowControl/>
        <w:spacing w:line="360" w:lineRule="auto"/>
        <w:ind w:firstLine="560" w:firstLineChars="200"/>
        <w:jc w:val="left"/>
        <w:rPr>
          <w:rFonts w:hint="eastAsia" w:ascii="宋体" w:hAnsi="宋体" w:cs="宋体"/>
          <w:kern w:val="0"/>
          <w:sz w:val="28"/>
          <w:szCs w:val="28"/>
        </w:rPr>
      </w:pPr>
      <w:r>
        <w:rPr>
          <w:rFonts w:hint="eastAsia" w:ascii="宋体" w:hAnsi="宋体" w:cs="宋体"/>
          <w:bCs/>
          <w:sz w:val="28"/>
          <w:szCs w:val="28"/>
        </w:rPr>
        <w:t>2、</w:t>
      </w:r>
      <w:r>
        <w:rPr>
          <w:rFonts w:hint="eastAsia" w:ascii="宋体" w:hAnsi="宋体" w:cs="宋体"/>
          <w:kern w:val="0"/>
          <w:sz w:val="28"/>
          <w:szCs w:val="28"/>
        </w:rPr>
        <w:t>履约保证金的有效期为乙方承诺的</w:t>
      </w:r>
      <w:r>
        <w:rPr>
          <w:rFonts w:hint="eastAsia" w:ascii="宋体" w:hAnsi="宋体" w:cs="宋体"/>
          <w:kern w:val="0"/>
          <w:sz w:val="28"/>
          <w:szCs w:val="28"/>
          <w:lang w:eastAsia="zh-CN"/>
        </w:rPr>
        <w:t>服务期</w:t>
      </w:r>
      <w:r>
        <w:rPr>
          <w:rFonts w:hint="eastAsia" w:ascii="宋体" w:hAnsi="宋体" w:cs="宋体"/>
          <w:kern w:val="0"/>
          <w:sz w:val="28"/>
          <w:szCs w:val="28"/>
        </w:rPr>
        <w:t>限。</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3、履约保证金作为违约金的一部分及用于补偿甲方因乙方不能履行合同义务而蒙受的损失。</w:t>
      </w:r>
    </w:p>
    <w:p>
      <w:pPr>
        <w:widowControl/>
        <w:spacing w:line="360" w:lineRule="auto"/>
        <w:ind w:firstLine="560" w:firstLineChars="200"/>
        <w:jc w:val="left"/>
        <w:rPr>
          <w:rFonts w:hint="eastAsia" w:ascii="宋体" w:hAnsi="宋体" w:cs="宋体"/>
          <w:sz w:val="28"/>
          <w:szCs w:val="28"/>
        </w:rPr>
      </w:pPr>
      <w:r>
        <w:rPr>
          <w:rFonts w:hint="eastAsia" w:ascii="宋体" w:hAnsi="宋体" w:cs="宋体"/>
          <w:kern w:val="0"/>
          <w:sz w:val="28"/>
          <w:szCs w:val="28"/>
        </w:rPr>
        <w:t>4、</w:t>
      </w:r>
      <w:r>
        <w:rPr>
          <w:rFonts w:hint="eastAsia" w:ascii="宋体" w:hAnsi="宋体" w:cs="宋体"/>
          <w:sz w:val="28"/>
          <w:szCs w:val="28"/>
          <w:lang w:eastAsia="zh-CN"/>
        </w:rPr>
        <w:t>服务期限</w:t>
      </w:r>
      <w:r>
        <w:rPr>
          <w:rFonts w:hint="eastAsia" w:ascii="宋体" w:hAnsi="宋体" w:cs="宋体"/>
          <w:sz w:val="28"/>
          <w:szCs w:val="28"/>
        </w:rPr>
        <w:t>结束后，甲方财务部门接到甲方确认本合同服务等约定事项已经履行完毕的正式书面文件后的</w:t>
      </w:r>
      <w:r>
        <w:rPr>
          <w:rFonts w:hint="eastAsia" w:ascii="宋体" w:hAnsi="宋体" w:cs="宋体"/>
          <w:sz w:val="28"/>
          <w:szCs w:val="28"/>
          <w:u w:val="single"/>
        </w:rPr>
        <w:t xml:space="preserve"> / </w:t>
      </w:r>
      <w:r>
        <w:rPr>
          <w:rFonts w:hint="eastAsia" w:ascii="宋体" w:hAnsi="宋体" w:cs="宋体"/>
          <w:sz w:val="28"/>
          <w:szCs w:val="28"/>
        </w:rPr>
        <w:t>日内，向乙方退还履约保证金。</w:t>
      </w: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第八条  甲方的权利和义务</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1、甲方有权对合同规定范围内乙方的服务行为进行监督和检查，拥有监管权。有权定期核对乙方提供服务所配备的人员数量。对甲方认为不合理的部分有权下达整改通知书，并要求乙方限期整改。</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2、负责检查监督乙方管理工作的实施及制度的执行情况。</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3、根据本合同规定，按时向乙方支付应付服务费用。</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4、国家法律、法规所规定由甲方承担的其它责任。</w:t>
      </w:r>
    </w:p>
    <w:p>
      <w:pPr>
        <w:spacing w:line="360" w:lineRule="auto"/>
        <w:ind w:firstLine="562" w:firstLineChars="200"/>
        <w:rPr>
          <w:rFonts w:hint="eastAsia" w:ascii="宋体" w:hAnsi="宋体" w:cs="宋体"/>
          <w:b/>
          <w:sz w:val="28"/>
          <w:szCs w:val="28"/>
        </w:rPr>
      </w:pPr>
      <w:r>
        <w:rPr>
          <w:rFonts w:hint="eastAsia" w:ascii="宋体" w:hAnsi="宋体" w:cs="宋体"/>
          <w:b/>
          <w:sz w:val="28"/>
          <w:szCs w:val="28"/>
        </w:rPr>
        <w:t xml:space="preserve">第九条  乙方的权利和义务 </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1、对本合同规定的委托服务范围内的项目享有管理权及服务义务。</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2、根据本合同的规定向甲方收取相关服务费用，并有权在本项目管理范围内管理及合理使用。</w:t>
      </w:r>
    </w:p>
    <w:p>
      <w:pPr>
        <w:adjustRightInd w:val="0"/>
        <w:spacing w:line="360" w:lineRule="auto"/>
        <w:ind w:firstLine="560" w:firstLineChars="200"/>
        <w:jc w:val="left"/>
        <w:textAlignment w:val="baseline"/>
        <w:rPr>
          <w:rFonts w:hint="eastAsia" w:ascii="宋体" w:hAnsi="宋体" w:cs="宋体"/>
          <w:sz w:val="28"/>
          <w:szCs w:val="28"/>
        </w:rPr>
      </w:pPr>
      <w:r>
        <w:rPr>
          <w:rFonts w:hint="eastAsia" w:ascii="宋体" w:hAnsi="宋体" w:cs="宋体"/>
          <w:sz w:val="28"/>
          <w:szCs w:val="28"/>
        </w:rPr>
        <w:t>3、及时向甲方通告本项目服务范围内有关服务的重大事项，及时配合处理投诉。</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sz w:val="28"/>
          <w:szCs w:val="28"/>
        </w:rPr>
        <w:t>4、</w:t>
      </w:r>
      <w:r>
        <w:rPr>
          <w:rFonts w:hint="eastAsia" w:ascii="宋体" w:hAnsi="宋体" w:cs="宋体"/>
          <w:bCs/>
          <w:sz w:val="28"/>
          <w:szCs w:val="28"/>
        </w:rPr>
        <w:t>接受项目行业管理部门及政府有关部门的指导，接受甲方的监督。</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5、国家法律、法规所规定由乙方承担的其它责任。</w:t>
      </w:r>
    </w:p>
    <w:p>
      <w:pPr>
        <w:spacing w:line="360" w:lineRule="auto"/>
        <w:ind w:left="426"/>
        <w:rPr>
          <w:rFonts w:hint="eastAsia" w:ascii="宋体" w:hAnsi="宋体" w:cs="宋体"/>
          <w:b/>
          <w:sz w:val="28"/>
          <w:szCs w:val="28"/>
        </w:rPr>
      </w:pPr>
      <w:r>
        <w:rPr>
          <w:rFonts w:hint="eastAsia" w:ascii="宋体" w:hAnsi="宋体" w:cs="宋体"/>
          <w:b/>
          <w:sz w:val="28"/>
          <w:szCs w:val="28"/>
        </w:rPr>
        <w:t xml:space="preserve">第十条  违约责任 </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1、甲乙双方必须遵守本合同并执行合同中的各项规定，保证本合同的正常履行。</w:t>
      </w:r>
    </w:p>
    <w:p>
      <w:pPr>
        <w:adjustRightInd w:val="0"/>
        <w:spacing w:line="360" w:lineRule="auto"/>
        <w:ind w:firstLine="560" w:firstLineChars="200"/>
        <w:jc w:val="left"/>
        <w:textAlignment w:val="baseline"/>
        <w:rPr>
          <w:rFonts w:hint="eastAsia" w:ascii="宋体" w:hAnsi="宋体" w:cs="宋体"/>
          <w:bCs/>
          <w:sz w:val="28"/>
          <w:szCs w:val="28"/>
        </w:rPr>
      </w:pPr>
      <w:r>
        <w:rPr>
          <w:rFonts w:hint="eastAsia" w:ascii="宋体" w:hAnsi="宋体" w:cs="宋体"/>
          <w:bCs/>
          <w:sz w:val="28"/>
          <w:szCs w:val="28"/>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pPr>
        <w:spacing w:line="360" w:lineRule="auto"/>
        <w:ind w:left="426"/>
        <w:rPr>
          <w:rFonts w:hint="eastAsia" w:ascii="宋体" w:hAnsi="宋体" w:cs="宋体"/>
          <w:b/>
          <w:sz w:val="28"/>
          <w:szCs w:val="28"/>
        </w:rPr>
      </w:pPr>
      <w:r>
        <w:rPr>
          <w:rFonts w:hint="eastAsia" w:ascii="宋体" w:hAnsi="宋体" w:cs="宋体"/>
          <w:b/>
          <w:sz w:val="28"/>
          <w:szCs w:val="28"/>
        </w:rPr>
        <w:t xml:space="preserve">第十一条  不可抗力事件处理 </w:t>
      </w:r>
    </w:p>
    <w:p>
      <w:pPr>
        <w:tabs>
          <w:tab w:val="left" w:pos="0"/>
        </w:tabs>
        <w:spacing w:line="360" w:lineRule="auto"/>
        <w:ind w:firstLine="560" w:firstLineChars="200"/>
        <w:rPr>
          <w:rFonts w:hint="eastAsia" w:ascii="宋体" w:hAnsi="宋体" w:cs="宋体"/>
          <w:sz w:val="28"/>
          <w:szCs w:val="28"/>
        </w:rPr>
      </w:pPr>
      <w:r>
        <w:rPr>
          <w:rFonts w:hint="eastAsia" w:ascii="宋体" w:hAnsi="宋体" w:cs="宋体"/>
          <w:sz w:val="28"/>
          <w:szCs w:val="28"/>
        </w:rPr>
        <w:t>1、在合同有效期内，任何一方因不可抗力事件导致不能履行合同，则合同履行期可延长，其延长期与不可抗力影响期相同。</w:t>
      </w:r>
    </w:p>
    <w:p>
      <w:pPr>
        <w:tabs>
          <w:tab w:val="left" w:pos="0"/>
        </w:tabs>
        <w:spacing w:line="360" w:lineRule="auto"/>
        <w:ind w:firstLine="560" w:firstLineChars="200"/>
        <w:rPr>
          <w:rFonts w:hint="eastAsia" w:ascii="宋体" w:hAnsi="宋体" w:cs="宋体"/>
          <w:sz w:val="28"/>
          <w:szCs w:val="28"/>
        </w:rPr>
      </w:pPr>
      <w:r>
        <w:rPr>
          <w:rFonts w:hint="eastAsia" w:ascii="宋体" w:hAnsi="宋体" w:cs="宋体"/>
          <w:sz w:val="28"/>
          <w:szCs w:val="28"/>
        </w:rPr>
        <w:t>2、不可抗力事件发生后，应立即通知对方，并寄送有关权威机构出具的证明。</w:t>
      </w:r>
    </w:p>
    <w:p>
      <w:pPr>
        <w:tabs>
          <w:tab w:val="left" w:pos="0"/>
        </w:tabs>
        <w:spacing w:line="360" w:lineRule="auto"/>
        <w:ind w:firstLine="560" w:firstLineChars="200"/>
        <w:rPr>
          <w:rFonts w:hint="eastAsia" w:ascii="宋体" w:hAnsi="宋体" w:cs="宋体"/>
          <w:sz w:val="28"/>
          <w:szCs w:val="28"/>
        </w:rPr>
      </w:pPr>
      <w:r>
        <w:rPr>
          <w:rFonts w:hint="eastAsia" w:ascii="宋体" w:hAnsi="宋体" w:cs="宋体"/>
          <w:sz w:val="28"/>
          <w:szCs w:val="28"/>
        </w:rPr>
        <w:t>3、不可抗力事件延续</w:t>
      </w:r>
      <w:r>
        <w:rPr>
          <w:rFonts w:hint="eastAsia" w:ascii="宋体" w:hAnsi="宋体" w:cs="宋体"/>
          <w:sz w:val="28"/>
          <w:szCs w:val="28"/>
          <w:u w:val="single"/>
        </w:rPr>
        <w:t xml:space="preserve">     </w:t>
      </w:r>
      <w:r>
        <w:rPr>
          <w:rFonts w:hint="eastAsia" w:ascii="宋体" w:hAnsi="宋体" w:cs="宋体"/>
          <w:sz w:val="28"/>
          <w:szCs w:val="28"/>
        </w:rPr>
        <w:t>天以上，双方应通过友好协商，确定是否继续履行合同。</w:t>
      </w:r>
    </w:p>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Pr>
        <w:widowControl/>
        <w:spacing w:line="360" w:lineRule="auto"/>
        <w:ind w:firstLine="562" w:firstLineChars="200"/>
        <w:jc w:val="left"/>
        <w:rPr>
          <w:rFonts w:hint="eastAsia" w:ascii="宋体" w:hAnsi="宋体" w:cs="宋体"/>
          <w:kern w:val="0"/>
          <w:sz w:val="28"/>
          <w:szCs w:val="28"/>
        </w:rPr>
      </w:pPr>
      <w:bookmarkStart w:id="123" w:name="_Toc238984980"/>
      <w:bookmarkStart w:id="124" w:name="_Toc239568423"/>
      <w:bookmarkStart w:id="125" w:name="_Toc247334846"/>
      <w:bookmarkStart w:id="126" w:name="_Toc251768867"/>
      <w:bookmarkStart w:id="127" w:name="_Toc225654649"/>
      <w:bookmarkStart w:id="128" w:name="_Toc241833908"/>
      <w:bookmarkStart w:id="129" w:name="_Toc232492933"/>
      <w:bookmarkStart w:id="130" w:name="_Toc225244857"/>
      <w:bookmarkStart w:id="131" w:name="_Toc237145411"/>
      <w:bookmarkStart w:id="132" w:name="_Toc225670756"/>
      <w:bookmarkStart w:id="133" w:name="_Toc239233919"/>
      <w:bookmarkStart w:id="134" w:name="_Toc286993792"/>
      <w:bookmarkStart w:id="135" w:name="_Toc185395254"/>
      <w:bookmarkStart w:id="136" w:name="_Toc212019599"/>
      <w:bookmarkStart w:id="137" w:name="_Toc211854454"/>
      <w:bookmarkStart w:id="138" w:name="_Toc211911353"/>
      <w:r>
        <w:rPr>
          <w:rFonts w:hint="eastAsia" w:ascii="宋体" w:hAnsi="宋体" w:cs="宋体"/>
          <w:b/>
          <w:sz w:val="28"/>
          <w:szCs w:val="28"/>
        </w:rPr>
        <w:t xml:space="preserve">第十二条  </w:t>
      </w:r>
      <w:r>
        <w:rPr>
          <w:rFonts w:hint="eastAsia" w:ascii="宋体" w:hAnsi="宋体" w:cs="宋体"/>
          <w:b/>
          <w:kern w:val="0"/>
          <w:sz w:val="28"/>
          <w:szCs w:val="28"/>
        </w:rPr>
        <w:t>合同的变更和终止</w:t>
      </w:r>
    </w:p>
    <w:p>
      <w:pPr>
        <w:widowControl/>
        <w:spacing w:line="360" w:lineRule="auto"/>
        <w:ind w:firstLine="560" w:firstLineChars="200"/>
        <w:jc w:val="left"/>
        <w:rPr>
          <w:rFonts w:hint="eastAsia" w:ascii="宋体" w:hAnsi="宋体" w:cs="宋体"/>
          <w:kern w:val="0"/>
          <w:sz w:val="28"/>
          <w:szCs w:val="28"/>
        </w:rPr>
      </w:pPr>
      <w:r>
        <w:rPr>
          <w:rFonts w:hint="eastAsia" w:ascii="宋体" w:hAnsi="宋体" w:cs="宋体"/>
          <w:kern w:val="0"/>
          <w:sz w:val="28"/>
          <w:szCs w:val="28"/>
        </w:rPr>
        <w:t>除《中华人民共和国政府采购法》第49条、第50条第二款规定的情形外，本合同一经签订，甲乙双方不得擅自变更、中止或终止合同。</w:t>
      </w:r>
    </w:p>
    <w:p>
      <w:pPr>
        <w:spacing w:line="360" w:lineRule="auto"/>
        <w:ind w:left="426"/>
        <w:rPr>
          <w:rFonts w:hint="eastAsia" w:ascii="宋体" w:hAnsi="宋体" w:cs="宋体"/>
          <w:b/>
          <w:sz w:val="28"/>
          <w:szCs w:val="28"/>
        </w:rPr>
      </w:pPr>
      <w:r>
        <w:rPr>
          <w:rFonts w:hint="eastAsia" w:ascii="宋体" w:hAnsi="宋体" w:cs="宋体"/>
          <w:b/>
          <w:sz w:val="28"/>
          <w:szCs w:val="28"/>
        </w:rPr>
        <w:t>第十三条  解决合同纠纷的方式</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96"/>
        <w:spacing w:line="360" w:lineRule="auto"/>
        <w:ind w:firstLine="560"/>
        <w:rPr>
          <w:rFonts w:hint="eastAsia" w:ascii="宋体" w:hAnsi="宋体"/>
          <w:kern w:val="0"/>
          <w:sz w:val="28"/>
          <w:szCs w:val="28"/>
        </w:rPr>
      </w:pPr>
      <w:r>
        <w:rPr>
          <w:rFonts w:hint="eastAsia" w:ascii="宋体" w:hAnsi="宋体"/>
          <w:sz w:val="28"/>
          <w:szCs w:val="28"/>
        </w:rPr>
        <w:t>1、在执行本合同中发生的或与本合同有关的争端，双方应通过友好协商解决，经协商在</w:t>
      </w:r>
      <w:r>
        <w:rPr>
          <w:rFonts w:hint="eastAsia" w:ascii="宋体" w:hAnsi="宋体"/>
          <w:sz w:val="28"/>
          <w:szCs w:val="28"/>
          <w:u w:val="single"/>
        </w:rPr>
        <w:t xml:space="preserve">     </w:t>
      </w:r>
      <w:r>
        <w:rPr>
          <w:rFonts w:hint="eastAsia" w:ascii="宋体" w:hAnsi="宋体"/>
          <w:sz w:val="28"/>
          <w:szCs w:val="28"/>
        </w:rPr>
        <w:t>天内不能达成协议时，</w:t>
      </w:r>
      <w:r>
        <w:rPr>
          <w:rFonts w:hint="eastAsia" w:ascii="宋体" w:hAnsi="宋体"/>
          <w:kern w:val="0"/>
          <w:sz w:val="28"/>
          <w:szCs w:val="28"/>
        </w:rPr>
        <w:t>则采取以下第__</w:t>
      </w:r>
      <w:r>
        <w:rPr>
          <w:rFonts w:hint="eastAsia" w:ascii="宋体" w:hAnsi="宋体"/>
          <w:kern w:val="0"/>
          <w:sz w:val="28"/>
          <w:szCs w:val="28"/>
          <w:u w:val="single"/>
        </w:rPr>
        <w:t>1</w:t>
      </w:r>
      <w:r>
        <w:rPr>
          <w:rFonts w:hint="eastAsia" w:ascii="宋体" w:hAnsi="宋体"/>
          <w:kern w:val="0"/>
          <w:sz w:val="28"/>
          <w:szCs w:val="28"/>
        </w:rPr>
        <w:t>__种方式解决争议：</w:t>
      </w:r>
    </w:p>
    <w:p>
      <w:pPr>
        <w:pStyle w:val="96"/>
        <w:spacing w:line="360" w:lineRule="auto"/>
        <w:ind w:firstLine="560"/>
        <w:rPr>
          <w:rFonts w:hint="eastAsia" w:ascii="宋体" w:hAnsi="宋体"/>
          <w:kern w:val="0"/>
          <w:sz w:val="28"/>
          <w:szCs w:val="28"/>
        </w:rPr>
      </w:pPr>
      <w:r>
        <w:rPr>
          <w:rFonts w:hint="eastAsia" w:ascii="宋体" w:hAnsi="宋体"/>
          <w:kern w:val="0"/>
          <w:sz w:val="28"/>
          <w:szCs w:val="28"/>
        </w:rPr>
        <w:t>（1）向甲方所在地有管辖权的人民法院提起诉讼；</w:t>
      </w:r>
    </w:p>
    <w:p>
      <w:pPr>
        <w:pStyle w:val="96"/>
        <w:spacing w:line="360" w:lineRule="auto"/>
        <w:ind w:firstLine="560"/>
        <w:rPr>
          <w:rFonts w:hint="eastAsia" w:ascii="宋体" w:hAnsi="宋体"/>
          <w:kern w:val="0"/>
          <w:sz w:val="28"/>
          <w:szCs w:val="28"/>
        </w:rPr>
      </w:pPr>
      <w:r>
        <w:rPr>
          <w:rFonts w:hint="eastAsia" w:ascii="宋体" w:hAnsi="宋体"/>
          <w:kern w:val="0"/>
          <w:sz w:val="28"/>
          <w:szCs w:val="28"/>
        </w:rPr>
        <w:t>（2）向</w:t>
      </w:r>
      <w:r>
        <w:rPr>
          <w:rFonts w:hint="eastAsia" w:ascii="宋体" w:hAnsi="宋体"/>
          <w:kern w:val="0"/>
          <w:sz w:val="28"/>
          <w:szCs w:val="28"/>
          <w:u w:val="single"/>
        </w:rPr>
        <w:t>当地</w:t>
      </w:r>
      <w:r>
        <w:rPr>
          <w:rFonts w:hint="eastAsia" w:ascii="宋体" w:hAnsi="宋体"/>
          <w:kern w:val="0"/>
          <w:sz w:val="28"/>
          <w:szCs w:val="28"/>
        </w:rPr>
        <w:t>仲裁委员会按其仲裁规则申请仲裁。</w:t>
      </w:r>
    </w:p>
    <w:p>
      <w:pPr>
        <w:tabs>
          <w:tab w:val="left" w:pos="0"/>
        </w:tabs>
        <w:spacing w:line="360" w:lineRule="auto"/>
        <w:ind w:firstLine="560" w:firstLineChars="200"/>
        <w:rPr>
          <w:rFonts w:hint="eastAsia" w:ascii="宋体" w:hAnsi="宋体" w:cs="宋体"/>
          <w:sz w:val="28"/>
          <w:szCs w:val="28"/>
        </w:rPr>
      </w:pPr>
      <w:r>
        <w:rPr>
          <w:rFonts w:hint="eastAsia" w:ascii="宋体" w:hAnsi="宋体" w:cs="宋体"/>
          <w:kern w:val="0"/>
          <w:sz w:val="28"/>
          <w:szCs w:val="28"/>
        </w:rPr>
        <w:t>2、在仲裁期间，本合同应继续履行。</w:t>
      </w:r>
    </w:p>
    <w:p>
      <w:pPr>
        <w:spacing w:line="360" w:lineRule="auto"/>
        <w:ind w:left="426"/>
        <w:rPr>
          <w:rFonts w:hint="eastAsia" w:ascii="宋体" w:hAnsi="宋体" w:cs="宋体"/>
          <w:b/>
          <w:sz w:val="28"/>
          <w:szCs w:val="28"/>
        </w:rPr>
      </w:pPr>
      <w:bookmarkStart w:id="139" w:name="_Toc211911354"/>
      <w:bookmarkStart w:id="140" w:name="_Toc247334847"/>
      <w:bookmarkStart w:id="141" w:name="_Toc212019600"/>
      <w:bookmarkStart w:id="142" w:name="_Toc185395255"/>
      <w:bookmarkStart w:id="143" w:name="_Toc241833909"/>
      <w:bookmarkStart w:id="144" w:name="_Toc237145412"/>
      <w:bookmarkStart w:id="145" w:name="_Toc239568424"/>
      <w:bookmarkStart w:id="146" w:name="_Toc225670757"/>
      <w:bookmarkStart w:id="147" w:name="_Toc225244858"/>
      <w:bookmarkStart w:id="148" w:name="_Toc225654650"/>
      <w:bookmarkStart w:id="149" w:name="_Toc211854455"/>
      <w:bookmarkStart w:id="150" w:name="_Toc238984981"/>
      <w:bookmarkStart w:id="151" w:name="_Toc282696231"/>
      <w:bookmarkStart w:id="152" w:name="_Toc232492934"/>
      <w:bookmarkStart w:id="153" w:name="_Toc283019219"/>
      <w:bookmarkStart w:id="154" w:name="_Toc286993793"/>
      <w:bookmarkStart w:id="155" w:name="_Toc239233920"/>
      <w:bookmarkStart w:id="156" w:name="_Toc251768868"/>
      <w:r>
        <w:rPr>
          <w:rFonts w:hint="eastAsia" w:ascii="宋体" w:hAnsi="宋体" w:cs="宋体"/>
          <w:b/>
          <w:sz w:val="28"/>
          <w:szCs w:val="28"/>
        </w:rPr>
        <w:t>第十四条  合同</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cs="宋体"/>
          <w:b/>
          <w:sz w:val="28"/>
          <w:szCs w:val="28"/>
        </w:rPr>
        <w:t xml:space="preserve">生效及其他 </w:t>
      </w:r>
    </w:p>
    <w:p>
      <w:pPr>
        <w:pStyle w:val="78"/>
        <w:spacing w:line="360" w:lineRule="auto"/>
        <w:ind w:firstLine="560"/>
        <w:rPr>
          <w:rFonts w:hint="eastAsia" w:ascii="宋体" w:hAnsi="宋体" w:cs="宋体"/>
          <w:sz w:val="28"/>
          <w:szCs w:val="28"/>
        </w:rPr>
      </w:pPr>
      <w:r>
        <w:rPr>
          <w:rFonts w:hint="eastAsia" w:ascii="宋体" w:hAnsi="宋体" w:cs="宋体"/>
          <w:sz w:val="28"/>
          <w:szCs w:val="28"/>
        </w:rPr>
        <w:t>1、合同经双方法定代表人或授权委托代理人签字并加盖单位公章后生效。</w:t>
      </w:r>
    </w:p>
    <w:p>
      <w:pPr>
        <w:pStyle w:val="78"/>
        <w:spacing w:line="360" w:lineRule="auto"/>
        <w:ind w:firstLine="560"/>
        <w:rPr>
          <w:rFonts w:hint="eastAsia" w:ascii="宋体" w:hAnsi="宋体" w:cs="宋体"/>
          <w:sz w:val="28"/>
          <w:szCs w:val="28"/>
        </w:rPr>
      </w:pPr>
      <w:r>
        <w:rPr>
          <w:rFonts w:hint="eastAsia" w:ascii="宋体" w:hAnsi="宋体" w:cs="宋体"/>
          <w:sz w:val="28"/>
          <w:szCs w:val="28"/>
        </w:rPr>
        <w:t>2、合同执行中涉及采购资金和采购内容修改或补充的，须经政府采购监管部门审批，并签书面补充协议报政府采购监督管理部门备案，方可作为主合同不可分割的一部分。</w:t>
      </w:r>
    </w:p>
    <w:p>
      <w:pPr>
        <w:pStyle w:val="78"/>
        <w:spacing w:line="360" w:lineRule="auto"/>
        <w:ind w:firstLine="560"/>
        <w:rPr>
          <w:rFonts w:hint="eastAsia" w:ascii="宋体" w:hAnsi="宋体" w:cs="宋体"/>
          <w:sz w:val="28"/>
          <w:szCs w:val="28"/>
        </w:rPr>
      </w:pPr>
      <w:r>
        <w:rPr>
          <w:rFonts w:hint="eastAsia" w:ascii="宋体" w:hAnsi="宋体" w:cs="宋体"/>
          <w:sz w:val="28"/>
          <w:szCs w:val="28"/>
        </w:rPr>
        <w:t>3、本合同一式</w:t>
      </w:r>
      <w:r>
        <w:rPr>
          <w:rFonts w:hint="eastAsia" w:ascii="宋体" w:hAnsi="宋体" w:cs="宋体"/>
          <w:sz w:val="28"/>
          <w:szCs w:val="28"/>
          <w:u w:val="single"/>
        </w:rPr>
        <w:t xml:space="preserve">   </w:t>
      </w:r>
      <w:r>
        <w:rPr>
          <w:rFonts w:hint="eastAsia" w:ascii="宋体" w:hAnsi="宋体" w:cs="宋体"/>
          <w:sz w:val="28"/>
          <w:szCs w:val="28"/>
        </w:rPr>
        <w:t>份，自双方签章之日起起效。甲方</w:t>
      </w:r>
      <w:r>
        <w:rPr>
          <w:rFonts w:hint="eastAsia" w:ascii="宋体" w:hAnsi="宋体" w:cs="宋体"/>
          <w:sz w:val="28"/>
          <w:szCs w:val="28"/>
          <w:u w:val="single"/>
        </w:rPr>
        <w:t xml:space="preserve">   </w:t>
      </w:r>
      <w:r>
        <w:rPr>
          <w:rFonts w:hint="eastAsia" w:ascii="宋体" w:hAnsi="宋体" w:cs="宋体"/>
          <w:sz w:val="28"/>
          <w:szCs w:val="28"/>
        </w:rPr>
        <w:t>份，乙方</w:t>
      </w:r>
      <w:r>
        <w:rPr>
          <w:rFonts w:hint="eastAsia" w:ascii="宋体" w:hAnsi="宋体" w:cs="宋体"/>
          <w:sz w:val="28"/>
          <w:szCs w:val="28"/>
          <w:u w:val="single"/>
        </w:rPr>
        <w:t xml:space="preserve">   </w:t>
      </w:r>
      <w:r>
        <w:rPr>
          <w:rFonts w:hint="eastAsia" w:ascii="宋体" w:hAnsi="宋体" w:cs="宋体"/>
          <w:sz w:val="28"/>
          <w:szCs w:val="28"/>
        </w:rPr>
        <w:t>份，政府采购代理机构</w:t>
      </w:r>
      <w:r>
        <w:rPr>
          <w:rFonts w:hint="eastAsia" w:ascii="宋体" w:hAnsi="宋体" w:cs="宋体"/>
          <w:sz w:val="28"/>
          <w:szCs w:val="28"/>
          <w:u w:val="single"/>
        </w:rPr>
        <w:t xml:space="preserve">   </w:t>
      </w:r>
      <w:r>
        <w:rPr>
          <w:rFonts w:hint="eastAsia" w:ascii="宋体" w:hAnsi="宋体" w:cs="宋体"/>
          <w:sz w:val="28"/>
          <w:szCs w:val="28"/>
        </w:rPr>
        <w:t>份，同级财政部门备案</w:t>
      </w:r>
      <w:r>
        <w:rPr>
          <w:rFonts w:hint="eastAsia" w:ascii="宋体" w:hAnsi="宋体" w:cs="宋体"/>
          <w:sz w:val="28"/>
          <w:szCs w:val="28"/>
          <w:u w:val="single"/>
        </w:rPr>
        <w:t xml:space="preserve">   </w:t>
      </w:r>
      <w:r>
        <w:rPr>
          <w:rFonts w:hint="eastAsia" w:ascii="宋体" w:hAnsi="宋体" w:cs="宋体"/>
          <w:sz w:val="28"/>
          <w:szCs w:val="28"/>
        </w:rPr>
        <w:t>份，具有同等法律效力。</w:t>
      </w:r>
    </w:p>
    <w:p>
      <w:pPr>
        <w:spacing w:line="360" w:lineRule="auto"/>
        <w:ind w:left="426"/>
        <w:rPr>
          <w:rFonts w:hint="eastAsia" w:ascii="宋体" w:hAnsi="宋体" w:cs="宋体"/>
          <w:b/>
          <w:sz w:val="28"/>
          <w:szCs w:val="28"/>
        </w:rPr>
      </w:pPr>
      <w:r>
        <w:rPr>
          <w:rFonts w:hint="eastAsia" w:ascii="宋体" w:hAnsi="宋体" w:cs="宋体"/>
          <w:b/>
          <w:sz w:val="28"/>
          <w:szCs w:val="28"/>
        </w:rPr>
        <w:t>第十五条  附件</w:t>
      </w:r>
    </w:p>
    <w:p>
      <w:pPr>
        <w:pStyle w:val="78"/>
        <w:spacing w:line="360" w:lineRule="auto"/>
        <w:ind w:firstLine="560"/>
        <w:rPr>
          <w:rFonts w:hint="eastAsia" w:ascii="宋体" w:hAnsi="宋体" w:cs="宋体"/>
          <w:sz w:val="28"/>
          <w:szCs w:val="28"/>
        </w:rPr>
      </w:pPr>
      <w:r>
        <w:rPr>
          <w:rFonts w:hint="eastAsia" w:ascii="宋体" w:hAnsi="宋体" w:cs="宋体"/>
          <w:sz w:val="28"/>
          <w:szCs w:val="28"/>
        </w:rPr>
        <w:t>1、项目磋商文件</w:t>
      </w:r>
    </w:p>
    <w:p>
      <w:pPr>
        <w:pStyle w:val="78"/>
        <w:spacing w:line="360" w:lineRule="auto"/>
        <w:ind w:firstLine="560"/>
        <w:rPr>
          <w:rFonts w:hint="eastAsia" w:ascii="宋体" w:hAnsi="宋体" w:cs="宋体"/>
          <w:sz w:val="28"/>
          <w:szCs w:val="28"/>
        </w:rPr>
      </w:pPr>
      <w:r>
        <w:rPr>
          <w:rFonts w:hint="eastAsia" w:ascii="宋体" w:hAnsi="宋体" w:cs="宋体"/>
          <w:sz w:val="28"/>
          <w:szCs w:val="28"/>
        </w:rPr>
        <w:t>2、项目修改澄清文件</w:t>
      </w:r>
    </w:p>
    <w:p>
      <w:pPr>
        <w:pStyle w:val="78"/>
        <w:spacing w:line="360" w:lineRule="auto"/>
        <w:ind w:firstLine="560"/>
        <w:rPr>
          <w:rFonts w:hint="eastAsia" w:ascii="宋体" w:hAnsi="宋体" w:cs="宋体"/>
          <w:sz w:val="28"/>
          <w:szCs w:val="28"/>
        </w:rPr>
      </w:pPr>
      <w:r>
        <w:rPr>
          <w:rFonts w:hint="eastAsia" w:ascii="宋体" w:hAnsi="宋体" w:cs="宋体"/>
          <w:sz w:val="28"/>
          <w:szCs w:val="28"/>
        </w:rPr>
        <w:t>3、项目磋商响应文件</w:t>
      </w:r>
    </w:p>
    <w:p>
      <w:pPr>
        <w:pStyle w:val="78"/>
        <w:spacing w:line="360" w:lineRule="auto"/>
        <w:ind w:firstLine="560"/>
        <w:rPr>
          <w:rFonts w:hint="eastAsia" w:ascii="宋体" w:hAnsi="宋体" w:cs="宋体"/>
          <w:sz w:val="28"/>
          <w:szCs w:val="28"/>
        </w:rPr>
      </w:pPr>
      <w:r>
        <w:rPr>
          <w:rFonts w:hint="eastAsia" w:ascii="宋体" w:hAnsi="宋体" w:cs="宋体"/>
          <w:sz w:val="28"/>
          <w:szCs w:val="28"/>
        </w:rPr>
        <w:t>4、成交通知书</w:t>
      </w:r>
    </w:p>
    <w:p>
      <w:pPr>
        <w:pStyle w:val="78"/>
        <w:spacing w:line="360" w:lineRule="auto"/>
        <w:ind w:firstLine="560"/>
        <w:rPr>
          <w:rFonts w:hint="eastAsia" w:ascii="宋体" w:hAnsi="宋体" w:cs="宋体"/>
          <w:sz w:val="28"/>
          <w:szCs w:val="28"/>
        </w:rPr>
      </w:pPr>
      <w:r>
        <w:rPr>
          <w:rFonts w:hint="eastAsia" w:ascii="宋体" w:hAnsi="宋体" w:cs="宋体"/>
          <w:sz w:val="28"/>
          <w:szCs w:val="28"/>
        </w:rPr>
        <w:t>5、其他</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 xml:space="preserve">甲方：   （盖章）   </w:t>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 xml:space="preserve">       乙方：   （盖章）</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法定代表人（授权代表）：            法定代表人（授权代表）：</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地    址：                         地    址：</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开户银行：                         开户银行：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账号：                             账号：</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电    话：                         电    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传    真：                         传    真：</w:t>
      </w:r>
    </w:p>
    <w:p>
      <w:pPr>
        <w:spacing w:line="360" w:lineRule="auto"/>
        <w:rPr>
          <w:rFonts w:hint="eastAsia" w:ascii="宋体" w:hAnsi="宋体" w:cs="宋体"/>
          <w:b/>
          <w:bCs/>
          <w:sz w:val="28"/>
          <w:szCs w:val="28"/>
        </w:rPr>
      </w:pPr>
      <w:r>
        <w:rPr>
          <w:rFonts w:hint="eastAsia" w:ascii="宋体" w:hAnsi="宋体" w:cs="宋体"/>
          <w:sz w:val="28"/>
          <w:szCs w:val="28"/>
        </w:rPr>
        <w:t xml:space="preserve">签约日期：  年  月  日 </w:t>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ab/>
      </w:r>
      <w:r>
        <w:rPr>
          <w:rFonts w:hint="eastAsia" w:ascii="宋体" w:hAnsi="宋体" w:cs="宋体"/>
          <w:sz w:val="28"/>
          <w:szCs w:val="28"/>
        </w:rPr>
        <w:t xml:space="preserve">    签约日期：  年  月  日  </w:t>
      </w:r>
    </w:p>
    <w:p>
      <w:pPr>
        <w:spacing w:line="360" w:lineRule="auto"/>
        <w:rPr>
          <w:rFonts w:hint="eastAsia" w:ascii="宋体" w:hAnsi="宋体" w:cs="宋体"/>
          <w:b/>
          <w:bCs/>
        </w:rPr>
        <w:sectPr>
          <w:headerReference r:id="rId17" w:type="first"/>
          <w:footerReference r:id="rId19" w:type="first"/>
          <w:headerReference r:id="rId16" w:type="default"/>
          <w:footerReference r:id="rId18" w:type="default"/>
          <w:pgSz w:w="11907" w:h="16840"/>
          <w:pgMar w:top="1418" w:right="1247" w:bottom="850" w:left="1247" w:header="907" w:footer="654" w:gutter="0"/>
          <w:pgNumType w:fmt="decimal"/>
          <w:cols w:space="720" w:num="1"/>
          <w:titlePg/>
          <w:docGrid w:linePitch="312" w:charSpace="0"/>
        </w:sectPr>
      </w:pPr>
      <w:r>
        <w:rPr>
          <w:rFonts w:hint="eastAsia" w:ascii="宋体" w:hAnsi="宋体" w:cs="宋体"/>
          <w:b/>
          <w:bCs/>
          <w:sz w:val="28"/>
          <w:szCs w:val="28"/>
        </w:rPr>
        <w:t>注：该合同模板仅供参考，合同具体内容及格式签订正式合同时，甲乙双方协商确定。</w:t>
      </w:r>
    </w:p>
    <w:p>
      <w:pPr>
        <w:pStyle w:val="3"/>
        <w:bidi w:val="0"/>
        <w:jc w:val="center"/>
        <w:rPr>
          <w:rFonts w:hint="eastAsia"/>
          <w:sz w:val="36"/>
          <w:szCs w:val="36"/>
          <w:lang w:val="zh-CN"/>
        </w:rPr>
      </w:pPr>
      <w:bookmarkStart w:id="157" w:name="_Toc16337"/>
      <w:bookmarkStart w:id="158" w:name="_Toc3036"/>
      <w:r>
        <w:rPr>
          <w:rFonts w:hint="eastAsia"/>
          <w:sz w:val="36"/>
          <w:szCs w:val="36"/>
          <w:lang w:val="zh-CN"/>
        </w:rPr>
        <w:t>第六部分   竞争性磋商响应文件格式</w:t>
      </w:r>
      <w:bookmarkEnd w:id="93"/>
      <w:bookmarkEnd w:id="98"/>
      <w:bookmarkEnd w:id="99"/>
      <w:bookmarkEnd w:id="100"/>
      <w:bookmarkEnd w:id="101"/>
      <w:bookmarkEnd w:id="102"/>
      <w:bookmarkEnd w:id="103"/>
      <w:bookmarkEnd w:id="157"/>
      <w:bookmarkEnd w:id="158"/>
    </w:p>
    <w:p>
      <w:pPr>
        <w:pStyle w:val="24"/>
        <w:ind w:left="0" w:leftChars="0" w:firstLine="0" w:firstLineChars="0"/>
        <w:rPr>
          <w:rFonts w:hint="default"/>
          <w:lang w:val="en-US"/>
        </w:rPr>
      </w:pPr>
      <w:bookmarkStart w:id="159" w:name="_Toc7560"/>
      <w:bookmarkStart w:id="160" w:name="_Toc23209"/>
    </w:p>
    <w:bookmarkEnd w:id="159"/>
    <w:bookmarkEnd w:id="160"/>
    <w:p>
      <w:pPr>
        <w:pStyle w:val="2"/>
        <w:bidi w:val="0"/>
        <w:jc w:val="right"/>
        <w:rPr>
          <w:rFonts w:hint="eastAsia"/>
          <w:b/>
          <w:bCs/>
          <w:sz w:val="44"/>
          <w:szCs w:val="44"/>
          <w:lang w:val="zh-CN"/>
        </w:rPr>
      </w:pPr>
      <w:bookmarkStart w:id="161" w:name="_Toc4081"/>
      <w:r>
        <w:rPr>
          <w:rFonts w:hint="eastAsia" w:ascii="Times New Roman" w:hAnsi="Times New Roman" w:eastAsia="宋体" w:cs="Times New Roman"/>
          <w:b/>
          <w:bCs/>
          <w:color w:val="000000"/>
          <w:sz w:val="44"/>
          <w:szCs w:val="44"/>
          <w:u w:val="none" w:color="000000"/>
          <w:lang w:val="zh-CN" w:eastAsia="zh-CN" w:bidi="ar-SA"/>
        </w:rPr>
        <w:t>正本/副本</w:t>
      </w:r>
      <w:bookmarkEnd w:id="161"/>
    </w:p>
    <w:p>
      <w:pPr>
        <w:pStyle w:val="2"/>
        <w:bidi w:val="0"/>
        <w:rPr>
          <w:rFonts w:hint="eastAsia"/>
          <w:lang w:eastAsia="zh-CN"/>
        </w:rPr>
      </w:pPr>
    </w:p>
    <w:p>
      <w:pPr>
        <w:pStyle w:val="2"/>
        <w:bidi w:val="0"/>
        <w:rPr>
          <w:rFonts w:hint="eastAsia"/>
          <w:lang w:eastAsia="zh-CN"/>
        </w:rPr>
      </w:pPr>
    </w:p>
    <w:p>
      <w:pPr>
        <w:pStyle w:val="2"/>
        <w:bidi w:val="0"/>
        <w:jc w:val="center"/>
        <w:rPr>
          <w:rFonts w:hint="eastAsia"/>
          <w:b/>
          <w:bCs/>
          <w:sz w:val="44"/>
          <w:szCs w:val="44"/>
          <w:lang w:eastAsia="zh-CN"/>
        </w:rPr>
      </w:pPr>
      <w:bookmarkStart w:id="162" w:name="_Toc22909"/>
      <w:bookmarkStart w:id="163" w:name="_Toc32382"/>
      <w:bookmarkStart w:id="164" w:name="_Toc16291"/>
      <w:bookmarkStart w:id="165" w:name="_Toc30439"/>
      <w:bookmarkStart w:id="166" w:name="_Toc12370"/>
      <w:r>
        <w:rPr>
          <w:rFonts w:hint="eastAsia" w:ascii="Times New Roman" w:hAnsi="Times New Roman" w:eastAsia="宋体" w:cs="Times New Roman"/>
          <w:b/>
          <w:bCs/>
          <w:color w:val="000000"/>
          <w:sz w:val="44"/>
          <w:szCs w:val="44"/>
          <w:u w:val="none" w:color="000000"/>
          <w:lang w:val="en-US" w:eastAsia="zh-CN" w:bidi="ar-SA"/>
        </w:rPr>
        <w:t>扶风县城新区东二路、西二路、北二路、扶法路排水防涝工程EPC总承包监理（二次）</w:t>
      </w:r>
    </w:p>
    <w:p>
      <w:pPr>
        <w:pageBreakBefore w:val="0"/>
        <w:wordWrap/>
        <w:overflowPunct/>
        <w:topLinePunct w:val="0"/>
        <w:bidi w:val="0"/>
        <w:spacing w:before="240" w:beforeLines="100" w:after="240" w:afterLines="100" w:line="560" w:lineRule="exact"/>
        <w:jc w:val="both"/>
        <w:outlineLvl w:val="9"/>
        <w:rPr>
          <w:rFonts w:hint="eastAsia" w:ascii="宋体" w:hAnsi="宋体" w:eastAsia="宋体" w:cs="宋体"/>
          <w:b/>
          <w:color w:val="auto"/>
          <w:sz w:val="48"/>
          <w:szCs w:val="48"/>
          <w:highlight w:val="none"/>
          <w:lang w:eastAsia="zh-CN" w:bidi="ar"/>
        </w:rPr>
      </w:pPr>
    </w:p>
    <w:p>
      <w:pPr>
        <w:pageBreakBefore w:val="0"/>
        <w:wordWrap/>
        <w:overflowPunct/>
        <w:topLinePunct w:val="0"/>
        <w:bidi w:val="0"/>
        <w:spacing w:before="240" w:beforeLines="100" w:after="240" w:afterLines="100" w:line="560" w:lineRule="exact"/>
        <w:jc w:val="center"/>
        <w:outlineLvl w:val="9"/>
        <w:rPr>
          <w:rFonts w:hint="eastAsia" w:ascii="宋体" w:hAnsi="宋体" w:eastAsia="宋体" w:cs="宋体"/>
          <w:b/>
          <w:color w:val="auto"/>
          <w:sz w:val="48"/>
          <w:szCs w:val="48"/>
          <w:highlight w:val="none"/>
          <w:lang w:eastAsia="zh-CN" w:bidi="ar"/>
        </w:rPr>
      </w:pPr>
    </w:p>
    <w:p>
      <w:pPr>
        <w:bidi w:val="0"/>
        <w:jc w:val="center"/>
        <w:rPr>
          <w:rFonts w:hint="eastAsia"/>
        </w:rPr>
      </w:pPr>
      <w:bookmarkStart w:id="167" w:name="_Toc29638"/>
      <w:r>
        <w:rPr>
          <w:rFonts w:hint="eastAsia"/>
          <w:b/>
          <w:bCs/>
          <w:sz w:val="52"/>
          <w:szCs w:val="52"/>
          <w:lang w:eastAsia="zh-CN"/>
        </w:rPr>
        <w:t>竞争性磋商响应</w:t>
      </w:r>
      <w:r>
        <w:rPr>
          <w:rFonts w:hint="eastAsia"/>
          <w:b/>
          <w:bCs/>
          <w:sz w:val="52"/>
          <w:szCs w:val="52"/>
        </w:rPr>
        <w:t>文件</w:t>
      </w:r>
      <w:bookmarkEnd w:id="162"/>
      <w:bookmarkEnd w:id="163"/>
      <w:bookmarkEnd w:id="164"/>
      <w:bookmarkEnd w:id="165"/>
      <w:bookmarkEnd w:id="166"/>
      <w:bookmarkEnd w:id="167"/>
    </w:p>
    <w:p>
      <w:pPr>
        <w:spacing w:beforeLines="100" w:afterLines="100"/>
        <w:jc w:val="center"/>
        <w:outlineLvl w:val="9"/>
        <w:rPr>
          <w:rFonts w:hint="eastAsia" w:ascii="宋体" w:hAnsi="宋体" w:eastAsia="宋体" w:cs="宋体"/>
          <w:color w:val="auto"/>
          <w:kern w:val="21"/>
          <w:sz w:val="32"/>
          <w:szCs w:val="32"/>
          <w:highlight w:val="none"/>
          <w:u w:val="none" w:color="000000"/>
          <w:lang w:val="en-US" w:eastAsia="zh-CN" w:bidi="ar-SA"/>
        </w:rPr>
      </w:pPr>
      <w:bookmarkStart w:id="168" w:name="_Toc29761"/>
      <w:bookmarkStart w:id="169" w:name="_Toc31833"/>
      <w:bookmarkStart w:id="170" w:name="_Toc18060"/>
      <w:bookmarkStart w:id="171" w:name="_Toc19082"/>
    </w:p>
    <w:p>
      <w:pPr>
        <w:bidi w:val="0"/>
        <w:jc w:val="center"/>
        <w:rPr>
          <w:rFonts w:hint="eastAsia" w:ascii="宋体" w:hAnsi="宋体" w:eastAsia="宋体" w:cs="宋体"/>
          <w:b/>
          <w:bCs/>
          <w:color w:val="auto"/>
          <w:kern w:val="21"/>
          <w:sz w:val="32"/>
          <w:szCs w:val="32"/>
          <w:highlight w:val="none"/>
          <w:u w:val="none" w:color="000000"/>
          <w:lang w:val="en-US" w:eastAsia="zh-CN" w:bidi="ar-SA"/>
        </w:rPr>
      </w:pPr>
      <w:bookmarkStart w:id="172" w:name="_Toc23135"/>
      <w:bookmarkStart w:id="173" w:name="_Toc11596"/>
      <w:r>
        <w:rPr>
          <w:rFonts w:hint="eastAsia" w:ascii="宋体" w:hAnsi="宋体" w:cs="宋体"/>
          <w:b/>
          <w:bCs/>
          <w:color w:val="auto"/>
          <w:kern w:val="21"/>
          <w:sz w:val="32"/>
          <w:szCs w:val="32"/>
          <w:highlight w:val="none"/>
          <w:u w:val="none" w:color="000000"/>
          <w:lang w:val="en-US" w:eastAsia="zh-CN" w:bidi="ar-SA"/>
        </w:rPr>
        <w:t>项目</w:t>
      </w:r>
      <w:r>
        <w:rPr>
          <w:rFonts w:hint="eastAsia" w:ascii="宋体" w:hAnsi="宋体" w:eastAsia="宋体" w:cs="宋体"/>
          <w:b/>
          <w:bCs/>
          <w:color w:val="auto"/>
          <w:kern w:val="21"/>
          <w:sz w:val="32"/>
          <w:szCs w:val="32"/>
          <w:highlight w:val="none"/>
          <w:u w:val="none" w:color="000000"/>
          <w:lang w:val="en-US" w:eastAsia="zh-CN" w:bidi="ar-SA"/>
        </w:rPr>
        <w:t>编号：</w:t>
      </w:r>
      <w:bookmarkEnd w:id="168"/>
      <w:bookmarkEnd w:id="169"/>
      <w:bookmarkEnd w:id="170"/>
      <w:bookmarkEnd w:id="171"/>
      <w:bookmarkEnd w:id="172"/>
      <w:bookmarkEnd w:id="173"/>
      <w:r>
        <w:rPr>
          <w:rFonts w:hint="eastAsia" w:ascii="宋体" w:hAnsi="宋体" w:cs="宋体"/>
          <w:b/>
          <w:bCs/>
          <w:color w:val="auto"/>
          <w:kern w:val="21"/>
          <w:sz w:val="32"/>
          <w:szCs w:val="32"/>
          <w:highlight w:val="none"/>
          <w:u w:val="none" w:color="000000"/>
          <w:lang w:val="en-US" w:eastAsia="zh-CN" w:bidi="ar-SA"/>
        </w:rPr>
        <w:t>HRC-ZBDL-2026-00632.1B1</w:t>
      </w:r>
    </w:p>
    <w:p>
      <w:pPr>
        <w:pStyle w:val="2"/>
        <w:rPr>
          <w:rFonts w:hint="eastAsia"/>
        </w:rPr>
      </w:pPr>
    </w:p>
    <w:p>
      <w:pPr>
        <w:pStyle w:val="22"/>
        <w:pageBreakBefore w:val="0"/>
        <w:widowControl w:val="0"/>
        <w:wordWrap/>
        <w:overflowPunct/>
        <w:topLinePunct w:val="0"/>
        <w:autoSpaceDE w:val="0"/>
        <w:autoSpaceDN w:val="0"/>
        <w:bidi w:val="0"/>
        <w:adjustRightInd w:val="0"/>
        <w:spacing w:before="0" w:beforeAutospacing="0" w:after="0" w:afterAutospacing="0" w:line="560" w:lineRule="exact"/>
        <w:rPr>
          <w:rFonts w:hint="eastAsia" w:ascii="宋体" w:hAnsi="宋体" w:eastAsia="宋体" w:cs="宋体"/>
          <w:b/>
          <w:sz w:val="30"/>
          <w:szCs w:val="30"/>
          <w:highlight w:val="none"/>
        </w:rPr>
      </w:pPr>
      <w:r>
        <w:rPr>
          <w:rFonts w:hint="eastAsia" w:ascii="宋体" w:hAnsi="宋体" w:eastAsia="宋体" w:cs="宋体"/>
          <w:color w:val="auto"/>
          <w:sz w:val="32"/>
          <w:szCs w:val="21"/>
          <w:highlight w:val="none"/>
        </w:rPr>
        <w:t xml:space="preserve">  </w:t>
      </w:r>
      <w:bookmarkStart w:id="174" w:name="_Toc32461_WPSOffice_Level1"/>
      <w:bookmarkStart w:id="175" w:name="_Toc3339"/>
      <w:bookmarkStart w:id="176" w:name="_Toc6286"/>
      <w:bookmarkStart w:id="177" w:name="_Toc15269"/>
      <w:bookmarkStart w:id="178" w:name="_Toc6476"/>
    </w:p>
    <w:p>
      <w:pPr>
        <w:pageBreakBefore w:val="0"/>
        <w:kinsoku/>
        <w:wordWrap/>
        <w:overflowPunct/>
        <w:topLinePunct w:val="0"/>
        <w:bidi w:val="0"/>
        <w:spacing w:line="360" w:lineRule="auto"/>
        <w:ind w:firstLine="1807"/>
        <w:textAlignment w:val="auto"/>
        <w:rPr>
          <w:rFonts w:hint="eastAsia" w:ascii="宋体" w:hAnsi="宋体" w:eastAsia="宋体" w:cs="宋体"/>
          <w:b/>
          <w:bCs/>
          <w:sz w:val="30"/>
          <w:szCs w:val="30"/>
          <w:highlight w:val="none"/>
          <w:u w:val="single"/>
        </w:rPr>
      </w:pPr>
      <w:r>
        <w:rPr>
          <w:rFonts w:hint="eastAsia" w:ascii="宋体" w:hAnsi="宋体" w:eastAsia="宋体" w:cs="宋体"/>
          <w:b/>
          <w:sz w:val="30"/>
          <w:szCs w:val="30"/>
          <w:highlight w:val="none"/>
        </w:rPr>
        <w:t>供</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应</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商：</w:t>
      </w:r>
      <w:bookmarkEnd w:id="174"/>
    </w:p>
    <w:p>
      <w:pPr>
        <w:pageBreakBefore w:val="0"/>
        <w:kinsoku/>
        <w:wordWrap/>
        <w:overflowPunct/>
        <w:topLinePunct w:val="0"/>
        <w:bidi w:val="0"/>
        <w:spacing w:line="360" w:lineRule="auto"/>
        <w:ind w:firstLine="1780"/>
        <w:textAlignment w:val="auto"/>
        <w:rPr>
          <w:rFonts w:hint="eastAsia" w:ascii="宋体" w:hAnsi="宋体" w:eastAsia="宋体" w:cs="宋体"/>
          <w:b/>
          <w:bCs/>
          <w:sz w:val="30"/>
          <w:szCs w:val="30"/>
          <w:highlight w:val="none"/>
          <w:u w:val="single"/>
        </w:rPr>
      </w:pPr>
      <w:bookmarkStart w:id="179" w:name="_Toc25187_WPSOffice_Level1"/>
      <w:bookmarkEnd w:id="179"/>
      <w:bookmarkStart w:id="180" w:name="_Toc5980_WPSOffice_Level1"/>
      <w:bookmarkEnd w:id="180"/>
      <w:bookmarkStart w:id="181" w:name="_Toc538_WPSOffice_Level1"/>
      <w:r>
        <w:rPr>
          <w:rFonts w:hint="eastAsia" w:ascii="宋体" w:hAnsi="宋体" w:eastAsia="宋体" w:cs="宋体"/>
          <w:b/>
          <w:sz w:val="30"/>
          <w:szCs w:val="30"/>
          <w:highlight w:val="none"/>
        </w:rPr>
        <w:t>法定代表人或被授权人（签字或盖章）：</w:t>
      </w:r>
      <w:bookmarkEnd w:id="181"/>
    </w:p>
    <w:p>
      <w:pPr>
        <w:pageBreakBefore w:val="0"/>
        <w:kinsoku/>
        <w:wordWrap/>
        <w:overflowPunct/>
        <w:topLinePunct w:val="0"/>
        <w:bidi w:val="0"/>
        <w:spacing w:line="360" w:lineRule="auto"/>
        <w:ind w:firstLine="1780"/>
        <w:textAlignment w:val="auto"/>
        <w:rPr>
          <w:rFonts w:hint="eastAsia" w:ascii="宋体" w:hAnsi="宋体" w:eastAsia="宋体" w:cs="宋体"/>
        </w:rPr>
      </w:pPr>
      <w:bookmarkStart w:id="182" w:name="_Toc19927_WPSOffice_Level1"/>
      <w:bookmarkEnd w:id="182"/>
      <w:bookmarkStart w:id="183" w:name="_Toc1764_WPSOffice_Level1"/>
      <w:bookmarkEnd w:id="183"/>
      <w:bookmarkStart w:id="184" w:name="_Toc18129_WPSOffice_Level1"/>
      <w:r>
        <w:rPr>
          <w:rFonts w:hint="eastAsia" w:ascii="宋体" w:hAnsi="宋体" w:eastAsia="宋体" w:cs="宋体"/>
          <w:b/>
          <w:sz w:val="30"/>
          <w:szCs w:val="30"/>
          <w:highlight w:val="none"/>
        </w:rPr>
        <w:t>时</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间：</w:t>
      </w:r>
      <w:bookmarkEnd w:id="184"/>
    </w:p>
    <w:p>
      <w:pPr>
        <w:jc w:val="center"/>
        <w:outlineLvl w:val="9"/>
        <w:rPr>
          <w:rFonts w:hint="eastAsia" w:ascii="宋体" w:hAnsi="宋体" w:cs="宋体"/>
          <w:b/>
          <w:color w:val="auto"/>
          <w:sz w:val="32"/>
          <w:szCs w:val="32"/>
          <w:highlight w:val="none"/>
          <w:lang w:bidi="ar"/>
        </w:rPr>
      </w:pPr>
    </w:p>
    <w:p>
      <w:pPr>
        <w:jc w:val="both"/>
        <w:outlineLvl w:val="9"/>
        <w:rPr>
          <w:rFonts w:hint="eastAsia" w:ascii="宋体" w:hAnsi="宋体" w:cs="宋体"/>
          <w:b/>
          <w:color w:val="auto"/>
          <w:sz w:val="32"/>
          <w:szCs w:val="32"/>
          <w:highlight w:val="none"/>
          <w:lang w:bidi="ar"/>
        </w:rPr>
      </w:pPr>
    </w:p>
    <w:p>
      <w:pPr>
        <w:jc w:val="both"/>
        <w:outlineLvl w:val="9"/>
        <w:rPr>
          <w:rFonts w:hint="eastAsia" w:ascii="宋体" w:hAnsi="宋体" w:cs="宋体"/>
          <w:b/>
          <w:color w:val="auto"/>
          <w:sz w:val="32"/>
          <w:szCs w:val="32"/>
          <w:highlight w:val="none"/>
          <w:lang w:bidi="ar"/>
        </w:rPr>
      </w:pPr>
    </w:p>
    <w:p>
      <w:pPr>
        <w:jc w:val="both"/>
        <w:outlineLvl w:val="9"/>
        <w:rPr>
          <w:rFonts w:hint="eastAsia" w:ascii="宋体" w:hAnsi="宋体" w:cs="宋体"/>
          <w:b/>
          <w:color w:val="auto"/>
          <w:sz w:val="32"/>
          <w:szCs w:val="32"/>
          <w:highlight w:val="none"/>
          <w:lang w:bidi="ar"/>
        </w:rPr>
      </w:pPr>
    </w:p>
    <w:p>
      <w:pPr>
        <w:jc w:val="center"/>
        <w:outlineLvl w:val="9"/>
        <w:rPr>
          <w:rFonts w:hint="eastAsia" w:ascii="宋体" w:hAnsi="宋体" w:cs="宋体"/>
          <w:b/>
          <w:color w:val="auto"/>
          <w:sz w:val="40"/>
          <w:szCs w:val="40"/>
          <w:highlight w:val="none"/>
          <w:lang w:bidi="ar"/>
        </w:rPr>
      </w:pPr>
      <w:bookmarkStart w:id="185" w:name="_Toc13423"/>
    </w:p>
    <w:p>
      <w:pPr>
        <w:bidi w:val="0"/>
        <w:rPr>
          <w:rFonts w:hint="eastAsia"/>
        </w:rPr>
      </w:pPr>
      <w:bookmarkStart w:id="186" w:name="_Toc30618"/>
    </w:p>
    <w:p>
      <w:pPr>
        <w:bidi w:val="0"/>
        <w:jc w:val="center"/>
        <w:rPr>
          <w:rFonts w:hint="eastAsia"/>
        </w:rPr>
      </w:pPr>
      <w:r>
        <w:rPr>
          <w:rFonts w:hint="eastAsia"/>
          <w:sz w:val="52"/>
          <w:szCs w:val="52"/>
        </w:rPr>
        <w:t>目  录</w:t>
      </w:r>
      <w:bookmarkEnd w:id="175"/>
      <w:bookmarkEnd w:id="176"/>
      <w:bookmarkEnd w:id="177"/>
      <w:bookmarkEnd w:id="178"/>
      <w:bookmarkEnd w:id="185"/>
      <w:bookmarkEnd w:id="186"/>
    </w:p>
    <w:p>
      <w:pPr>
        <w:numPr>
          <w:ilvl w:val="0"/>
          <w:numId w:val="3"/>
        </w:numPr>
        <w:spacing w:line="360" w:lineRule="auto"/>
        <w:ind w:firstLine="560" w:firstLineChars="200"/>
        <w:rPr>
          <w:rFonts w:hint="eastAsia" w:ascii="宋体" w:hAnsi="宋体" w:cs="宋体"/>
          <w:b w:val="0"/>
          <w:bCs w:val="0"/>
          <w:color w:val="auto"/>
          <w:sz w:val="28"/>
          <w:szCs w:val="28"/>
          <w:highlight w:val="none"/>
          <w:lang w:bidi="ar"/>
        </w:rPr>
      </w:pPr>
      <w:r>
        <w:rPr>
          <w:rFonts w:hint="eastAsia" w:ascii="宋体" w:hAnsi="宋体" w:cs="宋体"/>
          <w:b w:val="0"/>
          <w:bCs w:val="0"/>
          <w:color w:val="auto"/>
          <w:sz w:val="28"/>
          <w:szCs w:val="28"/>
          <w:highlight w:val="none"/>
          <w:lang w:eastAsia="zh-CN" w:bidi="ar"/>
        </w:rPr>
        <w:t>磋商</w:t>
      </w:r>
      <w:r>
        <w:rPr>
          <w:rFonts w:hint="eastAsia" w:ascii="宋体" w:hAnsi="宋体" w:cs="宋体"/>
          <w:b w:val="0"/>
          <w:bCs w:val="0"/>
          <w:color w:val="auto"/>
          <w:sz w:val="28"/>
          <w:szCs w:val="28"/>
          <w:highlight w:val="none"/>
          <w:lang w:bidi="ar"/>
        </w:rPr>
        <w:t>函</w:t>
      </w:r>
    </w:p>
    <w:p>
      <w:pPr>
        <w:numPr>
          <w:ilvl w:val="0"/>
          <w:numId w:val="0"/>
        </w:numPr>
        <w:spacing w:line="360" w:lineRule="auto"/>
        <w:ind w:firstLine="560" w:firstLineChars="200"/>
        <w:rPr>
          <w:rFonts w:hint="eastAsia" w:ascii="宋体" w:hAnsi="宋体" w:cs="宋体"/>
          <w:b w:val="0"/>
          <w:bCs w:val="0"/>
          <w:color w:val="auto"/>
          <w:sz w:val="28"/>
          <w:szCs w:val="28"/>
          <w:highlight w:val="none"/>
          <w:lang w:bidi="ar"/>
        </w:rPr>
      </w:pPr>
      <w:r>
        <w:rPr>
          <w:rFonts w:hint="eastAsia" w:ascii="宋体" w:hAnsi="宋体" w:cs="宋体"/>
          <w:b w:val="0"/>
          <w:bCs w:val="0"/>
          <w:color w:val="auto"/>
          <w:sz w:val="28"/>
          <w:szCs w:val="28"/>
          <w:highlight w:val="none"/>
          <w:lang w:val="en-US" w:eastAsia="zh-CN" w:bidi="ar"/>
        </w:rPr>
        <w:t>2</w:t>
      </w:r>
      <w:r>
        <w:rPr>
          <w:rFonts w:hint="eastAsia" w:ascii="宋体" w:hAnsi="宋体" w:cs="宋体"/>
          <w:b w:val="0"/>
          <w:bCs w:val="0"/>
          <w:color w:val="auto"/>
          <w:sz w:val="28"/>
          <w:szCs w:val="28"/>
          <w:highlight w:val="none"/>
          <w:lang w:bidi="ar"/>
        </w:rPr>
        <w:t>、报价一览表</w:t>
      </w:r>
      <w:bookmarkStart w:id="232" w:name="_GoBack"/>
      <w:bookmarkEnd w:id="232"/>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3、法定代表人证明书及法定代表人授权委托书</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4、服务响应偏离表</w:t>
      </w:r>
    </w:p>
    <w:p>
      <w:pPr>
        <w:spacing w:line="360" w:lineRule="auto"/>
        <w:ind w:firstLine="560" w:firstLineChars="200"/>
        <w:rPr>
          <w:rFonts w:hint="default"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5、商务条款响应偏离表</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6、资格证明文件</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7．项目实施的主要组成人员简历表（格式自拟）</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8．</w:t>
      </w:r>
      <w:r>
        <w:rPr>
          <w:rFonts w:hint="eastAsia" w:ascii="宋体" w:hAnsi="宋体" w:cs="宋体"/>
          <w:b w:val="0"/>
          <w:bCs w:val="0"/>
          <w:color w:val="auto"/>
          <w:sz w:val="28"/>
          <w:szCs w:val="28"/>
          <w:highlight w:val="none"/>
          <w:lang w:val="en-US" w:eastAsia="zh-CN" w:bidi="ar"/>
        </w:rPr>
        <w:t>业绩</w:t>
      </w:r>
    </w:p>
    <w:p>
      <w:pPr>
        <w:spacing w:line="360" w:lineRule="auto"/>
        <w:ind w:firstLine="560" w:firstLineChars="200"/>
        <w:rPr>
          <w:rFonts w:hint="default"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9.</w:t>
      </w:r>
      <w:r>
        <w:rPr>
          <w:rFonts w:hint="eastAsia" w:ascii="宋体" w:hAnsi="宋体" w:cs="宋体"/>
          <w:b w:val="0"/>
          <w:bCs w:val="0"/>
          <w:color w:val="auto"/>
          <w:sz w:val="28"/>
          <w:szCs w:val="28"/>
          <w:highlight w:val="none"/>
          <w:lang w:val="en-US" w:eastAsia="zh-CN" w:bidi="ar"/>
        </w:rPr>
        <w:t xml:space="preserve"> 技术方案</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cs="宋体"/>
          <w:b w:val="0"/>
          <w:bCs w:val="0"/>
          <w:color w:val="auto"/>
          <w:sz w:val="28"/>
          <w:szCs w:val="28"/>
          <w:highlight w:val="none"/>
          <w:lang w:val="en-US" w:eastAsia="zh-CN" w:bidi="ar"/>
        </w:rPr>
        <w:t>10</w:t>
      </w:r>
      <w:r>
        <w:rPr>
          <w:rFonts w:hint="eastAsia" w:ascii="宋体" w:hAnsi="宋体" w:eastAsia="宋体" w:cs="宋体"/>
          <w:b w:val="0"/>
          <w:bCs w:val="0"/>
          <w:color w:val="auto"/>
          <w:sz w:val="28"/>
          <w:szCs w:val="28"/>
          <w:highlight w:val="none"/>
          <w:lang w:val="en-US" w:eastAsia="zh-CN" w:bidi="ar"/>
        </w:rPr>
        <w:t>.供应商认为有必要补充说明的事宜</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w:t>
      </w:r>
      <w:r>
        <w:rPr>
          <w:rFonts w:hint="eastAsia" w:ascii="宋体" w:hAnsi="宋体" w:cs="宋体"/>
          <w:b w:val="0"/>
          <w:bCs w:val="0"/>
          <w:color w:val="auto"/>
          <w:sz w:val="28"/>
          <w:szCs w:val="28"/>
          <w:highlight w:val="none"/>
          <w:lang w:val="en-US" w:eastAsia="zh-CN" w:bidi="ar"/>
        </w:rPr>
        <w:t>1</w:t>
      </w:r>
      <w:r>
        <w:rPr>
          <w:rFonts w:hint="eastAsia" w:ascii="宋体" w:hAnsi="宋体" w:eastAsia="宋体" w:cs="宋体"/>
          <w:b w:val="0"/>
          <w:bCs w:val="0"/>
          <w:color w:val="auto"/>
          <w:sz w:val="28"/>
          <w:szCs w:val="28"/>
          <w:highlight w:val="none"/>
          <w:lang w:val="en-US" w:eastAsia="zh-CN" w:bidi="ar"/>
        </w:rPr>
        <w:t xml:space="preserve">.磋商声明书 </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w:t>
      </w:r>
      <w:r>
        <w:rPr>
          <w:rFonts w:hint="eastAsia" w:ascii="宋体" w:hAnsi="宋体" w:cs="宋体"/>
          <w:b w:val="0"/>
          <w:bCs w:val="0"/>
          <w:color w:val="auto"/>
          <w:sz w:val="28"/>
          <w:szCs w:val="28"/>
          <w:highlight w:val="none"/>
          <w:lang w:val="en-US" w:eastAsia="zh-CN" w:bidi="ar"/>
        </w:rPr>
        <w:t>2</w:t>
      </w:r>
      <w:r>
        <w:rPr>
          <w:rFonts w:hint="eastAsia" w:ascii="宋体" w:hAnsi="宋体" w:eastAsia="宋体" w:cs="宋体"/>
          <w:b w:val="0"/>
          <w:bCs w:val="0"/>
          <w:color w:val="auto"/>
          <w:sz w:val="28"/>
          <w:szCs w:val="28"/>
          <w:highlight w:val="none"/>
          <w:lang w:val="en-US" w:eastAsia="zh-CN" w:bidi="ar"/>
        </w:rPr>
        <w:t xml:space="preserve">.《拒绝政府采购领域商业贿赂承诺书》 </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w:t>
      </w:r>
      <w:r>
        <w:rPr>
          <w:rFonts w:hint="eastAsia" w:ascii="宋体" w:hAnsi="宋体" w:cs="宋体"/>
          <w:b w:val="0"/>
          <w:bCs w:val="0"/>
          <w:color w:val="auto"/>
          <w:sz w:val="28"/>
          <w:szCs w:val="28"/>
          <w:highlight w:val="none"/>
          <w:lang w:val="en-US" w:eastAsia="zh-CN" w:bidi="ar"/>
        </w:rPr>
        <w:t>3</w:t>
      </w:r>
      <w:r>
        <w:rPr>
          <w:rFonts w:hint="eastAsia" w:ascii="宋体" w:hAnsi="宋体" w:eastAsia="宋体" w:cs="宋体"/>
          <w:b w:val="0"/>
          <w:bCs w:val="0"/>
          <w:color w:val="auto"/>
          <w:sz w:val="28"/>
          <w:szCs w:val="28"/>
          <w:highlight w:val="none"/>
          <w:lang w:val="en-US" w:eastAsia="zh-CN" w:bidi="ar"/>
        </w:rPr>
        <w:t>.《中小企业声明函》</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w:t>
      </w:r>
      <w:r>
        <w:rPr>
          <w:rFonts w:hint="eastAsia" w:ascii="宋体" w:hAnsi="宋体" w:cs="宋体"/>
          <w:b w:val="0"/>
          <w:bCs w:val="0"/>
          <w:color w:val="auto"/>
          <w:sz w:val="28"/>
          <w:szCs w:val="28"/>
          <w:highlight w:val="none"/>
          <w:lang w:val="en-US" w:eastAsia="zh-CN" w:bidi="ar"/>
        </w:rPr>
        <w:t>4</w:t>
      </w:r>
      <w:r>
        <w:rPr>
          <w:rFonts w:hint="eastAsia" w:ascii="宋体" w:hAnsi="宋体" w:eastAsia="宋体" w:cs="宋体"/>
          <w:b w:val="0"/>
          <w:bCs w:val="0"/>
          <w:color w:val="auto"/>
          <w:sz w:val="28"/>
          <w:szCs w:val="28"/>
          <w:highlight w:val="none"/>
          <w:lang w:val="en-US" w:eastAsia="zh-CN" w:bidi="ar"/>
        </w:rPr>
        <w:t>.《残疾人福利性单位声明函》（若有）</w:t>
      </w:r>
    </w:p>
    <w:p>
      <w:pPr>
        <w:spacing w:line="360" w:lineRule="auto"/>
        <w:ind w:firstLine="560" w:firstLineChars="200"/>
        <w:rPr>
          <w:rFonts w:hint="eastAsia" w:ascii="宋体" w:hAnsi="宋体" w:eastAsia="宋体" w:cs="宋体"/>
          <w:b w:val="0"/>
          <w:bCs w:val="0"/>
          <w:color w:val="auto"/>
          <w:sz w:val="28"/>
          <w:szCs w:val="28"/>
          <w:highlight w:val="none"/>
          <w:lang w:val="en-US" w:eastAsia="zh-CN" w:bidi="ar"/>
        </w:rPr>
      </w:pPr>
      <w:r>
        <w:rPr>
          <w:rFonts w:hint="eastAsia" w:ascii="宋体" w:hAnsi="宋体" w:eastAsia="宋体" w:cs="宋体"/>
          <w:b w:val="0"/>
          <w:bCs w:val="0"/>
          <w:color w:val="auto"/>
          <w:sz w:val="28"/>
          <w:szCs w:val="28"/>
          <w:highlight w:val="none"/>
          <w:lang w:val="en-US" w:eastAsia="zh-CN" w:bidi="ar"/>
        </w:rPr>
        <w:t>1</w:t>
      </w:r>
      <w:r>
        <w:rPr>
          <w:rFonts w:hint="eastAsia" w:ascii="宋体" w:hAnsi="宋体" w:cs="宋体"/>
          <w:b w:val="0"/>
          <w:bCs w:val="0"/>
          <w:color w:val="auto"/>
          <w:sz w:val="28"/>
          <w:szCs w:val="28"/>
          <w:highlight w:val="none"/>
          <w:lang w:val="en-US" w:eastAsia="zh-CN" w:bidi="ar"/>
        </w:rPr>
        <w:t>5</w:t>
      </w:r>
      <w:r>
        <w:rPr>
          <w:rFonts w:hint="eastAsia" w:ascii="宋体" w:hAnsi="宋体" w:eastAsia="宋体" w:cs="宋体"/>
          <w:b w:val="0"/>
          <w:bCs w:val="0"/>
          <w:color w:val="auto"/>
          <w:sz w:val="28"/>
          <w:szCs w:val="28"/>
          <w:highlight w:val="none"/>
          <w:lang w:val="en-US" w:eastAsia="zh-CN" w:bidi="ar"/>
        </w:rPr>
        <w:t>.《监狱企业证明函》（若有）</w:t>
      </w:r>
    </w:p>
    <w:p>
      <w:pPr>
        <w:rPr>
          <w:rFonts w:hint="eastAsia" w:ascii="宋体" w:hAnsi="宋体" w:cs="宋体"/>
          <w:color w:val="auto"/>
          <w:sz w:val="28"/>
          <w:szCs w:val="28"/>
        </w:rPr>
      </w:pPr>
      <w:r>
        <w:rPr>
          <w:rFonts w:hint="eastAsia" w:ascii="宋体" w:hAnsi="宋体" w:eastAsia="宋体" w:cs="宋体"/>
          <w:b w:val="0"/>
          <w:bCs w:val="0"/>
          <w:color w:val="auto"/>
          <w:sz w:val="28"/>
          <w:szCs w:val="28"/>
          <w:highlight w:val="none"/>
          <w:lang w:val="en-US" w:eastAsia="zh-CN" w:bidi="ar"/>
        </w:rPr>
        <w:br w:type="page"/>
      </w:r>
    </w:p>
    <w:p>
      <w:pPr>
        <w:widowControl w:val="0"/>
        <w:snapToGrid w:val="0"/>
        <w:spacing w:before="240" w:beforeLines="100" w:after="240" w:afterLines="100" w:line="240" w:lineRule="auto"/>
        <w:jc w:val="both"/>
        <w:outlineLvl w:val="1"/>
        <w:rPr>
          <w:rFonts w:hint="eastAsia" w:ascii="宋体" w:hAnsi="宋体" w:cs="宋体"/>
          <w:b/>
          <w:color w:val="auto"/>
          <w:sz w:val="28"/>
          <w:szCs w:val="28"/>
        </w:rPr>
      </w:pPr>
      <w:bookmarkStart w:id="187" w:name="_Toc31998"/>
      <w:bookmarkStart w:id="188" w:name="_Toc29697"/>
      <w:r>
        <w:rPr>
          <w:rFonts w:hint="eastAsia" w:ascii="宋体" w:hAnsi="宋体" w:cs="宋体"/>
          <w:b/>
          <w:color w:val="auto"/>
          <w:sz w:val="28"/>
          <w:szCs w:val="28"/>
          <w:lang w:bidi="ar"/>
        </w:rPr>
        <w:t>1、</w:t>
      </w:r>
      <w:bookmarkEnd w:id="187"/>
      <w:r>
        <w:rPr>
          <w:rFonts w:hint="eastAsia" w:ascii="宋体" w:hAnsi="宋体" w:cs="宋体"/>
          <w:b/>
          <w:color w:val="auto"/>
          <w:sz w:val="28"/>
          <w:szCs w:val="28"/>
          <w:lang w:bidi="ar"/>
        </w:rPr>
        <w:t>磋商函</w:t>
      </w:r>
      <w:bookmarkEnd w:id="188"/>
    </w:p>
    <w:p>
      <w:pPr>
        <w:pageBreakBefore w:val="0"/>
        <w:wordWrap/>
        <w:overflowPunct/>
        <w:topLinePunct w:val="0"/>
        <w:bidi w:val="0"/>
        <w:spacing w:line="600" w:lineRule="exact"/>
        <w:jc w:val="center"/>
        <w:rPr>
          <w:rFonts w:hint="eastAsia" w:ascii="宋体" w:hAnsi="宋体" w:eastAsia="宋体" w:cs="宋体"/>
          <w:b/>
          <w:bCs/>
          <w:sz w:val="28"/>
          <w:szCs w:val="28"/>
        </w:rPr>
      </w:pPr>
      <w:r>
        <w:rPr>
          <w:rFonts w:hint="eastAsia" w:ascii="宋体" w:hAnsi="宋体" w:eastAsia="宋体" w:cs="宋体"/>
          <w:b/>
          <w:bCs/>
          <w:sz w:val="28"/>
          <w:szCs w:val="28"/>
        </w:rPr>
        <w:t>磋商函</w:t>
      </w:r>
    </w:p>
    <w:p>
      <w:pPr>
        <w:pageBreakBefore w:val="0"/>
        <w:wordWrap/>
        <w:overflowPunct/>
        <w:topLinePunct w:val="0"/>
        <w:bidi w:val="0"/>
        <w:spacing w:line="600" w:lineRule="exact"/>
        <w:rPr>
          <w:rFonts w:hint="eastAsia" w:ascii="宋体" w:hAnsi="宋体" w:eastAsia="宋体" w:cs="宋体"/>
          <w:b/>
          <w:sz w:val="28"/>
          <w:szCs w:val="28"/>
          <w:lang w:eastAsia="zh-CN"/>
        </w:rPr>
      </w:pPr>
      <w:r>
        <w:rPr>
          <w:rFonts w:hint="eastAsia" w:ascii="宋体" w:hAnsi="宋体" w:eastAsia="宋体" w:cs="宋体"/>
          <w:b/>
          <w:sz w:val="28"/>
          <w:szCs w:val="28"/>
        </w:rPr>
        <w:t>致：</w:t>
      </w:r>
      <w:r>
        <w:rPr>
          <w:rFonts w:hint="eastAsia" w:ascii="宋体" w:hAnsi="宋体" w:cs="宋体"/>
          <w:b/>
          <w:sz w:val="28"/>
          <w:szCs w:val="28"/>
          <w:lang w:eastAsia="zh-CN"/>
        </w:rPr>
        <w:t>华睿诚项目管理有限公司</w:t>
      </w:r>
    </w:p>
    <w:p>
      <w:pPr>
        <w:pageBreakBefore w:val="0"/>
        <w:wordWrap/>
        <w:overflowPunct/>
        <w:topLinePunct w:val="0"/>
        <w:bidi w:val="0"/>
        <w:spacing w:line="600" w:lineRule="exact"/>
        <w:ind w:firstLine="548"/>
        <w:rPr>
          <w:rFonts w:hint="eastAsia" w:ascii="宋体" w:hAnsi="宋体" w:eastAsia="宋体" w:cs="宋体"/>
          <w:sz w:val="28"/>
          <w:szCs w:val="28"/>
        </w:rPr>
      </w:pPr>
      <w:r>
        <w:rPr>
          <w:rFonts w:hint="eastAsia" w:ascii="宋体" w:hAnsi="宋体" w:eastAsia="宋体" w:cs="宋体"/>
          <w:sz w:val="28"/>
          <w:szCs w:val="28"/>
        </w:rPr>
        <w:t>根据贵单位</w:t>
      </w:r>
      <w:r>
        <w:rPr>
          <w:rFonts w:hint="eastAsia" w:ascii="宋体" w:hAnsi="宋体" w:eastAsia="宋体" w:cs="宋体"/>
          <w:sz w:val="28"/>
          <w:szCs w:val="28"/>
          <w:u w:val="single"/>
        </w:rPr>
        <w:t>（项目名称）</w:t>
      </w:r>
      <w:r>
        <w:rPr>
          <w:rFonts w:hint="eastAsia" w:ascii="宋体" w:hAnsi="宋体" w:eastAsia="宋体" w:cs="宋体"/>
          <w:sz w:val="28"/>
          <w:szCs w:val="28"/>
        </w:rPr>
        <w:t>项目</w:t>
      </w:r>
      <w:r>
        <w:rPr>
          <w:rFonts w:hint="eastAsia" w:ascii="宋体" w:hAnsi="宋体" w:eastAsia="宋体" w:cs="宋体"/>
          <w:sz w:val="28"/>
          <w:szCs w:val="28"/>
          <w:u w:val="single"/>
        </w:rPr>
        <w:t>（</w:t>
      </w:r>
      <w:r>
        <w:rPr>
          <w:rFonts w:hint="eastAsia" w:ascii="宋体" w:hAnsi="宋体" w:cs="宋体"/>
          <w:sz w:val="28"/>
          <w:szCs w:val="28"/>
          <w:u w:val="single"/>
          <w:lang w:eastAsia="zh-CN"/>
        </w:rPr>
        <w:t>项目编号</w:t>
      </w:r>
      <w:r>
        <w:rPr>
          <w:rFonts w:hint="eastAsia" w:ascii="宋体" w:hAnsi="宋体" w:eastAsia="宋体" w:cs="宋体"/>
          <w:sz w:val="28"/>
          <w:szCs w:val="28"/>
          <w:u w:val="single"/>
        </w:rPr>
        <w:t>）</w:t>
      </w:r>
      <w:r>
        <w:rPr>
          <w:rFonts w:hint="eastAsia" w:ascii="宋体" w:hAnsi="宋体" w:eastAsia="宋体" w:cs="宋体"/>
          <w:sz w:val="28"/>
          <w:szCs w:val="28"/>
        </w:rPr>
        <w:t>的磋商公告，我方代表</w:t>
      </w:r>
      <w:r>
        <w:rPr>
          <w:rFonts w:hint="eastAsia" w:ascii="宋体" w:hAnsi="宋体" w:eastAsia="宋体" w:cs="宋体"/>
          <w:sz w:val="28"/>
          <w:szCs w:val="28"/>
          <w:u w:val="single"/>
        </w:rPr>
        <w:t>（姓名、职务）</w:t>
      </w:r>
      <w:r>
        <w:rPr>
          <w:rFonts w:hint="eastAsia" w:ascii="宋体" w:hAnsi="宋体" w:eastAsia="宋体" w:cs="宋体"/>
          <w:sz w:val="28"/>
          <w:szCs w:val="28"/>
        </w:rPr>
        <w:t>经正式授权并代表</w:t>
      </w:r>
      <w:r>
        <w:rPr>
          <w:rFonts w:hint="eastAsia" w:ascii="宋体" w:hAnsi="宋体" w:eastAsia="宋体" w:cs="宋体"/>
          <w:sz w:val="28"/>
          <w:szCs w:val="28"/>
          <w:u w:val="single"/>
        </w:rPr>
        <w:t>（供应商名称）</w:t>
      </w:r>
      <w:r>
        <w:rPr>
          <w:rFonts w:hint="eastAsia" w:ascii="宋体" w:hAnsi="宋体" w:eastAsia="宋体" w:cs="宋体"/>
          <w:sz w:val="28"/>
          <w:szCs w:val="28"/>
        </w:rPr>
        <w:t>就该项目进行磋商。</w:t>
      </w:r>
    </w:p>
    <w:p>
      <w:pPr>
        <w:pageBreakBefore w:val="0"/>
        <w:wordWrap/>
        <w:overflowPunct/>
        <w:topLinePunct w:val="0"/>
        <w:bidi w:val="0"/>
        <w:spacing w:line="600" w:lineRule="exact"/>
        <w:ind w:firstLine="562"/>
        <w:rPr>
          <w:rFonts w:hint="eastAsia" w:ascii="宋体" w:hAnsi="宋体" w:eastAsia="宋体" w:cs="宋体"/>
          <w:b/>
          <w:sz w:val="28"/>
          <w:szCs w:val="28"/>
        </w:rPr>
      </w:pPr>
      <w:r>
        <w:rPr>
          <w:rFonts w:hint="eastAsia" w:ascii="宋体" w:hAnsi="宋体" w:eastAsia="宋体" w:cs="宋体"/>
          <w:b/>
          <w:sz w:val="28"/>
          <w:szCs w:val="28"/>
        </w:rPr>
        <w:t>在此，我方郑重声明以下诸点，并负法律责任：</w:t>
      </w:r>
    </w:p>
    <w:p>
      <w:pPr>
        <w:pStyle w:val="89"/>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rPr>
        <w:t>1、我方提交的竞争性磋商响应文件一式</w:t>
      </w:r>
      <w:r>
        <w:rPr>
          <w:rFonts w:hint="eastAsia" w:ascii="宋体" w:hAnsi="宋体" w:eastAsia="宋体" w:cs="宋体"/>
          <w:sz w:val="28"/>
          <w:szCs w:val="28"/>
          <w:lang w:eastAsia="zh-CN"/>
        </w:rPr>
        <w:t>四</w:t>
      </w:r>
      <w:r>
        <w:rPr>
          <w:rFonts w:hint="eastAsia" w:ascii="宋体" w:hAnsi="宋体" w:eastAsia="宋体" w:cs="宋体"/>
          <w:sz w:val="28"/>
          <w:szCs w:val="28"/>
        </w:rPr>
        <w:t>份，正本一份，副本</w:t>
      </w:r>
      <w:r>
        <w:rPr>
          <w:rFonts w:hint="eastAsia" w:ascii="宋体" w:hAnsi="宋体" w:eastAsia="宋体" w:cs="宋体"/>
          <w:sz w:val="28"/>
          <w:szCs w:val="28"/>
          <w:lang w:eastAsia="zh-CN"/>
        </w:rPr>
        <w:t>二</w:t>
      </w:r>
      <w:r>
        <w:rPr>
          <w:rFonts w:hint="eastAsia" w:ascii="宋体" w:hAnsi="宋体" w:eastAsia="宋体" w:cs="宋体"/>
          <w:sz w:val="28"/>
          <w:szCs w:val="28"/>
        </w:rPr>
        <w:t>份，电子文件一份。</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、我方已详细审查全部竞争性磋商文件，完全理解并同意放弃对这方面有不明及误解质疑的权力。</w:t>
      </w:r>
    </w:p>
    <w:p>
      <w:pPr>
        <w:pageBreakBefore w:val="0"/>
        <w:wordWrap/>
        <w:overflowPunct/>
        <w:topLinePunct w:val="0"/>
        <w:bidi w:val="0"/>
        <w:spacing w:line="6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3、我方完全理解并同意竞争性磋商文件中有关没收磋商保证金、要求专业担保机构现行偿付和拒绝磋商的条款。</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、我方同意按照要求提供磋商有关的一切数据或资料。</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、我方将按竞争性磋商文件的规定履行合同责任和义务。</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、我方完全理解最低报价不是成交的唯一条件，</w:t>
      </w:r>
      <w:r>
        <w:rPr>
          <w:rFonts w:hint="eastAsia" w:ascii="宋体" w:hAnsi="宋体" w:eastAsia="宋体" w:cs="宋体"/>
          <w:sz w:val="28"/>
          <w:szCs w:val="28"/>
          <w:lang w:eastAsia="zh-CN"/>
        </w:rPr>
        <w:t>采购人</w:t>
      </w:r>
      <w:r>
        <w:rPr>
          <w:rFonts w:hint="eastAsia" w:ascii="宋体" w:hAnsi="宋体" w:eastAsia="宋体" w:cs="宋体"/>
          <w:sz w:val="28"/>
          <w:szCs w:val="28"/>
        </w:rPr>
        <w:t>有权选择质优价廉的货物/服务。</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7</w:t>
      </w:r>
      <w:r>
        <w:rPr>
          <w:rFonts w:hint="eastAsia" w:ascii="宋体" w:hAnsi="宋体" w:eastAsia="宋体" w:cs="宋体"/>
          <w:sz w:val="28"/>
          <w:szCs w:val="28"/>
        </w:rPr>
        <w:t>、我方同意按竞争性磋商文件规定，遵守贵方有关采购的各项规定。</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、若我方被选为成交供应商，我方保证按有关规定向贵方支付磋商服务费。</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、磋商有效期为自磋商日起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个日历日。</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、所有关于本项目的函电，请按下列地址联系：</w:t>
      </w:r>
    </w:p>
    <w:p>
      <w:pPr>
        <w:pageBreakBefore w:val="0"/>
        <w:wordWrap/>
        <w:overflowPunct/>
        <w:topLinePunct w:val="0"/>
        <w:bidi w:val="0"/>
        <w:spacing w:line="600" w:lineRule="exact"/>
        <w:ind w:firstLine="560"/>
        <w:rPr>
          <w:rFonts w:hint="eastAsia" w:ascii="宋体" w:hAnsi="宋体" w:eastAsia="宋体" w:cs="宋体"/>
          <w:sz w:val="28"/>
          <w:szCs w:val="28"/>
          <w:u w:val="single"/>
        </w:rPr>
      </w:pPr>
      <w:r>
        <w:rPr>
          <w:rFonts w:hint="eastAsia" w:ascii="宋体" w:hAnsi="宋体" w:eastAsia="宋体" w:cs="宋体"/>
          <w:sz w:val="28"/>
          <w:szCs w:val="28"/>
        </w:rPr>
        <w:t>供应商名称（公章）：</w:t>
      </w:r>
    </w:p>
    <w:p>
      <w:pPr>
        <w:pageBreakBefore w:val="0"/>
        <w:wordWrap/>
        <w:overflowPunct/>
        <w:topLinePunct w:val="0"/>
        <w:bidi w:val="0"/>
        <w:spacing w:line="600" w:lineRule="exact"/>
        <w:ind w:firstLine="560"/>
        <w:rPr>
          <w:rFonts w:hint="eastAsia" w:ascii="宋体" w:hAnsi="宋体" w:eastAsia="宋体" w:cs="宋体"/>
          <w:sz w:val="28"/>
          <w:szCs w:val="28"/>
          <w:u w:val="single"/>
        </w:rPr>
      </w:pPr>
      <w:r>
        <w:rPr>
          <w:rFonts w:hint="eastAsia" w:ascii="宋体" w:hAnsi="宋体" w:eastAsia="宋体" w:cs="宋体"/>
          <w:sz w:val="28"/>
          <w:szCs w:val="28"/>
        </w:rPr>
        <w:t>详细地址：</w:t>
      </w:r>
    </w:p>
    <w:p>
      <w:pPr>
        <w:pageBreakBefore w:val="0"/>
        <w:tabs>
          <w:tab w:val="left" w:pos="360"/>
        </w:tabs>
        <w:wordWrap/>
        <w:overflowPunct/>
        <w:topLinePunct w:val="0"/>
        <w:bidi w:val="0"/>
        <w:spacing w:line="600" w:lineRule="exact"/>
        <w:ind w:firstLine="560"/>
        <w:rPr>
          <w:rFonts w:hint="eastAsia" w:ascii="宋体" w:hAnsi="宋体" w:eastAsia="宋体" w:cs="宋体"/>
          <w:sz w:val="28"/>
          <w:szCs w:val="28"/>
          <w:u w:val="single"/>
        </w:rPr>
      </w:pPr>
      <w:r>
        <w:rPr>
          <w:rFonts w:hint="eastAsia" w:ascii="宋体" w:hAnsi="宋体" w:eastAsia="宋体" w:cs="宋体"/>
          <w:sz w:val="28"/>
          <w:szCs w:val="28"/>
        </w:rPr>
        <w:t>邮政编码：</w:t>
      </w:r>
    </w:p>
    <w:p>
      <w:pPr>
        <w:pageBreakBefore w:val="0"/>
        <w:wordWrap/>
        <w:overflowPunct/>
        <w:topLinePunct w:val="0"/>
        <w:bidi w:val="0"/>
        <w:spacing w:line="600" w:lineRule="exact"/>
        <w:ind w:firstLine="560"/>
        <w:rPr>
          <w:rFonts w:hint="eastAsia" w:ascii="宋体" w:hAnsi="宋体" w:eastAsia="宋体" w:cs="宋体"/>
          <w:sz w:val="28"/>
          <w:szCs w:val="28"/>
          <w:u w:val="single"/>
        </w:rPr>
      </w:pPr>
      <w:r>
        <w:rPr>
          <w:rFonts w:hint="eastAsia" w:ascii="宋体" w:hAnsi="宋体" w:eastAsia="宋体" w:cs="宋体"/>
          <w:sz w:val="28"/>
          <w:szCs w:val="28"/>
        </w:rPr>
        <w:t>电话：</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rPr>
        <w:t>传真：</w:t>
      </w:r>
    </w:p>
    <w:p>
      <w:pPr>
        <w:pageBreakBefore w:val="0"/>
        <w:tabs>
          <w:tab w:val="left" w:pos="360"/>
        </w:tabs>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rPr>
        <w:t>电子邮件：</w:t>
      </w:r>
    </w:p>
    <w:p>
      <w:pPr>
        <w:pageBreakBefore w:val="0"/>
        <w:wordWrap/>
        <w:overflowPunct/>
        <w:topLinePunct w:val="0"/>
        <w:bidi w:val="0"/>
        <w:spacing w:line="600" w:lineRule="exact"/>
        <w:ind w:firstLine="560"/>
        <w:rPr>
          <w:rFonts w:hint="eastAsia" w:ascii="宋体" w:hAnsi="宋体" w:eastAsia="宋体" w:cs="宋体"/>
          <w:sz w:val="28"/>
          <w:szCs w:val="28"/>
          <w:u w:val="single"/>
        </w:rPr>
      </w:pPr>
      <w:r>
        <w:rPr>
          <w:rFonts w:hint="eastAsia" w:ascii="宋体" w:hAnsi="宋体" w:eastAsia="宋体" w:cs="宋体"/>
          <w:sz w:val="28"/>
          <w:szCs w:val="28"/>
        </w:rPr>
        <w:t>开户银行：</w:t>
      </w:r>
    </w:p>
    <w:p>
      <w:pPr>
        <w:pageBreakBefore w:val="0"/>
        <w:wordWrap/>
        <w:overflowPunct/>
        <w:topLinePunct w:val="0"/>
        <w:bidi w:val="0"/>
        <w:spacing w:line="600" w:lineRule="exact"/>
        <w:ind w:firstLine="560"/>
        <w:rPr>
          <w:rFonts w:hint="eastAsia" w:ascii="宋体" w:hAnsi="宋体" w:eastAsia="宋体" w:cs="宋体"/>
          <w:sz w:val="28"/>
          <w:szCs w:val="28"/>
        </w:rPr>
      </w:pPr>
      <w:r>
        <w:rPr>
          <w:rFonts w:hint="eastAsia" w:ascii="宋体" w:hAnsi="宋体" w:eastAsia="宋体" w:cs="宋体"/>
          <w:sz w:val="28"/>
          <w:szCs w:val="28"/>
        </w:rPr>
        <w:t>帐号：</w:t>
      </w:r>
    </w:p>
    <w:p>
      <w:pPr>
        <w:pageBreakBefore w:val="0"/>
        <w:wordWrap/>
        <w:overflowPunct/>
        <w:topLinePunct w:val="0"/>
        <w:bidi w:val="0"/>
        <w:spacing w:line="600" w:lineRule="exact"/>
        <w:ind w:hanging="600"/>
        <w:rPr>
          <w:rFonts w:hint="eastAsia" w:ascii="宋体" w:hAnsi="宋体" w:eastAsia="宋体" w:cs="宋体"/>
          <w:sz w:val="28"/>
          <w:szCs w:val="28"/>
        </w:rPr>
      </w:pPr>
    </w:p>
    <w:p>
      <w:pPr>
        <w:pageBreakBefore w:val="0"/>
        <w:wordWrap/>
        <w:overflowPunct/>
        <w:topLinePunct w:val="0"/>
        <w:bidi w:val="0"/>
        <w:spacing w:line="600" w:lineRule="exact"/>
        <w:ind w:hanging="600"/>
        <w:rPr>
          <w:rFonts w:hint="eastAsia" w:ascii="宋体" w:hAnsi="宋体" w:eastAsia="宋体" w:cs="宋体"/>
          <w:sz w:val="28"/>
          <w:szCs w:val="28"/>
        </w:rPr>
      </w:pPr>
    </w:p>
    <w:p>
      <w:pPr>
        <w:pageBreakBefore w:val="0"/>
        <w:wordWrap/>
        <w:overflowPunct/>
        <w:topLinePunct w:val="0"/>
        <w:bidi w:val="0"/>
        <w:spacing w:line="600" w:lineRule="exact"/>
        <w:ind w:hanging="600"/>
        <w:rPr>
          <w:rFonts w:hint="eastAsia" w:ascii="宋体" w:hAnsi="宋体" w:eastAsia="宋体" w:cs="宋体"/>
          <w:sz w:val="28"/>
          <w:szCs w:val="28"/>
        </w:rPr>
      </w:pPr>
    </w:p>
    <w:p>
      <w:pPr>
        <w:pageBreakBefore w:val="0"/>
        <w:wordWrap/>
        <w:overflowPunct/>
        <w:topLinePunct w:val="0"/>
        <w:bidi w:val="0"/>
        <w:spacing w:line="600" w:lineRule="exact"/>
        <w:ind w:hanging="600"/>
        <w:rPr>
          <w:rFonts w:hint="eastAsia" w:ascii="宋体" w:hAnsi="宋体" w:eastAsia="宋体" w:cs="宋体"/>
          <w:sz w:val="28"/>
          <w:szCs w:val="28"/>
        </w:rPr>
      </w:pPr>
    </w:p>
    <w:p>
      <w:pPr>
        <w:pageBreakBefore w:val="0"/>
        <w:wordWrap/>
        <w:overflowPunct/>
        <w:topLinePunct w:val="0"/>
        <w:bidi w:val="0"/>
        <w:spacing w:line="600" w:lineRule="exact"/>
        <w:ind w:hanging="600"/>
        <w:rPr>
          <w:rFonts w:hint="eastAsia" w:ascii="宋体" w:hAnsi="宋体" w:eastAsia="宋体" w:cs="宋体"/>
          <w:sz w:val="28"/>
          <w:szCs w:val="28"/>
        </w:rPr>
      </w:pPr>
    </w:p>
    <w:p>
      <w:pPr>
        <w:pageBreakBefore w:val="0"/>
        <w:wordWrap/>
        <w:overflowPunct/>
        <w:topLinePunct w:val="0"/>
        <w:bidi w:val="0"/>
        <w:spacing w:line="600" w:lineRule="exact"/>
        <w:ind w:firstLine="4480"/>
        <w:rPr>
          <w:rFonts w:hint="eastAsia" w:ascii="宋体" w:hAnsi="宋体" w:eastAsia="宋体" w:cs="宋体"/>
          <w:sz w:val="28"/>
          <w:szCs w:val="28"/>
        </w:rPr>
      </w:pPr>
      <w:r>
        <w:rPr>
          <w:rFonts w:hint="eastAsia" w:ascii="宋体" w:hAnsi="宋体" w:eastAsia="宋体" w:cs="宋体"/>
          <w:sz w:val="28"/>
          <w:szCs w:val="28"/>
        </w:rPr>
        <w:t>供应商授权代表签名：</w:t>
      </w:r>
    </w:p>
    <w:p>
      <w:pPr>
        <w:pageBreakBefore w:val="0"/>
        <w:wordWrap/>
        <w:overflowPunct/>
        <w:topLinePunct w:val="0"/>
        <w:bidi w:val="0"/>
        <w:spacing w:line="600" w:lineRule="exact"/>
        <w:ind w:firstLine="5180"/>
        <w:rPr>
          <w:rFonts w:hint="eastAsia" w:ascii="宋体" w:hAnsi="宋体" w:eastAsia="宋体" w:cs="宋体"/>
          <w:sz w:val="28"/>
          <w:szCs w:val="28"/>
          <w:u w:val="single"/>
        </w:rPr>
      </w:pPr>
      <w:r>
        <w:rPr>
          <w:rFonts w:hint="eastAsia" w:ascii="宋体" w:hAnsi="宋体" w:eastAsia="宋体" w:cs="宋体"/>
          <w:sz w:val="28"/>
          <w:szCs w:val="28"/>
        </w:rPr>
        <w:t>联系电话/手机：</w:t>
      </w:r>
    </w:p>
    <w:p>
      <w:pPr>
        <w:pageBreakBefore w:val="0"/>
        <w:wordWrap/>
        <w:overflowPunct/>
        <w:topLinePunct w:val="0"/>
        <w:bidi w:val="0"/>
        <w:spacing w:line="600" w:lineRule="exact"/>
        <w:ind w:firstLine="5244" w:firstLineChars="1873"/>
        <w:rPr>
          <w:rFonts w:hint="eastAsia" w:ascii="宋体" w:hAnsi="宋体" w:eastAsia="宋体" w:cs="宋体"/>
          <w:sz w:val="28"/>
          <w:szCs w:val="28"/>
        </w:rPr>
      </w:pPr>
      <w:r>
        <w:rPr>
          <w:rFonts w:hint="eastAsia" w:ascii="宋体" w:hAnsi="宋体" w:eastAsia="宋体" w:cs="宋体"/>
          <w:sz w:val="28"/>
          <w:szCs w:val="28"/>
        </w:rPr>
        <w:t>年   月   日</w:t>
      </w:r>
    </w:p>
    <w:p>
      <w:pPr>
        <w:pStyle w:val="44"/>
        <w:rPr>
          <w:rFonts w:hint="eastAsia"/>
        </w:rPr>
      </w:pPr>
    </w:p>
    <w:p>
      <w:pPr>
        <w:spacing w:line="500" w:lineRule="exact"/>
        <w:ind w:firstLine="413" w:firstLineChars="147"/>
        <w:jc w:val="both"/>
        <w:rPr>
          <w:rFonts w:hint="eastAsia" w:ascii="宋体" w:hAnsi="宋体" w:cs="宋体"/>
          <w:b/>
          <w:color w:val="auto"/>
          <w:sz w:val="28"/>
          <w:szCs w:val="28"/>
          <w:lang w:val="en-US" w:eastAsia="zh-CN" w:bidi="ar"/>
        </w:rPr>
      </w:pPr>
    </w:p>
    <w:p>
      <w:pPr>
        <w:spacing w:line="500" w:lineRule="exact"/>
        <w:ind w:firstLine="413" w:firstLineChars="147"/>
        <w:jc w:val="both"/>
        <w:rPr>
          <w:rFonts w:hint="eastAsia" w:ascii="宋体" w:hAnsi="宋体" w:cs="宋体"/>
          <w:b/>
          <w:color w:val="auto"/>
          <w:sz w:val="28"/>
          <w:szCs w:val="28"/>
          <w:lang w:val="en-US" w:eastAsia="zh-CN" w:bidi="ar"/>
        </w:rPr>
      </w:pPr>
    </w:p>
    <w:p>
      <w:pPr>
        <w:spacing w:line="500" w:lineRule="exact"/>
        <w:ind w:firstLine="413" w:firstLineChars="147"/>
        <w:jc w:val="both"/>
        <w:rPr>
          <w:rFonts w:hint="eastAsia" w:ascii="宋体" w:hAnsi="宋体" w:cs="宋体"/>
          <w:b/>
          <w:color w:val="auto"/>
          <w:sz w:val="28"/>
          <w:szCs w:val="28"/>
          <w:lang w:val="en-US" w:eastAsia="zh-CN" w:bidi="ar"/>
        </w:rPr>
      </w:pPr>
    </w:p>
    <w:p>
      <w:pPr>
        <w:pStyle w:val="2"/>
        <w:rPr>
          <w:rFonts w:hint="eastAsia"/>
          <w:lang w:val="en-US" w:eastAsia="zh-CN"/>
        </w:rPr>
      </w:pPr>
    </w:p>
    <w:p>
      <w:pPr>
        <w:spacing w:line="500" w:lineRule="exact"/>
        <w:ind w:firstLine="413" w:firstLineChars="147"/>
        <w:jc w:val="both"/>
        <w:rPr>
          <w:rFonts w:hint="eastAsia" w:ascii="宋体" w:hAnsi="宋体" w:cs="宋体"/>
          <w:b/>
          <w:color w:val="auto"/>
          <w:sz w:val="28"/>
          <w:szCs w:val="28"/>
          <w:lang w:val="en-US" w:eastAsia="zh-CN" w:bidi="ar"/>
        </w:rPr>
        <w:sectPr>
          <w:headerReference r:id="rId20" w:type="default"/>
          <w:footerReference r:id="rId21" w:type="default"/>
          <w:pgSz w:w="11906" w:h="16838"/>
          <w:pgMar w:top="1440" w:right="1423" w:bottom="1440" w:left="1423" w:header="851" w:footer="992" w:gutter="0"/>
          <w:pgNumType w:fmt="decimal"/>
          <w:cols w:space="720" w:num="1"/>
          <w:docGrid w:linePitch="312" w:charSpace="0"/>
        </w:sectPr>
      </w:pPr>
    </w:p>
    <w:p>
      <w:pPr>
        <w:widowControl w:val="0"/>
        <w:snapToGrid w:val="0"/>
        <w:spacing w:before="240" w:beforeLines="100" w:after="240" w:afterLines="100" w:line="240" w:lineRule="auto"/>
        <w:jc w:val="both"/>
        <w:outlineLvl w:val="1"/>
        <w:rPr>
          <w:rFonts w:hint="eastAsia" w:ascii="宋体" w:hAnsi="宋体" w:eastAsia="宋体" w:cs="宋体"/>
          <w:b/>
          <w:color w:val="auto"/>
          <w:sz w:val="28"/>
          <w:szCs w:val="28"/>
          <w:lang w:bidi="ar"/>
        </w:rPr>
      </w:pPr>
      <w:bookmarkStart w:id="189" w:name="_Toc27893"/>
      <w:r>
        <w:rPr>
          <w:rFonts w:hint="eastAsia" w:ascii="宋体" w:hAnsi="宋体" w:eastAsia="宋体" w:cs="宋体"/>
          <w:b/>
          <w:color w:val="auto"/>
          <w:sz w:val="28"/>
          <w:szCs w:val="28"/>
          <w:lang w:val="en-US" w:eastAsia="zh-CN" w:bidi="ar"/>
        </w:rPr>
        <w:t>2、</w:t>
      </w:r>
      <w:bookmarkEnd w:id="189"/>
      <w:r>
        <w:rPr>
          <w:rFonts w:hint="eastAsia" w:ascii="宋体" w:hAnsi="宋体" w:eastAsia="宋体" w:cs="宋体"/>
          <w:b/>
          <w:color w:val="auto"/>
          <w:sz w:val="28"/>
          <w:szCs w:val="28"/>
          <w:lang w:val="en-US" w:eastAsia="zh-CN" w:bidi="ar"/>
        </w:rPr>
        <w:t>报价一览表</w:t>
      </w:r>
    </w:p>
    <w:p>
      <w:pPr>
        <w:spacing w:line="500" w:lineRule="exact"/>
        <w:ind w:firstLine="723" w:firstLineChars="200"/>
        <w:jc w:val="center"/>
        <w:rPr>
          <w:rFonts w:hint="eastAsia" w:ascii="宋体" w:hAnsi="宋体" w:cs="宋体"/>
          <w:b/>
          <w:bCs/>
          <w:sz w:val="36"/>
          <w:szCs w:val="21"/>
        </w:rPr>
      </w:pPr>
      <w:r>
        <w:rPr>
          <w:rFonts w:hint="eastAsia" w:ascii="宋体" w:hAnsi="宋体" w:cs="宋体"/>
          <w:b/>
          <w:bCs/>
          <w:sz w:val="36"/>
          <w:szCs w:val="21"/>
        </w:rPr>
        <w:t>磋商报价一览表</w:t>
      </w:r>
    </w:p>
    <w:p>
      <w:pPr>
        <w:spacing w:line="500" w:lineRule="exact"/>
        <w:ind w:firstLine="560" w:firstLineChars="200"/>
        <w:rPr>
          <w:rFonts w:hint="eastAsia" w:ascii="宋体" w:hAnsi="宋体" w:cs="宋体"/>
          <w:sz w:val="28"/>
          <w:szCs w:val="28"/>
        </w:rPr>
      </w:pPr>
      <w:r>
        <w:rPr>
          <w:rFonts w:hint="eastAsia" w:ascii="宋体" w:hAnsi="宋体" w:cs="宋体"/>
          <w:sz w:val="28"/>
          <w:szCs w:val="28"/>
        </w:rPr>
        <w:t xml:space="preserve">供应商名称： </w:t>
      </w:r>
      <w:r>
        <w:rPr>
          <w:rFonts w:hint="eastAsia" w:ascii="宋体" w:hAnsi="宋体" w:cs="宋体"/>
          <w:sz w:val="28"/>
          <w:szCs w:val="28"/>
          <w:u w:val="single"/>
        </w:rPr>
        <w:t xml:space="preserve">                              </w:t>
      </w:r>
      <w:r>
        <w:rPr>
          <w:rFonts w:hint="eastAsia" w:ascii="宋体" w:hAnsi="宋体" w:cs="宋体"/>
          <w:sz w:val="28"/>
          <w:szCs w:val="28"/>
        </w:rPr>
        <w:t xml:space="preserve">      </w:t>
      </w:r>
    </w:p>
    <w:tbl>
      <w:tblPr>
        <w:tblStyle w:val="25"/>
        <w:tblW w:w="1322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41"/>
        <w:gridCol w:w="4444"/>
        <w:gridCol w:w="3956"/>
        <w:gridCol w:w="197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841" w:type="dxa"/>
            <w:tcBorders>
              <w:top w:val="double" w:color="auto" w:sz="4" w:space="0"/>
            </w:tcBorders>
            <w:noWrap w:val="0"/>
            <w:vAlign w:val="center"/>
          </w:tcPr>
          <w:p>
            <w:pPr>
              <w:spacing w:line="480" w:lineRule="exact"/>
              <w:ind w:right="190" w:rightChars="68" w:firstLine="138" w:firstLineChars="49"/>
              <w:jc w:val="center"/>
              <w:rPr>
                <w:rFonts w:hint="eastAsia"/>
                <w:b/>
                <w:sz w:val="28"/>
                <w:szCs w:val="22"/>
              </w:rPr>
            </w:pPr>
            <w:r>
              <w:rPr>
                <w:rFonts w:hint="eastAsia"/>
                <w:b/>
                <w:sz w:val="28"/>
                <w:szCs w:val="22"/>
                <w:lang w:eastAsia="zh-CN"/>
              </w:rPr>
              <w:t>项目编号</w:t>
            </w:r>
          </w:p>
        </w:tc>
        <w:tc>
          <w:tcPr>
            <w:tcW w:w="4444" w:type="dxa"/>
            <w:tcBorders>
              <w:top w:val="double" w:color="auto" w:sz="4" w:space="0"/>
            </w:tcBorders>
            <w:noWrap w:val="0"/>
            <w:vAlign w:val="center"/>
          </w:tcPr>
          <w:p>
            <w:pPr>
              <w:spacing w:line="480" w:lineRule="exact"/>
              <w:ind w:left="280" w:leftChars="100"/>
              <w:jc w:val="center"/>
              <w:rPr>
                <w:b/>
                <w:sz w:val="28"/>
                <w:szCs w:val="22"/>
              </w:rPr>
            </w:pPr>
            <w:r>
              <w:rPr>
                <w:rFonts w:hint="eastAsia"/>
                <w:b/>
                <w:sz w:val="28"/>
                <w:szCs w:val="22"/>
              </w:rPr>
              <w:t>磋商</w:t>
            </w:r>
            <w:r>
              <w:rPr>
                <w:b/>
                <w:sz w:val="28"/>
                <w:szCs w:val="22"/>
              </w:rPr>
              <w:t>报价</w:t>
            </w:r>
          </w:p>
          <w:p>
            <w:pPr>
              <w:spacing w:line="480" w:lineRule="exact"/>
              <w:ind w:left="280" w:leftChars="100"/>
              <w:jc w:val="center"/>
              <w:rPr>
                <w:b/>
                <w:sz w:val="28"/>
                <w:szCs w:val="22"/>
              </w:rPr>
            </w:pPr>
            <w:r>
              <w:rPr>
                <w:b/>
                <w:sz w:val="28"/>
                <w:szCs w:val="22"/>
              </w:rPr>
              <w:t>（人民币:元）</w:t>
            </w:r>
          </w:p>
        </w:tc>
        <w:tc>
          <w:tcPr>
            <w:tcW w:w="3956" w:type="dxa"/>
            <w:tcBorders>
              <w:top w:val="double" w:color="auto" w:sz="4" w:space="0"/>
            </w:tcBorders>
            <w:noWrap w:val="0"/>
            <w:tcMar>
              <w:top w:w="57" w:type="dxa"/>
              <w:left w:w="28" w:type="dxa"/>
              <w:bottom w:w="57" w:type="dxa"/>
              <w:right w:w="28" w:type="dxa"/>
            </w:tcMar>
            <w:vAlign w:val="center"/>
          </w:tcPr>
          <w:p>
            <w:pPr>
              <w:spacing w:line="480" w:lineRule="exact"/>
              <w:ind w:left="280" w:leftChars="100"/>
              <w:jc w:val="center"/>
              <w:rPr>
                <w:rFonts w:hint="eastAsia" w:eastAsia="宋体"/>
                <w:b/>
                <w:sz w:val="28"/>
                <w:szCs w:val="22"/>
                <w:lang w:eastAsia="zh-CN"/>
              </w:rPr>
            </w:pPr>
            <w:r>
              <w:rPr>
                <w:rFonts w:hint="eastAsia"/>
                <w:b/>
                <w:sz w:val="28"/>
                <w:szCs w:val="22"/>
                <w:lang w:eastAsia="zh-CN"/>
              </w:rPr>
              <w:t>服务期限</w:t>
            </w:r>
          </w:p>
        </w:tc>
        <w:tc>
          <w:tcPr>
            <w:tcW w:w="1979" w:type="dxa"/>
            <w:tcBorders>
              <w:top w:val="double" w:color="auto" w:sz="4" w:space="0"/>
            </w:tcBorders>
            <w:noWrap w:val="0"/>
            <w:tcMar>
              <w:top w:w="57" w:type="dxa"/>
              <w:left w:w="28" w:type="dxa"/>
              <w:bottom w:w="57" w:type="dxa"/>
              <w:right w:w="28" w:type="dxa"/>
            </w:tcMar>
            <w:vAlign w:val="center"/>
          </w:tcPr>
          <w:p>
            <w:pPr>
              <w:spacing w:line="480" w:lineRule="exact"/>
              <w:ind w:left="280" w:leftChars="100"/>
              <w:jc w:val="center"/>
              <w:rPr>
                <w:rFonts w:hint="eastAsia" w:eastAsia="宋体"/>
                <w:b/>
                <w:sz w:val="28"/>
                <w:szCs w:val="22"/>
                <w:lang w:eastAsia="zh-CN"/>
              </w:rPr>
            </w:pPr>
            <w:r>
              <w:rPr>
                <w:rFonts w:hint="eastAsia"/>
                <w:b/>
                <w:sz w:val="28"/>
                <w:szCs w:val="22"/>
                <w:lang w:val="en-US" w:eastAsia="zh-CN"/>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04" w:hRule="atLeast"/>
          <w:jc w:val="center"/>
        </w:trPr>
        <w:tc>
          <w:tcPr>
            <w:tcW w:w="2841" w:type="dxa"/>
            <w:noWrap w:val="0"/>
            <w:vAlign w:val="center"/>
          </w:tcPr>
          <w:p>
            <w:pPr>
              <w:spacing w:line="480" w:lineRule="exact"/>
              <w:ind w:left="280" w:leftChars="100"/>
              <w:jc w:val="center"/>
              <w:rPr>
                <w:sz w:val="28"/>
                <w:szCs w:val="22"/>
              </w:rPr>
            </w:pPr>
          </w:p>
        </w:tc>
        <w:tc>
          <w:tcPr>
            <w:tcW w:w="4444" w:type="dxa"/>
            <w:noWrap w:val="0"/>
            <w:vAlign w:val="center"/>
          </w:tcPr>
          <w:p>
            <w:pPr>
              <w:spacing w:line="480" w:lineRule="exact"/>
              <w:ind w:left="280" w:leftChars="100"/>
              <w:jc w:val="center"/>
              <w:rPr>
                <w:sz w:val="28"/>
                <w:szCs w:val="22"/>
              </w:rPr>
            </w:pPr>
          </w:p>
        </w:tc>
        <w:tc>
          <w:tcPr>
            <w:tcW w:w="3956" w:type="dxa"/>
            <w:noWrap w:val="0"/>
            <w:tcMar>
              <w:top w:w="57" w:type="dxa"/>
              <w:left w:w="28" w:type="dxa"/>
              <w:bottom w:w="57" w:type="dxa"/>
              <w:right w:w="28" w:type="dxa"/>
            </w:tcMar>
            <w:vAlign w:val="center"/>
          </w:tcPr>
          <w:p>
            <w:pPr>
              <w:spacing w:line="480" w:lineRule="exact"/>
              <w:ind w:left="280" w:leftChars="100"/>
              <w:jc w:val="center"/>
              <w:rPr>
                <w:sz w:val="28"/>
                <w:szCs w:val="22"/>
              </w:rPr>
            </w:pPr>
          </w:p>
        </w:tc>
        <w:tc>
          <w:tcPr>
            <w:tcW w:w="1979" w:type="dxa"/>
            <w:noWrap w:val="0"/>
            <w:tcMar>
              <w:top w:w="57" w:type="dxa"/>
              <w:left w:w="28" w:type="dxa"/>
              <w:bottom w:w="57" w:type="dxa"/>
              <w:right w:w="28" w:type="dxa"/>
            </w:tcMar>
            <w:vAlign w:val="center"/>
          </w:tcPr>
          <w:p>
            <w:pPr>
              <w:spacing w:line="480" w:lineRule="exact"/>
              <w:ind w:left="280" w:leftChars="100"/>
              <w:jc w:val="center"/>
              <w:rPr>
                <w:sz w:val="28"/>
                <w:szCs w:val="22"/>
              </w:rPr>
            </w:pPr>
          </w:p>
        </w:tc>
      </w:tr>
    </w:tbl>
    <w:p>
      <w:pPr>
        <w:spacing w:line="500" w:lineRule="exact"/>
        <w:ind w:firstLine="560" w:firstLineChars="200"/>
        <w:rPr>
          <w:rFonts w:hint="eastAsia" w:ascii="宋体" w:hAnsi="宋体" w:cs="宋体"/>
        </w:rPr>
      </w:pPr>
      <w:r>
        <w:rPr>
          <w:rFonts w:hint="eastAsia" w:ascii="宋体" w:hAnsi="宋体" w:cs="宋体"/>
        </w:rPr>
        <w:t>注：1、本表价格应按磋商总价填写，同时应保证磋商响应文件的正、副本中仍有此表且一致。</w:t>
      </w:r>
    </w:p>
    <w:p>
      <w:pPr>
        <w:spacing w:line="500" w:lineRule="exact"/>
        <w:ind w:firstLine="1120" w:firstLineChars="400"/>
        <w:outlineLvl w:val="1"/>
        <w:rPr>
          <w:rFonts w:hint="eastAsia" w:ascii="宋体" w:hAnsi="宋体" w:cs="宋体"/>
        </w:rPr>
      </w:pPr>
      <w:bookmarkStart w:id="190" w:name="_Toc14415"/>
      <w:r>
        <w:rPr>
          <w:rFonts w:hint="eastAsia" w:ascii="宋体" w:hAnsi="宋体" w:cs="宋体"/>
        </w:rPr>
        <w:t>2、报价精确到两位小数后两位。</w:t>
      </w:r>
      <w:bookmarkEnd w:id="190"/>
    </w:p>
    <w:p>
      <w:pPr>
        <w:spacing w:line="500" w:lineRule="exact"/>
        <w:ind w:firstLine="840" w:firstLineChars="300"/>
        <w:rPr>
          <w:rFonts w:hint="eastAsia" w:ascii="宋体" w:hAnsi="宋体" w:cs="宋体"/>
        </w:rPr>
      </w:pPr>
    </w:p>
    <w:p>
      <w:pPr>
        <w:spacing w:line="500" w:lineRule="exact"/>
        <w:rPr>
          <w:rFonts w:hint="eastAsia" w:ascii="宋体" w:hAnsi="宋体" w:cs="宋体"/>
        </w:rPr>
      </w:pPr>
    </w:p>
    <w:p>
      <w:pPr>
        <w:spacing w:line="500" w:lineRule="exact"/>
        <w:rPr>
          <w:rFonts w:hint="eastAsia" w:ascii="宋体" w:hAnsi="宋体" w:cs="宋体"/>
        </w:rPr>
      </w:pPr>
    </w:p>
    <w:p>
      <w:pPr>
        <w:spacing w:line="500" w:lineRule="exact"/>
        <w:rPr>
          <w:rFonts w:hint="eastAsia" w:ascii="宋体" w:hAnsi="宋体" w:cs="宋体"/>
        </w:rPr>
      </w:pPr>
      <w:r>
        <w:rPr>
          <w:rFonts w:hint="eastAsia" w:ascii="宋体" w:hAnsi="宋体" w:cs="宋体"/>
        </w:rPr>
        <w:t>法定代表人或被授权人签字：</w:t>
      </w:r>
      <w:r>
        <w:rPr>
          <w:rFonts w:hint="eastAsia" w:ascii="宋体" w:hAnsi="宋体" w:cs="宋体"/>
          <w:sz w:val="28"/>
          <w:szCs w:val="28"/>
          <w:u w:val="single"/>
        </w:rPr>
        <w:t xml:space="preserve">            </w:t>
      </w:r>
      <w:r>
        <w:rPr>
          <w:rFonts w:hint="eastAsia" w:ascii="宋体" w:hAnsi="宋体" w:cs="宋体"/>
        </w:rPr>
        <w:t>（单位公章）                                   日 期：</w:t>
      </w:r>
      <w:r>
        <w:rPr>
          <w:rFonts w:hint="eastAsia" w:ascii="宋体" w:hAnsi="宋体" w:cs="宋体"/>
          <w:u w:val="single"/>
        </w:rPr>
        <w:t xml:space="preserve">             </w:t>
      </w:r>
    </w:p>
    <w:p>
      <w:pPr>
        <w:widowControl/>
        <w:spacing w:line="500" w:lineRule="exact"/>
        <w:jc w:val="left"/>
        <w:rPr>
          <w:rFonts w:hint="eastAsia" w:ascii="宋体" w:hAnsi="宋体" w:cs="宋体"/>
          <w:b/>
          <w:sz w:val="28"/>
          <w:szCs w:val="28"/>
        </w:rPr>
        <w:sectPr>
          <w:headerReference r:id="rId23" w:type="first"/>
          <w:footerReference r:id="rId25" w:type="first"/>
          <w:headerReference r:id="rId22" w:type="default"/>
          <w:footerReference r:id="rId24" w:type="default"/>
          <w:pgSz w:w="16840" w:h="11907" w:orient="landscape"/>
          <w:pgMar w:top="1259" w:right="1418" w:bottom="1287" w:left="936" w:header="851" w:footer="1021" w:gutter="0"/>
          <w:pgNumType w:fmt="decimal"/>
          <w:cols w:space="720" w:num="1"/>
          <w:docGrid w:linePitch="312" w:charSpace="0"/>
        </w:sectPr>
      </w:pPr>
    </w:p>
    <w:p>
      <w:pPr>
        <w:pStyle w:val="4"/>
        <w:pageBreakBefore w:val="0"/>
        <w:kinsoku/>
        <w:overflowPunct/>
        <w:topLinePunct w:val="0"/>
        <w:bidi w:val="0"/>
        <w:spacing w:line="360" w:lineRule="auto"/>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2.1</w:t>
      </w:r>
      <w:r>
        <w:rPr>
          <w:rFonts w:hint="eastAsia" w:ascii="宋体" w:hAnsi="宋体" w:eastAsia="宋体" w:cs="宋体"/>
          <w:sz w:val="28"/>
          <w:szCs w:val="28"/>
          <w:highlight w:val="none"/>
        </w:rPr>
        <w:t>投标分项报价表（格式）</w:t>
      </w:r>
    </w:p>
    <w:p>
      <w:pPr>
        <w:rPr>
          <w:rFonts w:hint="eastAsia" w:ascii="宋体" w:hAnsi="宋体" w:eastAsia="宋体" w:cs="宋体"/>
          <w:sz w:val="28"/>
          <w:szCs w:val="28"/>
          <w:highlight w:val="none"/>
        </w:rPr>
      </w:pPr>
    </w:p>
    <w:p>
      <w:pPr>
        <w:pageBreakBefore w:val="0"/>
        <w:shd w:val="clear"/>
        <w:kinsoku/>
        <w:overflowPunct/>
        <w:topLinePunct w:val="0"/>
        <w:bidi w:val="0"/>
        <w:spacing w:line="360" w:lineRule="auto"/>
        <w:ind w:left="280" w:leftChars="100"/>
        <w:jc w:val="center"/>
        <w:textAlignment w:val="auto"/>
        <w:outlineLvl w:val="0"/>
        <w:rPr>
          <w:rFonts w:hint="eastAsia" w:ascii="宋体" w:hAnsi="宋体" w:eastAsia="宋体" w:cs="宋体"/>
          <w:b/>
          <w:bCs/>
          <w:sz w:val="36"/>
          <w:szCs w:val="36"/>
          <w:highlight w:val="none"/>
        </w:rPr>
      </w:pPr>
      <w:bookmarkStart w:id="191" w:name="_Toc4399"/>
      <w:bookmarkStart w:id="192" w:name="_Toc25671_WPSOffice_Level1"/>
      <w:bookmarkStart w:id="193" w:name="_Toc22655"/>
      <w:bookmarkStart w:id="194" w:name="_Toc1995"/>
      <w:bookmarkStart w:id="195" w:name="_Toc14577"/>
      <w:bookmarkStart w:id="196" w:name="_Toc4769_WPSOffice_Level1"/>
      <w:bookmarkStart w:id="197" w:name="_Toc13086"/>
      <w:bookmarkStart w:id="198" w:name="_Toc11266_WPSOffice_Level1"/>
      <w:bookmarkStart w:id="199" w:name="_Toc17149_WPSOffice_Level1"/>
      <w:bookmarkStart w:id="200" w:name="_Toc21080"/>
      <w:r>
        <w:rPr>
          <w:rFonts w:hint="eastAsia" w:ascii="宋体" w:hAnsi="宋体" w:eastAsia="宋体" w:cs="宋体"/>
          <w:b/>
          <w:bCs/>
          <w:sz w:val="36"/>
          <w:szCs w:val="36"/>
          <w:highlight w:val="none"/>
        </w:rPr>
        <w:t>投标分项报价表</w:t>
      </w:r>
      <w:bookmarkEnd w:id="191"/>
      <w:bookmarkEnd w:id="192"/>
      <w:bookmarkEnd w:id="193"/>
      <w:bookmarkEnd w:id="194"/>
      <w:bookmarkEnd w:id="195"/>
      <w:bookmarkEnd w:id="196"/>
      <w:bookmarkEnd w:id="197"/>
      <w:bookmarkEnd w:id="198"/>
      <w:bookmarkEnd w:id="199"/>
      <w:bookmarkEnd w:id="200"/>
    </w:p>
    <w:p>
      <w:pPr>
        <w:pageBreakBefore w:val="0"/>
        <w:shd w:val="clear"/>
        <w:kinsoku/>
        <w:overflowPunct/>
        <w:topLinePunct w:val="0"/>
        <w:bidi w:val="0"/>
        <w:spacing w:line="360" w:lineRule="auto"/>
        <w:textAlignment w:val="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项目编号：</w:t>
      </w:r>
    </w:p>
    <w:tbl>
      <w:tblPr>
        <w:tblStyle w:val="25"/>
        <w:tblW w:w="4969"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2921"/>
        <w:gridCol w:w="2338"/>
        <w:gridCol w:w="1942"/>
        <w:gridCol w:w="2327"/>
        <w:gridCol w:w="2123"/>
        <w:gridCol w:w="191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42" w:type="pct"/>
            <w:tcBorders>
              <w:top w:val="double" w:color="auto" w:sz="4" w:space="0"/>
            </w:tcBorders>
            <w:vAlign w:val="center"/>
          </w:tcPr>
          <w:p>
            <w:pPr>
              <w:shd w:val="clear"/>
              <w:spacing w:line="3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1003" w:type="pct"/>
            <w:tcBorders>
              <w:top w:val="double" w:color="auto" w:sz="4" w:space="0"/>
            </w:tcBorders>
            <w:vAlign w:val="center"/>
          </w:tcPr>
          <w:p>
            <w:pPr>
              <w:shd w:val="clear"/>
              <w:spacing w:line="300" w:lineRule="exact"/>
              <w:ind w:left="280" w:leftChars="1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名称</w:t>
            </w:r>
          </w:p>
        </w:tc>
        <w:tc>
          <w:tcPr>
            <w:tcW w:w="803" w:type="pct"/>
            <w:tcBorders>
              <w:top w:val="double" w:color="auto" w:sz="4" w:space="0"/>
            </w:tcBorders>
            <w:vAlign w:val="center"/>
          </w:tcPr>
          <w:p>
            <w:pPr>
              <w:shd w:val="clear"/>
              <w:spacing w:line="480" w:lineRule="exact"/>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eastAsia="zh-CN"/>
              </w:rPr>
              <w:t>服务</w:t>
            </w:r>
            <w:r>
              <w:rPr>
                <w:rFonts w:hint="eastAsia" w:ascii="宋体" w:hAnsi="宋体" w:eastAsia="宋体" w:cs="宋体"/>
                <w:b/>
                <w:bCs/>
                <w:sz w:val="28"/>
                <w:szCs w:val="28"/>
                <w:highlight w:val="none"/>
              </w:rPr>
              <w:t>说明</w:t>
            </w:r>
          </w:p>
        </w:tc>
        <w:tc>
          <w:tcPr>
            <w:tcW w:w="667" w:type="pct"/>
            <w:tcBorders>
              <w:top w:val="double" w:color="auto" w:sz="4" w:space="0"/>
            </w:tcBorders>
            <w:vAlign w:val="center"/>
          </w:tcPr>
          <w:p>
            <w:pPr>
              <w:shd w:val="clear"/>
              <w:spacing w:line="300" w:lineRule="exact"/>
              <w:ind w:left="17" w:leftChars="6"/>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数量/单位</w:t>
            </w:r>
          </w:p>
        </w:tc>
        <w:tc>
          <w:tcPr>
            <w:tcW w:w="799" w:type="pct"/>
            <w:tcBorders>
              <w:top w:val="double" w:color="auto" w:sz="4" w:space="0"/>
            </w:tcBorders>
            <w:tcMar>
              <w:top w:w="28" w:type="dxa"/>
              <w:left w:w="57" w:type="dxa"/>
              <w:bottom w:w="28" w:type="dxa"/>
              <w:right w:w="57" w:type="dxa"/>
            </w:tcMar>
            <w:vAlign w:val="center"/>
          </w:tcPr>
          <w:p>
            <w:pPr>
              <w:shd w:val="clear"/>
              <w:spacing w:line="300" w:lineRule="exac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单价</w:t>
            </w:r>
          </w:p>
          <w:p>
            <w:pPr>
              <w:shd w:val="clear"/>
              <w:spacing w:line="300" w:lineRule="exact"/>
              <w:ind w:left="62" w:leftChars="2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（人民币元）</w:t>
            </w:r>
          </w:p>
        </w:tc>
        <w:tc>
          <w:tcPr>
            <w:tcW w:w="729" w:type="pct"/>
            <w:tcBorders>
              <w:top w:val="double" w:color="auto" w:sz="4" w:space="0"/>
            </w:tcBorders>
            <w:tcMar>
              <w:top w:w="28" w:type="dxa"/>
              <w:left w:w="57" w:type="dxa"/>
              <w:bottom w:w="28" w:type="dxa"/>
              <w:right w:w="57" w:type="dxa"/>
            </w:tcMar>
            <w:vAlign w:val="center"/>
          </w:tcPr>
          <w:p>
            <w:pPr>
              <w:shd w:val="clear"/>
              <w:spacing w:line="300" w:lineRule="exac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总价</w:t>
            </w:r>
          </w:p>
          <w:p>
            <w:pPr>
              <w:shd w:val="clear"/>
              <w:spacing w:line="3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（人民币元）</w:t>
            </w:r>
          </w:p>
        </w:tc>
        <w:tc>
          <w:tcPr>
            <w:tcW w:w="654" w:type="pct"/>
            <w:tcBorders>
              <w:top w:val="double" w:color="auto" w:sz="4" w:space="0"/>
            </w:tcBorders>
            <w:tcMar>
              <w:top w:w="28" w:type="dxa"/>
              <w:left w:w="57" w:type="dxa"/>
              <w:bottom w:w="28" w:type="dxa"/>
              <w:right w:w="57" w:type="dxa"/>
            </w:tcMar>
            <w:vAlign w:val="center"/>
          </w:tcPr>
          <w:p>
            <w:pPr>
              <w:shd w:val="clear"/>
              <w:spacing w:line="300" w:lineRule="exact"/>
              <w:ind w:left="280" w:leftChars="1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342"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1003"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c>
          <w:tcPr>
            <w:tcW w:w="8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67"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799" w:type="pct"/>
            <w:tcMar>
              <w:left w:w="57" w:type="dxa"/>
              <w:right w:w="57" w:type="dxa"/>
            </w:tcMar>
          </w:tcPr>
          <w:p>
            <w:pPr>
              <w:shd w:val="clear"/>
              <w:spacing w:line="300" w:lineRule="exact"/>
              <w:ind w:left="280" w:leftChars="100"/>
              <w:jc w:val="center"/>
              <w:rPr>
                <w:rFonts w:hint="eastAsia" w:ascii="宋体" w:hAnsi="宋体" w:eastAsia="宋体" w:cs="宋体"/>
                <w:sz w:val="28"/>
                <w:szCs w:val="28"/>
                <w:highlight w:val="none"/>
              </w:rPr>
            </w:pPr>
          </w:p>
        </w:tc>
        <w:tc>
          <w:tcPr>
            <w:tcW w:w="729"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54"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42"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1003"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c>
          <w:tcPr>
            <w:tcW w:w="8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67"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799" w:type="pct"/>
            <w:tcMar>
              <w:left w:w="57" w:type="dxa"/>
              <w:right w:w="57" w:type="dxa"/>
            </w:tcMar>
          </w:tcPr>
          <w:p>
            <w:pPr>
              <w:shd w:val="clear"/>
              <w:spacing w:line="300" w:lineRule="exact"/>
              <w:ind w:left="280" w:leftChars="100"/>
              <w:jc w:val="center"/>
              <w:rPr>
                <w:rFonts w:hint="eastAsia" w:ascii="宋体" w:hAnsi="宋体" w:eastAsia="宋体" w:cs="宋体"/>
                <w:sz w:val="28"/>
                <w:szCs w:val="28"/>
                <w:highlight w:val="none"/>
              </w:rPr>
            </w:pPr>
          </w:p>
        </w:tc>
        <w:tc>
          <w:tcPr>
            <w:tcW w:w="729"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54"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42"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1003"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c>
          <w:tcPr>
            <w:tcW w:w="8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67"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799" w:type="pct"/>
            <w:tcMar>
              <w:left w:w="57" w:type="dxa"/>
              <w:right w:w="57" w:type="dxa"/>
            </w:tcMar>
          </w:tcPr>
          <w:p>
            <w:pPr>
              <w:shd w:val="clear"/>
              <w:spacing w:line="300" w:lineRule="exact"/>
              <w:ind w:left="280" w:leftChars="100"/>
              <w:jc w:val="center"/>
              <w:rPr>
                <w:rFonts w:hint="eastAsia" w:ascii="宋体" w:hAnsi="宋体" w:eastAsia="宋体" w:cs="宋体"/>
                <w:sz w:val="28"/>
                <w:szCs w:val="28"/>
                <w:highlight w:val="none"/>
              </w:rPr>
            </w:pPr>
          </w:p>
        </w:tc>
        <w:tc>
          <w:tcPr>
            <w:tcW w:w="729"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54"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42"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10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8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67"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799" w:type="pct"/>
            <w:tcMar>
              <w:left w:w="57" w:type="dxa"/>
              <w:right w:w="57" w:type="dxa"/>
            </w:tcMar>
          </w:tcPr>
          <w:p>
            <w:pPr>
              <w:shd w:val="clear"/>
              <w:spacing w:line="300" w:lineRule="exact"/>
              <w:ind w:left="280" w:leftChars="100"/>
              <w:jc w:val="center"/>
              <w:rPr>
                <w:rFonts w:hint="eastAsia" w:ascii="宋体" w:hAnsi="宋体" w:eastAsia="宋体" w:cs="宋体"/>
                <w:sz w:val="28"/>
                <w:szCs w:val="28"/>
                <w:highlight w:val="none"/>
              </w:rPr>
            </w:pPr>
          </w:p>
        </w:tc>
        <w:tc>
          <w:tcPr>
            <w:tcW w:w="729"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54"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42"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10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w:t>
            </w:r>
          </w:p>
        </w:tc>
        <w:tc>
          <w:tcPr>
            <w:tcW w:w="803"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67"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799" w:type="pct"/>
            <w:tcMar>
              <w:left w:w="57" w:type="dxa"/>
              <w:right w:w="57" w:type="dxa"/>
            </w:tcMar>
          </w:tcPr>
          <w:p>
            <w:pPr>
              <w:shd w:val="clear"/>
              <w:spacing w:line="300" w:lineRule="exact"/>
              <w:ind w:left="280" w:leftChars="100"/>
              <w:jc w:val="center"/>
              <w:rPr>
                <w:rFonts w:hint="eastAsia" w:ascii="宋体" w:hAnsi="宋体" w:eastAsia="宋体" w:cs="宋体"/>
                <w:sz w:val="28"/>
                <w:szCs w:val="28"/>
                <w:highlight w:val="none"/>
              </w:rPr>
            </w:pPr>
          </w:p>
        </w:tc>
        <w:tc>
          <w:tcPr>
            <w:tcW w:w="729" w:type="pct"/>
            <w:tcMar>
              <w:left w:w="57" w:type="dxa"/>
              <w:right w:w="57" w:type="dxa"/>
            </w:tcMar>
            <w:vAlign w:val="center"/>
          </w:tcPr>
          <w:p>
            <w:pPr>
              <w:shd w:val="clear"/>
              <w:spacing w:line="300" w:lineRule="exact"/>
              <w:ind w:left="280" w:leftChars="100"/>
              <w:jc w:val="center"/>
              <w:rPr>
                <w:rFonts w:hint="eastAsia" w:ascii="宋体" w:hAnsi="宋体" w:eastAsia="宋体" w:cs="宋体"/>
                <w:sz w:val="28"/>
                <w:szCs w:val="28"/>
                <w:highlight w:val="none"/>
              </w:rPr>
            </w:pPr>
          </w:p>
        </w:tc>
        <w:tc>
          <w:tcPr>
            <w:tcW w:w="654" w:type="pct"/>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5000" w:type="pct"/>
            <w:gridSpan w:val="7"/>
            <w:tcMar>
              <w:left w:w="57" w:type="dxa"/>
              <w:right w:w="57" w:type="dxa"/>
            </w:tcMar>
            <w:vAlign w:val="center"/>
          </w:tcPr>
          <w:p>
            <w:pPr>
              <w:shd w:val="clear"/>
              <w:spacing w:line="300" w:lineRule="exact"/>
              <w:ind w:left="280" w:leftChars="100"/>
              <w:rPr>
                <w:rFonts w:hint="eastAsia" w:ascii="宋体" w:hAnsi="宋体" w:eastAsia="宋体" w:cs="宋体"/>
                <w:sz w:val="28"/>
                <w:szCs w:val="28"/>
                <w:highlight w:val="none"/>
              </w:rPr>
            </w:pPr>
            <w:r>
              <w:rPr>
                <w:rFonts w:hint="eastAsia" w:ascii="宋体" w:hAnsi="宋体" w:eastAsia="宋体" w:cs="宋体"/>
                <w:sz w:val="28"/>
                <w:szCs w:val="28"/>
                <w:highlight w:val="none"/>
              </w:rPr>
              <w:t>总计（人民币元）</w:t>
            </w:r>
          </w:p>
        </w:tc>
      </w:tr>
    </w:tbl>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投标人名称（公章）：</w:t>
      </w:r>
      <w:r>
        <w:rPr>
          <w:rFonts w:hint="eastAsia" w:ascii="宋体" w:hAnsi="宋体" w:eastAsia="宋体" w:cs="宋体"/>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法定代表人或被授权人（签字或盖章）</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lang w:val="en-US" w:eastAsia="zh-CN"/>
        </w:rPr>
        <w:t xml:space="preserve">                     </w:t>
      </w:r>
    </w:p>
    <w:p>
      <w:pPr>
        <w:pStyle w:val="2"/>
        <w:rPr>
          <w:rFonts w:hint="eastAsia"/>
        </w:rPr>
        <w:sectPr>
          <w:headerReference r:id="rId26" w:type="default"/>
          <w:footerReference r:id="rId27" w:type="default"/>
          <w:pgSz w:w="16840" w:h="11907" w:orient="landscape"/>
          <w:pgMar w:top="1259" w:right="1418" w:bottom="1287" w:left="936" w:header="851" w:footer="1021" w:gutter="0"/>
          <w:pgNumType w:fmt="decimal"/>
          <w:cols w:space="720" w:num="1"/>
          <w:docGrid w:linePitch="312" w:charSpace="0"/>
        </w:sectPr>
      </w:pPr>
    </w:p>
    <w:p>
      <w:pPr>
        <w:pStyle w:val="4"/>
        <w:pageBreakBefore w:val="0"/>
        <w:kinsoku/>
        <w:wordWrap/>
        <w:overflowPunct/>
        <w:topLinePunct w:val="0"/>
        <w:bidi w:val="0"/>
        <w:spacing w:before="0" w:after="0" w:line="360" w:lineRule="auto"/>
        <w:jc w:val="both"/>
        <w:textAlignment w:val="auto"/>
        <w:rPr>
          <w:rFonts w:hint="eastAsia" w:ascii="宋体" w:hAnsi="宋体" w:eastAsia="宋体" w:cs="宋体"/>
          <w:sz w:val="28"/>
          <w:szCs w:val="28"/>
          <w:highlight w:val="none"/>
        </w:rPr>
      </w:pPr>
      <w:bookmarkStart w:id="201" w:name="_Toc29069"/>
      <w:bookmarkStart w:id="202" w:name="_Toc12952"/>
      <w:r>
        <w:rPr>
          <w:rFonts w:hint="eastAsia" w:ascii="宋体" w:hAnsi="宋体" w:cs="宋体"/>
          <w:b/>
          <w:color w:val="auto"/>
          <w:sz w:val="28"/>
          <w:szCs w:val="28"/>
          <w:lang w:val="en-US" w:eastAsia="zh-CN" w:bidi="ar"/>
        </w:rPr>
        <w:t>3</w:t>
      </w:r>
      <w:r>
        <w:rPr>
          <w:rFonts w:hint="eastAsia" w:ascii="宋体" w:hAnsi="宋体" w:cs="宋体"/>
          <w:b/>
          <w:color w:val="auto"/>
          <w:sz w:val="28"/>
          <w:szCs w:val="28"/>
          <w:lang w:bidi="ar"/>
        </w:rPr>
        <w:t>、</w:t>
      </w:r>
      <w:r>
        <w:rPr>
          <w:rFonts w:hint="eastAsia" w:ascii="宋体" w:hAnsi="宋体" w:cs="宋体"/>
          <w:b/>
          <w:color w:val="auto"/>
          <w:sz w:val="28"/>
          <w:szCs w:val="28"/>
          <w:lang w:eastAsia="zh-CN" w:bidi="ar"/>
        </w:rPr>
        <w:t>法</w:t>
      </w:r>
      <w:r>
        <w:rPr>
          <w:rFonts w:hint="eastAsia" w:ascii="宋体" w:hAnsi="宋体" w:eastAsia="宋体" w:cs="宋体"/>
          <w:sz w:val="28"/>
          <w:szCs w:val="28"/>
          <w:highlight w:val="none"/>
        </w:rPr>
        <w:t>定代表人证明书及法定代表人授权委托书</w:t>
      </w:r>
      <w:bookmarkEnd w:id="201"/>
      <w:bookmarkEnd w:id="202"/>
    </w:p>
    <w:p>
      <w:pPr>
        <w:pageBreakBefore w:val="0"/>
        <w:kinsoku/>
        <w:wordWrap/>
        <w:overflowPunct/>
        <w:topLinePunct w:val="0"/>
        <w:bidi w:val="0"/>
        <w:spacing w:line="360" w:lineRule="auto"/>
        <w:ind w:firstLine="3092"/>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3-</w:t>
      </w:r>
      <w:r>
        <w:rPr>
          <w:rFonts w:hint="eastAsia" w:ascii="宋体" w:hAnsi="宋体" w:eastAsia="宋体" w:cs="宋体"/>
          <w:b/>
          <w:bCs/>
          <w:sz w:val="28"/>
          <w:szCs w:val="28"/>
          <w:highlight w:val="none"/>
        </w:rPr>
        <w:t>1法定代表人证明书</w:t>
      </w:r>
    </w:p>
    <w:tbl>
      <w:tblPr>
        <w:tblStyle w:val="25"/>
        <w:tblW w:w="9500" w:type="dxa"/>
        <w:jc w:val="center"/>
        <w:tblLayout w:type="fixed"/>
        <w:tblCellMar>
          <w:top w:w="0" w:type="dxa"/>
          <w:left w:w="10" w:type="dxa"/>
          <w:bottom w:w="0" w:type="dxa"/>
          <w:right w:w="10" w:type="dxa"/>
        </w:tblCellMar>
      </w:tblPr>
      <w:tblGrid>
        <w:gridCol w:w="1797"/>
        <w:gridCol w:w="2413"/>
        <w:gridCol w:w="1705"/>
        <w:gridCol w:w="1458"/>
        <w:gridCol w:w="2127"/>
      </w:tblGrid>
      <w:tr>
        <w:tblPrEx>
          <w:tblCellMar>
            <w:top w:w="0" w:type="dxa"/>
            <w:left w:w="10" w:type="dxa"/>
            <w:bottom w:w="0" w:type="dxa"/>
            <w:right w:w="10" w:type="dxa"/>
          </w:tblCellMar>
        </w:tblPrEx>
        <w:trPr>
          <w:trHeight w:val="521" w:hRule="atLeast"/>
          <w:jc w:val="center"/>
        </w:trPr>
        <w:tc>
          <w:tcPr>
            <w:tcW w:w="9500"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致：</w:t>
            </w:r>
            <w:r>
              <w:rPr>
                <w:rFonts w:hint="eastAsia" w:ascii="宋体" w:hAnsi="宋体" w:cs="宋体"/>
                <w:bCs/>
                <w:sz w:val="24"/>
                <w:szCs w:val="24"/>
                <w:highlight w:val="none"/>
                <w:lang w:eastAsia="zh-CN"/>
              </w:rPr>
              <w:t>华睿诚项目管理有限公司</w:t>
            </w:r>
          </w:p>
        </w:tc>
      </w:tr>
      <w:tr>
        <w:tblPrEx>
          <w:tblCellMar>
            <w:top w:w="0" w:type="dxa"/>
            <w:left w:w="10" w:type="dxa"/>
            <w:bottom w:w="0" w:type="dxa"/>
            <w:right w:w="10" w:type="dxa"/>
          </w:tblCellMar>
        </w:tblPrEx>
        <w:trPr>
          <w:trHeight w:val="563" w:hRule="atLeast"/>
          <w:jc w:val="center"/>
        </w:trPr>
        <w:tc>
          <w:tcPr>
            <w:tcW w:w="17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cs="宋体"/>
                <w:sz w:val="24"/>
                <w:szCs w:val="24"/>
                <w:highlight w:val="none"/>
                <w:lang w:eastAsia="zh-CN"/>
              </w:rPr>
              <w:t>项目名称</w:t>
            </w:r>
          </w:p>
        </w:tc>
        <w:tc>
          <w:tcPr>
            <w:tcW w:w="770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项目编号</w:t>
            </w:r>
          </w:p>
        </w:tc>
        <w:tc>
          <w:tcPr>
            <w:tcW w:w="770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1032" w:hRule="atLeast"/>
          <w:jc w:val="center"/>
        </w:trPr>
        <w:tc>
          <w:tcPr>
            <w:tcW w:w="17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权   限</w:t>
            </w:r>
          </w:p>
        </w:tc>
        <w:tc>
          <w:tcPr>
            <w:tcW w:w="770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办理本次采购项目的磋商、联系、洽谈、签约、执行等具体事务，签署全部有关文件、文书、协议及合同。</w:t>
            </w:r>
          </w:p>
        </w:tc>
      </w:tr>
      <w:tr>
        <w:tblPrEx>
          <w:tblCellMar>
            <w:top w:w="0" w:type="dxa"/>
            <w:left w:w="10" w:type="dxa"/>
            <w:bottom w:w="0" w:type="dxa"/>
            <w:right w:w="10" w:type="dxa"/>
          </w:tblCellMar>
        </w:tblPrEx>
        <w:trPr>
          <w:trHeight w:val="521" w:hRule="atLeast"/>
          <w:jc w:val="center"/>
        </w:trPr>
        <w:tc>
          <w:tcPr>
            <w:tcW w:w="17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有效期</w:t>
            </w:r>
          </w:p>
        </w:tc>
        <w:tc>
          <w:tcPr>
            <w:tcW w:w="770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自磋商之日起计算有效期为</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天</w:t>
            </w:r>
          </w:p>
        </w:tc>
      </w:tr>
      <w:tr>
        <w:tblPrEx>
          <w:tblCellMar>
            <w:top w:w="0" w:type="dxa"/>
            <w:left w:w="10" w:type="dxa"/>
            <w:bottom w:w="0" w:type="dxa"/>
            <w:right w:w="10" w:type="dxa"/>
          </w:tblCellMar>
        </w:tblPrEx>
        <w:trPr>
          <w:trHeight w:val="521" w:hRule="atLeast"/>
          <w:jc w:val="center"/>
        </w:trPr>
        <w:tc>
          <w:tcPr>
            <w:tcW w:w="1797"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w:t>
            </w:r>
          </w:p>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w:t>
            </w: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 业 名 称</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 定 地 址</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营业执照注册证号</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工商登记机关</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网    址</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w:t>
            </w:r>
          </w:p>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表人</w:t>
            </w: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姓    名</w:t>
            </w:r>
          </w:p>
        </w:tc>
        <w:tc>
          <w:tcPr>
            <w:tcW w:w="1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c>
          <w:tcPr>
            <w:tcW w:w="14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性   别</w:t>
            </w: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职    务</w:t>
            </w:r>
          </w:p>
        </w:tc>
        <w:tc>
          <w:tcPr>
            <w:tcW w:w="170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c>
          <w:tcPr>
            <w:tcW w:w="145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联系电话</w:t>
            </w: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传    真</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521" w:hRule="atLeast"/>
          <w:jc w:val="center"/>
        </w:trPr>
        <w:tc>
          <w:tcPr>
            <w:tcW w:w="1797"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41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通讯地址</w:t>
            </w:r>
          </w:p>
        </w:tc>
        <w:tc>
          <w:tcPr>
            <w:tcW w:w="529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tc>
      </w:tr>
      <w:tr>
        <w:tblPrEx>
          <w:tblCellMar>
            <w:top w:w="0" w:type="dxa"/>
            <w:left w:w="10" w:type="dxa"/>
            <w:bottom w:w="0" w:type="dxa"/>
            <w:right w:w="10" w:type="dxa"/>
          </w:tblCellMar>
        </w:tblPrEx>
        <w:trPr>
          <w:trHeight w:val="3488" w:hRule="atLeast"/>
          <w:jc w:val="center"/>
        </w:trPr>
        <w:tc>
          <w:tcPr>
            <w:tcW w:w="9500"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p>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法定代表人身份证复印件</w:t>
            </w:r>
          </w:p>
          <w:p>
            <w:pPr>
              <w:pageBreakBefore w:val="0"/>
              <w:kinsoku/>
              <w:wordWrap/>
              <w:overflowPunct/>
              <w:topLinePunct w:val="0"/>
              <w:bidi w:val="0"/>
              <w:spacing w:line="360" w:lineRule="auto"/>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二代身份证正、反两面都需复印</w:t>
            </w:r>
          </w:p>
        </w:tc>
      </w:tr>
      <w:tr>
        <w:tblPrEx>
          <w:tblCellMar>
            <w:top w:w="0" w:type="dxa"/>
            <w:left w:w="10" w:type="dxa"/>
            <w:bottom w:w="0" w:type="dxa"/>
            <w:right w:w="10" w:type="dxa"/>
          </w:tblCellMar>
        </w:tblPrEx>
        <w:trPr>
          <w:trHeight w:val="805" w:hRule="atLeast"/>
          <w:jc w:val="center"/>
        </w:trPr>
        <w:tc>
          <w:tcPr>
            <w:tcW w:w="9500"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法定代表人签字</w:t>
            </w:r>
            <w:r>
              <w:rPr>
                <w:rFonts w:hint="eastAsia" w:ascii="宋体" w:hAnsi="宋体" w:eastAsia="宋体" w:cs="宋体"/>
                <w:bCs/>
                <w:sz w:val="24"/>
                <w:szCs w:val="24"/>
                <w:highlight w:val="none"/>
                <w:lang w:val="en-US" w:eastAsia="zh-CN"/>
              </w:rPr>
              <w:t>或</w:t>
            </w:r>
            <w:r>
              <w:rPr>
                <w:rFonts w:hint="eastAsia" w:ascii="宋体" w:hAnsi="宋体" w:eastAsia="宋体" w:cs="宋体"/>
                <w:bCs/>
                <w:sz w:val="24"/>
                <w:szCs w:val="24"/>
                <w:highlight w:val="none"/>
              </w:rPr>
              <w:t>盖章：</w:t>
            </w:r>
          </w:p>
        </w:tc>
      </w:tr>
    </w:tbl>
    <w:p>
      <w:pPr>
        <w:pageBreakBefore w:val="0"/>
        <w:kinsoku/>
        <w:wordWrap/>
        <w:overflowPunct/>
        <w:topLinePunct w:val="0"/>
        <w:bidi w:val="0"/>
        <w:spacing w:line="360" w:lineRule="auto"/>
        <w:ind w:left="-186" w:leftChars="-110" w:hanging="122" w:hangingChars="51"/>
        <w:jc w:val="left"/>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供应商名称：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（单位公章）        日 期：</w:t>
      </w:r>
    </w:p>
    <w:p>
      <w:pPr>
        <w:pageBreakBefore w:val="0"/>
        <w:kinsoku/>
        <w:wordWrap/>
        <w:overflowPunct/>
        <w:topLinePunct w:val="0"/>
        <w:bidi w:val="0"/>
        <w:spacing w:line="360" w:lineRule="auto"/>
        <w:ind w:firstLine="3092" w:firstLineChars="11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3-2</w:t>
      </w:r>
      <w:r>
        <w:rPr>
          <w:rFonts w:hint="eastAsia" w:ascii="宋体" w:hAnsi="宋体" w:eastAsia="宋体" w:cs="宋体"/>
          <w:b/>
          <w:bCs/>
          <w:sz w:val="28"/>
          <w:szCs w:val="28"/>
          <w:highlight w:val="none"/>
        </w:rPr>
        <w:t>法定代表人授权书</w:t>
      </w:r>
    </w:p>
    <w:tbl>
      <w:tblPr>
        <w:tblStyle w:val="25"/>
        <w:tblW w:w="10200" w:type="dxa"/>
        <w:jc w:val="center"/>
        <w:tblLayout w:type="fixed"/>
        <w:tblCellMar>
          <w:top w:w="0" w:type="dxa"/>
          <w:left w:w="10" w:type="dxa"/>
          <w:bottom w:w="0" w:type="dxa"/>
          <w:right w:w="10" w:type="dxa"/>
        </w:tblCellMar>
      </w:tblPr>
      <w:tblGrid>
        <w:gridCol w:w="1509"/>
        <w:gridCol w:w="1443"/>
        <w:gridCol w:w="1087"/>
        <w:gridCol w:w="861"/>
        <w:gridCol w:w="800"/>
        <w:gridCol w:w="1545"/>
        <w:gridCol w:w="2955"/>
      </w:tblGrid>
      <w:tr>
        <w:tblPrEx>
          <w:tblCellMar>
            <w:top w:w="0" w:type="dxa"/>
            <w:left w:w="10" w:type="dxa"/>
            <w:bottom w:w="0" w:type="dxa"/>
            <w:right w:w="10" w:type="dxa"/>
          </w:tblCellMar>
        </w:tblPrEx>
        <w:trPr>
          <w:trHeight w:val="522" w:hRule="atLeast"/>
          <w:jc w:val="center"/>
        </w:trPr>
        <w:tc>
          <w:tcPr>
            <w:tcW w:w="10200" w:type="dxa"/>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lang w:eastAsia="zh-CN"/>
              </w:rPr>
            </w:pPr>
            <w:r>
              <w:rPr>
                <w:rFonts w:hint="eastAsia" w:ascii="宋体" w:hAnsi="宋体" w:eastAsia="宋体" w:cs="宋体"/>
                <w:bCs/>
                <w:caps/>
                <w:sz w:val="24"/>
                <w:szCs w:val="24"/>
                <w:highlight w:val="none"/>
              </w:rPr>
              <w:t>致：</w:t>
            </w:r>
            <w:r>
              <w:rPr>
                <w:rFonts w:hint="eastAsia" w:ascii="宋体" w:hAnsi="宋体" w:cs="宋体"/>
                <w:bCs/>
                <w:caps/>
                <w:sz w:val="24"/>
                <w:szCs w:val="24"/>
                <w:highlight w:val="none"/>
                <w:lang w:eastAsia="zh-CN"/>
              </w:rPr>
              <w:t>华睿诚项目管理有限公司</w:t>
            </w:r>
          </w:p>
        </w:tc>
      </w:tr>
      <w:tr>
        <w:tblPrEx>
          <w:tblCellMar>
            <w:top w:w="0" w:type="dxa"/>
            <w:left w:w="10" w:type="dxa"/>
            <w:bottom w:w="0" w:type="dxa"/>
            <w:right w:w="10" w:type="dxa"/>
          </w:tblCellMar>
        </w:tblPrEx>
        <w:trPr>
          <w:trHeight w:val="522" w:hRule="atLeast"/>
          <w:jc w:val="center"/>
        </w:trPr>
        <w:tc>
          <w:tcPr>
            <w:tcW w:w="150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权项</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目与</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内容</w:t>
            </w: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cs="宋体"/>
                <w:sz w:val="24"/>
                <w:szCs w:val="24"/>
                <w:highlight w:val="none"/>
                <w:lang w:eastAsia="zh-CN"/>
              </w:rPr>
              <w:t>项目名称</w:t>
            </w:r>
          </w:p>
        </w:tc>
        <w:tc>
          <w:tcPr>
            <w:tcW w:w="724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22"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项目编号</w:t>
            </w:r>
          </w:p>
        </w:tc>
        <w:tc>
          <w:tcPr>
            <w:tcW w:w="724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ind w:firstLine="1400"/>
              <w:jc w:val="left"/>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1036"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授权范围</w:t>
            </w:r>
          </w:p>
        </w:tc>
        <w:tc>
          <w:tcPr>
            <w:tcW w:w="724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全权办理本次采购项目的</w:t>
            </w:r>
            <w:r>
              <w:rPr>
                <w:rFonts w:hint="eastAsia" w:ascii="宋体" w:hAnsi="宋体" w:eastAsia="宋体" w:cs="宋体"/>
                <w:bCs/>
                <w:sz w:val="24"/>
                <w:szCs w:val="24"/>
                <w:highlight w:val="none"/>
              </w:rPr>
              <w:t>磋商</w:t>
            </w:r>
            <w:r>
              <w:rPr>
                <w:rFonts w:hint="eastAsia" w:ascii="宋体" w:hAnsi="宋体" w:eastAsia="宋体" w:cs="宋体"/>
                <w:bCs/>
                <w:caps/>
                <w:sz w:val="24"/>
                <w:szCs w:val="24"/>
                <w:highlight w:val="none"/>
              </w:rPr>
              <w:t>、联系、洽谈、签约、执行等具体事务，签署全部有关文件、文书、协议及合同。</w:t>
            </w:r>
          </w:p>
        </w:tc>
      </w:tr>
      <w:tr>
        <w:tblPrEx>
          <w:tblCellMar>
            <w:top w:w="0" w:type="dxa"/>
            <w:left w:w="10" w:type="dxa"/>
            <w:bottom w:w="0" w:type="dxa"/>
            <w:right w:w="10" w:type="dxa"/>
          </w:tblCellMar>
        </w:tblPrEx>
        <w:trPr>
          <w:trHeight w:val="522"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法律责任</w:t>
            </w:r>
          </w:p>
        </w:tc>
        <w:tc>
          <w:tcPr>
            <w:tcW w:w="724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本公司对被授权人在本项目中的签名承担全部法律责任。</w:t>
            </w:r>
          </w:p>
        </w:tc>
      </w:tr>
      <w:tr>
        <w:tblPrEx>
          <w:tblCellMar>
            <w:top w:w="0" w:type="dxa"/>
            <w:left w:w="10" w:type="dxa"/>
            <w:bottom w:w="0" w:type="dxa"/>
            <w:right w:w="10" w:type="dxa"/>
          </w:tblCellMar>
        </w:tblPrEx>
        <w:trPr>
          <w:trHeight w:val="522"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授权期限</w:t>
            </w:r>
          </w:p>
        </w:tc>
        <w:tc>
          <w:tcPr>
            <w:tcW w:w="724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本授权书自</w:t>
            </w:r>
            <w:r>
              <w:rPr>
                <w:rFonts w:hint="eastAsia" w:ascii="宋体" w:hAnsi="宋体" w:eastAsia="宋体" w:cs="宋体"/>
                <w:bCs/>
                <w:sz w:val="24"/>
                <w:szCs w:val="24"/>
                <w:highlight w:val="none"/>
              </w:rPr>
              <w:t>磋商</w:t>
            </w:r>
            <w:r>
              <w:rPr>
                <w:rFonts w:hint="eastAsia" w:ascii="宋体" w:hAnsi="宋体" w:eastAsia="宋体" w:cs="宋体"/>
                <w:bCs/>
                <w:caps/>
                <w:sz w:val="24"/>
                <w:szCs w:val="24"/>
                <w:highlight w:val="none"/>
              </w:rPr>
              <w:t>之日起计算有效期为</w:t>
            </w:r>
            <w:r>
              <w:rPr>
                <w:rFonts w:hint="eastAsia" w:ascii="宋体" w:hAnsi="宋体" w:eastAsia="宋体" w:cs="宋体"/>
                <w:bCs/>
                <w:caps/>
                <w:sz w:val="24"/>
                <w:szCs w:val="24"/>
                <w:highlight w:val="none"/>
                <w:u w:val="single"/>
                <w:lang w:val="en-US" w:eastAsia="zh-CN"/>
              </w:rPr>
              <w:t xml:space="preserve">      </w:t>
            </w:r>
            <w:r>
              <w:rPr>
                <w:rFonts w:hint="eastAsia" w:ascii="宋体" w:hAnsi="宋体" w:eastAsia="宋体" w:cs="宋体"/>
                <w:bCs/>
                <w:caps/>
                <w:sz w:val="24"/>
                <w:szCs w:val="24"/>
                <w:highlight w:val="none"/>
              </w:rPr>
              <w:t>天</w:t>
            </w:r>
          </w:p>
        </w:tc>
      </w:tr>
      <w:tr>
        <w:tblPrEx>
          <w:tblCellMar>
            <w:top w:w="0" w:type="dxa"/>
            <w:left w:w="10" w:type="dxa"/>
            <w:bottom w:w="0" w:type="dxa"/>
            <w:right w:w="10" w:type="dxa"/>
          </w:tblCellMar>
        </w:tblPrEx>
        <w:trPr>
          <w:trHeight w:val="560" w:hRule="atLeast"/>
          <w:jc w:val="center"/>
        </w:trPr>
        <w:tc>
          <w:tcPr>
            <w:tcW w:w="150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企业信息</w:t>
            </w:r>
          </w:p>
        </w:tc>
        <w:tc>
          <w:tcPr>
            <w:tcW w:w="253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企 业 名 称</w:t>
            </w:r>
          </w:p>
        </w:tc>
        <w:tc>
          <w:tcPr>
            <w:tcW w:w="6161"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53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 定 地 址</w:t>
            </w:r>
          </w:p>
        </w:tc>
        <w:tc>
          <w:tcPr>
            <w:tcW w:w="6161"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2530"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营业执照注册证号</w:t>
            </w:r>
          </w:p>
        </w:tc>
        <w:tc>
          <w:tcPr>
            <w:tcW w:w="6161"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代表人</w:t>
            </w: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748"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c>
          <w:tcPr>
            <w:tcW w:w="15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性别</w:t>
            </w:r>
          </w:p>
        </w:tc>
        <w:tc>
          <w:tcPr>
            <w:tcW w:w="2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748"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c>
          <w:tcPr>
            <w:tcW w:w="15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w:t>
            </w: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748"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c>
          <w:tcPr>
            <w:tcW w:w="15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性别</w:t>
            </w:r>
          </w:p>
        </w:tc>
        <w:tc>
          <w:tcPr>
            <w:tcW w:w="2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pPr>
          </w:p>
        </w:tc>
        <w:tc>
          <w:tcPr>
            <w:tcW w:w="144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748"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p>
        </w:tc>
        <w:tc>
          <w:tcPr>
            <w:tcW w:w="15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560" w:hRule="atLeast"/>
          <w:jc w:val="center"/>
        </w:trPr>
        <w:tc>
          <w:tcPr>
            <w:tcW w:w="15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通讯地址</w:t>
            </w:r>
          </w:p>
        </w:tc>
        <w:tc>
          <w:tcPr>
            <w:tcW w:w="8691"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rPr>
            </w:pPr>
          </w:p>
        </w:tc>
      </w:tr>
      <w:tr>
        <w:tblPrEx>
          <w:tblCellMar>
            <w:top w:w="0" w:type="dxa"/>
            <w:left w:w="10" w:type="dxa"/>
            <w:bottom w:w="0" w:type="dxa"/>
            <w:right w:w="10" w:type="dxa"/>
          </w:tblCellMar>
        </w:tblPrEx>
        <w:trPr>
          <w:trHeight w:val="3863" w:hRule="atLeast"/>
          <w:jc w:val="center"/>
        </w:trPr>
        <w:tc>
          <w:tcPr>
            <w:tcW w:w="4900"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法定代表人身份证复印件</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tc>
        <w:tc>
          <w:tcPr>
            <w:tcW w:w="5300"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被授权人身份证复印件</w:t>
            </w:r>
          </w:p>
          <w:p>
            <w:pPr>
              <w:pageBreakBefore w:val="0"/>
              <w:tabs>
                <w:tab w:val="right" w:leader="dot" w:pos="9022"/>
              </w:tabs>
              <w:kinsoku/>
              <w:wordWrap/>
              <w:overflowPunct/>
              <w:topLinePunct w:val="0"/>
              <w:bidi w:val="0"/>
              <w:spacing w:line="360" w:lineRule="auto"/>
              <w:jc w:val="center"/>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tc>
      </w:tr>
      <w:tr>
        <w:tblPrEx>
          <w:tblCellMar>
            <w:top w:w="0" w:type="dxa"/>
            <w:left w:w="10" w:type="dxa"/>
            <w:bottom w:w="0" w:type="dxa"/>
            <w:right w:w="10" w:type="dxa"/>
          </w:tblCellMar>
        </w:tblPrEx>
        <w:trPr>
          <w:trHeight w:val="643" w:hRule="atLeast"/>
          <w:jc w:val="center"/>
        </w:trPr>
        <w:tc>
          <w:tcPr>
            <w:tcW w:w="10200" w:type="dxa"/>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ageBreakBefore w:val="0"/>
              <w:tabs>
                <w:tab w:val="right" w:leader="dot" w:pos="9022"/>
              </w:tabs>
              <w:kinsoku/>
              <w:wordWrap/>
              <w:overflowPunct/>
              <w:topLinePunct w:val="0"/>
              <w:bidi w:val="0"/>
              <w:spacing w:line="360" w:lineRule="auto"/>
              <w:jc w:val="left"/>
              <w:textAlignment w:val="auto"/>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w:t>
            </w:r>
            <w:r>
              <w:rPr>
                <w:rFonts w:hint="eastAsia" w:ascii="宋体" w:hAnsi="宋体" w:eastAsia="宋体" w:cs="宋体"/>
                <w:bCs/>
                <w:caps/>
                <w:sz w:val="24"/>
                <w:szCs w:val="24"/>
                <w:highlight w:val="none"/>
                <w:lang w:eastAsia="zh-CN"/>
              </w:rPr>
              <w:t>或</w:t>
            </w:r>
            <w:r>
              <w:rPr>
                <w:rFonts w:hint="eastAsia" w:ascii="宋体" w:hAnsi="宋体" w:eastAsia="宋体" w:cs="宋体"/>
                <w:bCs/>
                <w:caps/>
                <w:sz w:val="24"/>
                <w:szCs w:val="24"/>
                <w:highlight w:val="none"/>
              </w:rPr>
              <w:t>被授权人签字或盖章：</w:t>
            </w:r>
          </w:p>
        </w:tc>
      </w:tr>
    </w:tbl>
    <w:p>
      <w:pPr>
        <w:pageBreakBefore w:val="0"/>
        <w:kinsoku/>
        <w:wordWrap/>
        <w:overflowPunct/>
        <w:topLinePunct w:val="0"/>
        <w:bidi w:val="0"/>
        <w:spacing w:line="360" w:lineRule="auto"/>
        <w:textAlignment w:val="auto"/>
        <w:rPr>
          <w:rFonts w:hint="eastAsia" w:ascii="宋体" w:hAnsi="宋体" w:cs="宋体"/>
          <w:b/>
          <w:color w:val="auto"/>
          <w:sz w:val="22"/>
          <w:szCs w:val="22"/>
        </w:rPr>
      </w:pPr>
      <w:r>
        <w:rPr>
          <w:rFonts w:hint="eastAsia" w:ascii="宋体" w:hAnsi="宋体" w:eastAsia="宋体" w:cs="宋体"/>
          <w:bCs/>
          <w:sz w:val="24"/>
          <w:szCs w:val="24"/>
          <w:highlight w:val="none"/>
        </w:rPr>
        <w:t>供应商名称：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（单位公章）         日 期：</w:t>
      </w:r>
    </w:p>
    <w:p>
      <w:pPr>
        <w:jc w:val="center"/>
        <w:rPr>
          <w:rFonts w:hint="eastAsia" w:ascii="宋体" w:hAnsi="宋体" w:cs="宋体"/>
          <w:b/>
          <w:color w:val="auto"/>
          <w:sz w:val="36"/>
          <w:szCs w:val="36"/>
          <w:lang w:bidi="ar"/>
        </w:rPr>
        <w:sectPr>
          <w:pgSz w:w="11906" w:h="16838"/>
          <w:pgMar w:top="1440" w:right="1423" w:bottom="1440" w:left="1423" w:header="851" w:footer="992" w:gutter="0"/>
          <w:pgNumType w:fmt="decimal"/>
          <w:cols w:space="720" w:num="1"/>
          <w:docGrid w:linePitch="312" w:charSpace="0"/>
        </w:sectPr>
      </w:pPr>
    </w:p>
    <w:p>
      <w:pPr>
        <w:pStyle w:val="4"/>
        <w:spacing w:before="20" w:after="20" w:line="240" w:lineRule="auto"/>
        <w:jc w:val="both"/>
        <w:rPr>
          <w:rFonts w:ascii="宋体" w:hAnsi="宋体" w:eastAsia="宋体"/>
          <w:color w:val="000000"/>
          <w:sz w:val="28"/>
          <w:szCs w:val="28"/>
        </w:rPr>
      </w:pPr>
      <w:bookmarkStart w:id="203" w:name="_Toc451513345"/>
      <w:bookmarkStart w:id="204" w:name="_Toc31264"/>
      <w:bookmarkStart w:id="205" w:name="_Toc505605888"/>
      <w:r>
        <w:rPr>
          <w:rFonts w:hint="eastAsia" w:ascii="宋体" w:hAnsi="宋体" w:eastAsia="宋体"/>
          <w:color w:val="000000"/>
          <w:sz w:val="28"/>
          <w:szCs w:val="28"/>
          <w:lang w:val="en-US" w:eastAsia="zh-CN"/>
        </w:rPr>
        <w:t>4</w:t>
      </w:r>
      <w:r>
        <w:rPr>
          <w:rFonts w:hint="eastAsia" w:ascii="宋体" w:hAnsi="宋体" w:eastAsia="宋体"/>
          <w:color w:val="000000"/>
          <w:sz w:val="28"/>
          <w:szCs w:val="28"/>
        </w:rPr>
        <w:t>.服务</w:t>
      </w:r>
      <w:r>
        <w:rPr>
          <w:rFonts w:ascii="宋体" w:hAnsi="宋体" w:eastAsia="宋体"/>
          <w:color w:val="000000"/>
          <w:sz w:val="28"/>
          <w:szCs w:val="28"/>
        </w:rPr>
        <w:t>响应偏离表（格式）</w:t>
      </w:r>
      <w:bookmarkEnd w:id="203"/>
      <w:bookmarkEnd w:id="204"/>
      <w:bookmarkEnd w:id="205"/>
    </w:p>
    <w:p>
      <w:pPr>
        <w:spacing w:line="480" w:lineRule="exact"/>
        <w:ind w:left="283" w:leftChars="100"/>
        <w:jc w:val="center"/>
        <w:rPr>
          <w:rFonts w:ascii="宋体" w:hAnsi="宋体"/>
          <w:b/>
          <w:bCs/>
          <w:color w:val="000000"/>
          <w:sz w:val="36"/>
          <w:szCs w:val="21"/>
        </w:rPr>
      </w:pPr>
      <w:r>
        <w:rPr>
          <w:rFonts w:hint="eastAsia" w:ascii="宋体" w:hAnsi="宋体"/>
          <w:b/>
          <w:bCs/>
          <w:color w:val="000000"/>
          <w:sz w:val="36"/>
          <w:szCs w:val="21"/>
        </w:rPr>
        <w:t>服务</w:t>
      </w:r>
      <w:r>
        <w:rPr>
          <w:rFonts w:ascii="宋体" w:hAnsi="宋体"/>
          <w:b/>
          <w:bCs/>
          <w:color w:val="000000"/>
          <w:sz w:val="36"/>
          <w:szCs w:val="21"/>
        </w:rPr>
        <w:t>响应偏离表</w:t>
      </w:r>
    </w:p>
    <w:p>
      <w:pPr>
        <w:spacing w:line="480" w:lineRule="exact"/>
        <w:jc w:val="left"/>
        <w:rPr>
          <w:rFonts w:ascii="宋体" w:hAnsi="宋体"/>
          <w:color w:val="000000"/>
          <w:sz w:val="28"/>
          <w:szCs w:val="28"/>
          <w:u w:val="single"/>
        </w:rPr>
      </w:pPr>
      <w:r>
        <w:rPr>
          <w:rFonts w:ascii="宋体" w:hAnsi="宋体"/>
          <w:color w:val="000000"/>
          <w:sz w:val="28"/>
          <w:szCs w:val="28"/>
        </w:rPr>
        <w:t>供应商名称：</w:t>
      </w:r>
      <w:r>
        <w:rPr>
          <w:rFonts w:ascii="宋体" w:hAnsi="宋体"/>
          <w:color w:val="000000"/>
          <w:sz w:val="28"/>
          <w:szCs w:val="28"/>
          <w:u w:val="single"/>
        </w:rPr>
        <w:t xml:space="preserve">                    </w:t>
      </w:r>
      <w:r>
        <w:rPr>
          <w:rFonts w:ascii="宋体" w:hAnsi="宋体"/>
          <w:color w:val="000000"/>
          <w:sz w:val="28"/>
          <w:szCs w:val="28"/>
        </w:rPr>
        <w:t xml:space="preserve">            </w:t>
      </w:r>
      <w:r>
        <w:rPr>
          <w:rFonts w:hint="eastAsia" w:ascii="宋体" w:hAnsi="宋体"/>
          <w:color w:val="000000"/>
          <w:sz w:val="28"/>
          <w:szCs w:val="28"/>
          <w:lang w:eastAsia="zh-CN"/>
        </w:rPr>
        <w:t>项目编号</w:t>
      </w:r>
      <w:r>
        <w:rPr>
          <w:rFonts w:ascii="宋体" w:hAnsi="宋体"/>
          <w:color w:val="000000"/>
          <w:sz w:val="28"/>
          <w:szCs w:val="28"/>
        </w:rPr>
        <w:t>：</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u w:val="single"/>
        </w:rPr>
        <w:t xml:space="preserve"> </w:t>
      </w:r>
    </w:p>
    <w:tbl>
      <w:tblPr>
        <w:tblStyle w:val="25"/>
        <w:tblpPr w:leftFromText="180" w:rightFromText="180" w:vertAnchor="text" w:horzAnchor="page" w:tblpX="1559" w:tblpY="91"/>
        <w:tblOverlap w:val="never"/>
        <w:tblW w:w="889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3196"/>
        <w:gridCol w:w="2569"/>
        <w:gridCol w:w="1177"/>
        <w:gridCol w:w="104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912" w:type="dxa"/>
            <w:noWrap w:val="0"/>
            <w:tcMar>
              <w:top w:w="57" w:type="dxa"/>
              <w:left w:w="28" w:type="dxa"/>
              <w:bottom w:w="57" w:type="dxa"/>
              <w:right w:w="28" w:type="dxa"/>
            </w:tcMar>
            <w:vAlign w:val="center"/>
          </w:tcPr>
          <w:p>
            <w:pPr>
              <w:spacing w:line="360" w:lineRule="exact"/>
              <w:ind w:left="53" w:leftChars="19"/>
              <w:jc w:val="center"/>
              <w:rPr>
                <w:rFonts w:ascii="宋体" w:hAnsi="宋体"/>
                <w:b/>
                <w:color w:val="000000"/>
                <w:sz w:val="28"/>
                <w:szCs w:val="28"/>
              </w:rPr>
            </w:pPr>
            <w:r>
              <w:rPr>
                <w:rFonts w:ascii="宋体" w:hAnsi="宋体"/>
                <w:b/>
                <w:color w:val="000000"/>
                <w:sz w:val="28"/>
                <w:szCs w:val="28"/>
              </w:rPr>
              <w:t>序号</w:t>
            </w:r>
          </w:p>
        </w:tc>
        <w:tc>
          <w:tcPr>
            <w:tcW w:w="3196" w:type="dxa"/>
            <w:noWrap w:val="0"/>
            <w:tcMar>
              <w:top w:w="57" w:type="dxa"/>
              <w:left w:w="28" w:type="dxa"/>
              <w:bottom w:w="57" w:type="dxa"/>
              <w:right w:w="28" w:type="dxa"/>
            </w:tcMar>
            <w:vAlign w:val="center"/>
          </w:tcPr>
          <w:p>
            <w:pPr>
              <w:spacing w:line="360" w:lineRule="exact"/>
              <w:ind w:left="283" w:leftChars="100"/>
              <w:jc w:val="center"/>
              <w:rPr>
                <w:rFonts w:ascii="宋体" w:hAnsi="宋体"/>
                <w:b/>
                <w:color w:val="000000"/>
                <w:sz w:val="28"/>
                <w:szCs w:val="28"/>
              </w:rPr>
            </w:pPr>
            <w:r>
              <w:rPr>
                <w:rFonts w:ascii="宋体" w:hAnsi="宋体"/>
                <w:b/>
                <w:color w:val="000000"/>
                <w:sz w:val="28"/>
                <w:szCs w:val="28"/>
              </w:rPr>
              <w:t>竞争性磋商文件</w:t>
            </w:r>
          </w:p>
          <w:p>
            <w:pPr>
              <w:spacing w:line="360" w:lineRule="exact"/>
              <w:ind w:left="283" w:leftChars="100"/>
              <w:jc w:val="center"/>
              <w:rPr>
                <w:rFonts w:hint="eastAsia" w:ascii="宋体" w:hAnsi="宋体"/>
                <w:b/>
                <w:color w:val="000000"/>
                <w:sz w:val="28"/>
                <w:szCs w:val="28"/>
              </w:rPr>
            </w:pPr>
            <w:r>
              <w:rPr>
                <w:rFonts w:hint="eastAsia" w:ascii="宋体" w:hAnsi="宋体"/>
                <w:b/>
                <w:color w:val="000000"/>
                <w:sz w:val="28"/>
                <w:szCs w:val="28"/>
              </w:rPr>
              <w:t>服务要求</w:t>
            </w:r>
          </w:p>
        </w:tc>
        <w:tc>
          <w:tcPr>
            <w:tcW w:w="2569" w:type="dxa"/>
            <w:noWrap w:val="0"/>
            <w:tcMar>
              <w:top w:w="57" w:type="dxa"/>
              <w:left w:w="28" w:type="dxa"/>
              <w:bottom w:w="57" w:type="dxa"/>
              <w:right w:w="28" w:type="dxa"/>
            </w:tcMar>
            <w:vAlign w:val="center"/>
          </w:tcPr>
          <w:p>
            <w:pPr>
              <w:spacing w:line="360" w:lineRule="exact"/>
              <w:jc w:val="center"/>
              <w:rPr>
                <w:rFonts w:hint="eastAsia" w:ascii="宋体" w:hAnsi="宋体"/>
                <w:b/>
                <w:color w:val="000000"/>
                <w:sz w:val="28"/>
                <w:szCs w:val="28"/>
              </w:rPr>
            </w:pPr>
            <w:r>
              <w:rPr>
                <w:rFonts w:ascii="宋体" w:hAnsi="宋体"/>
                <w:b/>
                <w:color w:val="000000"/>
                <w:sz w:val="28"/>
                <w:szCs w:val="28"/>
              </w:rPr>
              <w:t>磋商响应文件</w:t>
            </w:r>
            <w:r>
              <w:rPr>
                <w:rFonts w:hint="eastAsia" w:ascii="宋体" w:hAnsi="宋体"/>
                <w:b/>
                <w:color w:val="000000"/>
                <w:sz w:val="28"/>
                <w:szCs w:val="28"/>
              </w:rPr>
              <w:t>服务要求响应</w:t>
            </w:r>
          </w:p>
        </w:tc>
        <w:tc>
          <w:tcPr>
            <w:tcW w:w="1177" w:type="dxa"/>
            <w:noWrap w:val="0"/>
            <w:tcMar>
              <w:top w:w="57" w:type="dxa"/>
              <w:left w:w="28" w:type="dxa"/>
              <w:bottom w:w="57" w:type="dxa"/>
              <w:right w:w="28" w:type="dxa"/>
            </w:tcMar>
            <w:vAlign w:val="center"/>
          </w:tcPr>
          <w:p>
            <w:pPr>
              <w:spacing w:line="360" w:lineRule="exact"/>
              <w:jc w:val="center"/>
              <w:rPr>
                <w:rFonts w:hint="eastAsia" w:ascii="宋体" w:hAnsi="宋体"/>
                <w:b/>
                <w:color w:val="000000"/>
                <w:sz w:val="28"/>
                <w:szCs w:val="28"/>
              </w:rPr>
            </w:pPr>
            <w:r>
              <w:rPr>
                <w:rFonts w:ascii="宋体" w:hAnsi="宋体"/>
                <w:b/>
                <w:color w:val="000000"/>
                <w:sz w:val="28"/>
                <w:szCs w:val="28"/>
              </w:rPr>
              <w:t>偏离</w:t>
            </w:r>
          </w:p>
          <w:p>
            <w:pPr>
              <w:spacing w:line="360" w:lineRule="exact"/>
              <w:jc w:val="center"/>
              <w:rPr>
                <w:rFonts w:ascii="宋体" w:hAnsi="宋体"/>
                <w:b/>
                <w:color w:val="000000"/>
                <w:sz w:val="28"/>
                <w:szCs w:val="28"/>
              </w:rPr>
            </w:pPr>
            <w:r>
              <w:rPr>
                <w:rFonts w:ascii="宋体" w:hAnsi="宋体"/>
                <w:b/>
                <w:color w:val="000000"/>
                <w:sz w:val="28"/>
                <w:szCs w:val="28"/>
              </w:rPr>
              <w:t>情况</w:t>
            </w:r>
          </w:p>
        </w:tc>
        <w:tc>
          <w:tcPr>
            <w:tcW w:w="1044" w:type="dxa"/>
            <w:noWrap w:val="0"/>
            <w:tcMar>
              <w:top w:w="57" w:type="dxa"/>
              <w:left w:w="28" w:type="dxa"/>
              <w:bottom w:w="57" w:type="dxa"/>
              <w:right w:w="28" w:type="dxa"/>
            </w:tcMar>
            <w:vAlign w:val="center"/>
          </w:tcPr>
          <w:p>
            <w:pPr>
              <w:spacing w:line="360" w:lineRule="exact"/>
              <w:jc w:val="center"/>
              <w:rPr>
                <w:rFonts w:ascii="宋体" w:hAnsi="宋体"/>
                <w:b/>
                <w:color w:val="000000"/>
                <w:sz w:val="28"/>
                <w:szCs w:val="28"/>
              </w:rPr>
            </w:pPr>
            <w:r>
              <w:rPr>
                <w:rFonts w:ascii="宋体" w:hAnsi="宋体"/>
                <w:b/>
                <w:color w:val="000000"/>
                <w:sz w:val="28"/>
                <w:szCs w:val="28"/>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912" w:type="dxa"/>
            <w:tcBorders>
              <w:bottom w:val="single" w:color="auto" w:sz="4" w:space="0"/>
            </w:tcBorders>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3196" w:type="dxa"/>
            <w:tcBorders>
              <w:bottom w:val="single" w:color="auto" w:sz="4" w:space="0"/>
            </w:tcBorders>
            <w:noWrap w:val="0"/>
            <w:tcMar>
              <w:top w:w="57" w:type="dxa"/>
              <w:left w:w="28" w:type="dxa"/>
              <w:bottom w:w="57" w:type="dxa"/>
              <w:right w:w="28" w:type="dxa"/>
            </w:tcMar>
            <w:vAlign w:val="top"/>
          </w:tcPr>
          <w:p>
            <w:pPr>
              <w:spacing w:line="480" w:lineRule="exact"/>
              <w:ind w:left="283" w:leftChars="100"/>
              <w:rPr>
                <w:rFonts w:ascii="宋体" w:hAnsi="宋体"/>
                <w:color w:val="000000"/>
                <w:sz w:val="28"/>
                <w:szCs w:val="28"/>
              </w:rPr>
            </w:pPr>
          </w:p>
        </w:tc>
        <w:tc>
          <w:tcPr>
            <w:tcW w:w="2569" w:type="dxa"/>
            <w:tcBorders>
              <w:bottom w:val="single" w:color="auto" w:sz="4" w:space="0"/>
            </w:tcBorders>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1177" w:type="dxa"/>
            <w:tcBorders>
              <w:bottom w:val="single" w:color="auto" w:sz="4" w:space="0"/>
            </w:tcBorders>
            <w:noWrap w:val="0"/>
            <w:tcMar>
              <w:top w:w="57" w:type="dxa"/>
              <w:left w:w="28" w:type="dxa"/>
              <w:bottom w:w="57" w:type="dxa"/>
              <w:right w:w="28" w:type="dxa"/>
            </w:tcMar>
            <w:vAlign w:val="center"/>
          </w:tcPr>
          <w:p>
            <w:pPr>
              <w:spacing w:line="480" w:lineRule="exact"/>
              <w:rPr>
                <w:rFonts w:ascii="宋体" w:hAnsi="宋体"/>
                <w:color w:val="000000"/>
                <w:sz w:val="28"/>
                <w:szCs w:val="28"/>
              </w:rPr>
            </w:pPr>
          </w:p>
        </w:tc>
        <w:tc>
          <w:tcPr>
            <w:tcW w:w="1044" w:type="dxa"/>
            <w:tcBorders>
              <w:bottom w:val="single" w:color="auto" w:sz="4" w:space="0"/>
            </w:tcBorders>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12"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3196" w:type="dxa"/>
            <w:noWrap w:val="0"/>
            <w:tcMar>
              <w:top w:w="57" w:type="dxa"/>
              <w:left w:w="28" w:type="dxa"/>
              <w:bottom w:w="57" w:type="dxa"/>
              <w:right w:w="28" w:type="dxa"/>
            </w:tcMar>
            <w:vAlign w:val="top"/>
          </w:tcPr>
          <w:p>
            <w:pPr>
              <w:spacing w:line="480" w:lineRule="exact"/>
              <w:ind w:left="283" w:leftChars="100"/>
              <w:rPr>
                <w:rFonts w:ascii="宋体" w:hAnsi="宋体"/>
                <w:color w:val="000000"/>
                <w:sz w:val="28"/>
                <w:szCs w:val="28"/>
              </w:rPr>
            </w:pPr>
          </w:p>
        </w:tc>
        <w:tc>
          <w:tcPr>
            <w:tcW w:w="2569"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1177" w:type="dxa"/>
            <w:noWrap w:val="0"/>
            <w:tcMar>
              <w:top w:w="57" w:type="dxa"/>
              <w:left w:w="28" w:type="dxa"/>
              <w:bottom w:w="57" w:type="dxa"/>
              <w:right w:w="28" w:type="dxa"/>
            </w:tcMar>
            <w:vAlign w:val="center"/>
          </w:tcPr>
          <w:p>
            <w:pPr>
              <w:spacing w:line="480" w:lineRule="exact"/>
              <w:rPr>
                <w:rFonts w:ascii="宋体" w:hAnsi="宋体"/>
                <w:color w:val="000000"/>
                <w:sz w:val="28"/>
                <w:szCs w:val="28"/>
              </w:rPr>
            </w:pPr>
          </w:p>
        </w:tc>
        <w:tc>
          <w:tcPr>
            <w:tcW w:w="1044"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12"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3196" w:type="dxa"/>
            <w:noWrap w:val="0"/>
            <w:tcMar>
              <w:top w:w="57" w:type="dxa"/>
              <w:left w:w="28" w:type="dxa"/>
              <w:bottom w:w="57" w:type="dxa"/>
              <w:right w:w="28" w:type="dxa"/>
            </w:tcMar>
            <w:vAlign w:val="top"/>
          </w:tcPr>
          <w:p>
            <w:pPr>
              <w:spacing w:line="480" w:lineRule="exact"/>
              <w:ind w:left="283" w:leftChars="100"/>
              <w:rPr>
                <w:rFonts w:ascii="宋体" w:hAnsi="宋体"/>
                <w:color w:val="000000"/>
                <w:sz w:val="28"/>
                <w:szCs w:val="28"/>
              </w:rPr>
            </w:pPr>
          </w:p>
        </w:tc>
        <w:tc>
          <w:tcPr>
            <w:tcW w:w="2569"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1177" w:type="dxa"/>
            <w:noWrap w:val="0"/>
            <w:tcMar>
              <w:top w:w="57" w:type="dxa"/>
              <w:left w:w="28" w:type="dxa"/>
              <w:bottom w:w="57" w:type="dxa"/>
              <w:right w:w="28" w:type="dxa"/>
            </w:tcMar>
            <w:vAlign w:val="center"/>
          </w:tcPr>
          <w:p>
            <w:pPr>
              <w:spacing w:line="480" w:lineRule="exact"/>
              <w:rPr>
                <w:rFonts w:ascii="宋体" w:hAnsi="宋体"/>
                <w:color w:val="000000"/>
                <w:sz w:val="28"/>
                <w:szCs w:val="28"/>
              </w:rPr>
            </w:pPr>
          </w:p>
        </w:tc>
        <w:tc>
          <w:tcPr>
            <w:tcW w:w="1044"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12"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3196" w:type="dxa"/>
            <w:noWrap w:val="0"/>
            <w:tcMar>
              <w:top w:w="57" w:type="dxa"/>
              <w:left w:w="28" w:type="dxa"/>
              <w:bottom w:w="57" w:type="dxa"/>
              <w:right w:w="28" w:type="dxa"/>
            </w:tcMar>
            <w:vAlign w:val="top"/>
          </w:tcPr>
          <w:p>
            <w:pPr>
              <w:spacing w:line="480" w:lineRule="exact"/>
              <w:ind w:left="283" w:leftChars="100"/>
              <w:rPr>
                <w:rFonts w:ascii="宋体" w:hAnsi="宋体"/>
                <w:color w:val="000000"/>
                <w:sz w:val="28"/>
                <w:szCs w:val="28"/>
              </w:rPr>
            </w:pPr>
          </w:p>
        </w:tc>
        <w:tc>
          <w:tcPr>
            <w:tcW w:w="2569"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1177" w:type="dxa"/>
            <w:noWrap w:val="0"/>
            <w:tcMar>
              <w:top w:w="57" w:type="dxa"/>
              <w:left w:w="28" w:type="dxa"/>
              <w:bottom w:w="57" w:type="dxa"/>
              <w:right w:w="28" w:type="dxa"/>
            </w:tcMar>
            <w:vAlign w:val="center"/>
          </w:tcPr>
          <w:p>
            <w:pPr>
              <w:spacing w:line="480" w:lineRule="exact"/>
              <w:rPr>
                <w:rFonts w:ascii="宋体" w:hAnsi="宋体"/>
                <w:color w:val="000000"/>
                <w:sz w:val="28"/>
                <w:szCs w:val="28"/>
              </w:rPr>
            </w:pPr>
          </w:p>
        </w:tc>
        <w:tc>
          <w:tcPr>
            <w:tcW w:w="1044"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912"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3196" w:type="dxa"/>
            <w:noWrap w:val="0"/>
            <w:tcMar>
              <w:top w:w="57" w:type="dxa"/>
              <w:left w:w="28" w:type="dxa"/>
              <w:bottom w:w="57" w:type="dxa"/>
              <w:right w:w="28" w:type="dxa"/>
            </w:tcMar>
            <w:vAlign w:val="top"/>
          </w:tcPr>
          <w:p>
            <w:pPr>
              <w:spacing w:line="480" w:lineRule="exact"/>
              <w:ind w:left="283" w:leftChars="100"/>
              <w:rPr>
                <w:rFonts w:ascii="宋体" w:hAnsi="宋体"/>
                <w:color w:val="000000"/>
                <w:sz w:val="28"/>
                <w:szCs w:val="28"/>
              </w:rPr>
            </w:pPr>
          </w:p>
        </w:tc>
        <w:tc>
          <w:tcPr>
            <w:tcW w:w="2569"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c>
          <w:tcPr>
            <w:tcW w:w="1177" w:type="dxa"/>
            <w:noWrap w:val="0"/>
            <w:tcMar>
              <w:top w:w="57" w:type="dxa"/>
              <w:left w:w="28" w:type="dxa"/>
              <w:bottom w:w="57" w:type="dxa"/>
              <w:right w:w="28" w:type="dxa"/>
            </w:tcMar>
            <w:vAlign w:val="center"/>
          </w:tcPr>
          <w:p>
            <w:pPr>
              <w:spacing w:line="480" w:lineRule="exact"/>
              <w:rPr>
                <w:rFonts w:ascii="宋体" w:hAnsi="宋体"/>
                <w:color w:val="000000"/>
                <w:sz w:val="28"/>
                <w:szCs w:val="28"/>
              </w:rPr>
            </w:pPr>
          </w:p>
        </w:tc>
        <w:tc>
          <w:tcPr>
            <w:tcW w:w="1044" w:type="dxa"/>
            <w:noWrap w:val="0"/>
            <w:tcMar>
              <w:top w:w="57" w:type="dxa"/>
              <w:left w:w="28" w:type="dxa"/>
              <w:bottom w:w="57" w:type="dxa"/>
              <w:right w:w="28" w:type="dxa"/>
            </w:tcMar>
            <w:vAlign w:val="center"/>
          </w:tcPr>
          <w:p>
            <w:pPr>
              <w:spacing w:line="480" w:lineRule="exact"/>
              <w:ind w:left="283" w:leftChars="100"/>
              <w:rPr>
                <w:rFonts w:ascii="宋体" w:hAnsi="宋体"/>
                <w:color w:val="000000"/>
                <w:sz w:val="28"/>
                <w:szCs w:val="28"/>
              </w:rPr>
            </w:pPr>
          </w:p>
        </w:tc>
      </w:tr>
    </w:tbl>
    <w:p>
      <w:pPr>
        <w:spacing w:line="480" w:lineRule="exact"/>
        <w:rPr>
          <w:rFonts w:hint="eastAsia" w:ascii="宋体" w:hAnsi="宋体"/>
          <w:color w:val="000000"/>
          <w:szCs w:val="24"/>
        </w:rPr>
      </w:pPr>
      <w:r>
        <w:rPr>
          <w:rFonts w:ascii="宋体" w:hAnsi="宋体"/>
          <w:color w:val="000000"/>
          <w:szCs w:val="24"/>
        </w:rPr>
        <w:t>注：如有漏报、瞒报竞争性磋商文件所要求的</w:t>
      </w:r>
      <w:r>
        <w:rPr>
          <w:rFonts w:hint="eastAsia" w:ascii="宋体" w:hAnsi="宋体"/>
          <w:color w:val="000000"/>
          <w:szCs w:val="24"/>
        </w:rPr>
        <w:t>技术</w:t>
      </w:r>
      <w:r>
        <w:rPr>
          <w:rFonts w:ascii="宋体" w:hAnsi="宋体"/>
          <w:color w:val="000000"/>
          <w:szCs w:val="24"/>
        </w:rPr>
        <w:t>指标等将视为没有实质性响应竞争性磋商文件。</w:t>
      </w:r>
    </w:p>
    <w:p>
      <w:pPr>
        <w:spacing w:line="480" w:lineRule="exact"/>
        <w:jc w:val="left"/>
        <w:rPr>
          <w:rFonts w:ascii="宋体" w:hAnsi="宋体"/>
          <w:color w:val="000000"/>
          <w:u w:val="single"/>
        </w:rPr>
      </w:pPr>
      <w:r>
        <w:rPr>
          <w:rFonts w:hint="eastAsia" w:ascii="宋体" w:hAnsi="宋体"/>
          <w:color w:val="000000"/>
        </w:rPr>
        <w:t>法定代表人或被</w:t>
      </w:r>
      <w:r>
        <w:rPr>
          <w:rFonts w:ascii="宋体" w:hAnsi="宋体"/>
          <w:color w:val="000000"/>
        </w:rPr>
        <w:t>授权</w:t>
      </w:r>
      <w:r>
        <w:rPr>
          <w:rFonts w:hint="eastAsia" w:ascii="宋体" w:hAnsi="宋体"/>
          <w:color w:val="000000"/>
        </w:rPr>
        <w:t>人</w:t>
      </w:r>
      <w:r>
        <w:rPr>
          <w:rFonts w:ascii="宋体" w:hAnsi="宋体"/>
          <w:color w:val="000000"/>
        </w:rPr>
        <w:t>签字：</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（单位公章）             日 期：</w:t>
      </w:r>
      <w:r>
        <w:rPr>
          <w:rFonts w:ascii="宋体" w:hAnsi="宋体"/>
          <w:color w:val="000000"/>
          <w:u w:val="single"/>
        </w:rPr>
        <w:t xml:space="preserve">            </w:t>
      </w:r>
    </w:p>
    <w:p>
      <w:pPr>
        <w:rPr>
          <w:rFonts w:hint="eastAsia"/>
        </w:rPr>
      </w:pPr>
    </w:p>
    <w:p>
      <w:pPr>
        <w:rPr>
          <w:rFonts w:hint="eastAsia" w:ascii="宋体" w:hAnsi="宋体" w:eastAsia="宋体" w:cs="宋体"/>
          <w:sz w:val="28"/>
          <w:szCs w:val="28"/>
          <w:lang w:val="en-US" w:eastAsia="zh-CN"/>
        </w:rPr>
      </w:pPr>
      <w:bookmarkStart w:id="206" w:name="_Toc28915"/>
      <w:r>
        <w:rPr>
          <w:rFonts w:hint="eastAsia" w:ascii="宋体" w:hAnsi="宋体" w:eastAsia="宋体" w:cs="宋体"/>
          <w:sz w:val="28"/>
          <w:szCs w:val="28"/>
          <w:lang w:val="en-US" w:eastAsia="zh-CN"/>
        </w:rPr>
        <w:br w:type="page"/>
      </w:r>
    </w:p>
    <w:p>
      <w:pPr>
        <w:pStyle w:val="4"/>
        <w:spacing w:before="0" w:after="0" w:line="50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w:t>
      </w:r>
      <w:r>
        <w:rPr>
          <w:rFonts w:hint="eastAsia" w:ascii="Times New Roman" w:hAnsi="Times New Roman" w:eastAsia="宋体"/>
          <w:sz w:val="28"/>
        </w:rPr>
        <w:t>商务</w:t>
      </w:r>
      <w:r>
        <w:rPr>
          <w:rFonts w:hint="eastAsia" w:ascii="宋体" w:hAnsi="宋体" w:eastAsia="宋体" w:cs="宋体"/>
          <w:sz w:val="28"/>
          <w:szCs w:val="28"/>
        </w:rPr>
        <w:t>条款响应偏离表（格式）</w:t>
      </w:r>
      <w:bookmarkEnd w:id="206"/>
    </w:p>
    <w:p>
      <w:pPr>
        <w:spacing w:line="500" w:lineRule="exact"/>
        <w:ind w:left="283" w:leftChars="100"/>
        <w:jc w:val="center"/>
        <w:rPr>
          <w:rFonts w:hint="eastAsia" w:ascii="宋体" w:hAnsi="宋体" w:cs="宋体"/>
          <w:b/>
          <w:bCs/>
          <w:sz w:val="36"/>
          <w:szCs w:val="21"/>
        </w:rPr>
      </w:pPr>
      <w:r>
        <w:rPr>
          <w:rFonts w:hint="eastAsia" w:ascii="宋体" w:hAnsi="宋体" w:cs="宋体"/>
          <w:b/>
          <w:bCs/>
          <w:sz w:val="36"/>
          <w:szCs w:val="21"/>
        </w:rPr>
        <w:t>商务条款响应偏离表</w:t>
      </w:r>
    </w:p>
    <w:p>
      <w:pPr>
        <w:spacing w:line="500" w:lineRule="exact"/>
        <w:rPr>
          <w:rFonts w:hint="eastAsia" w:ascii="宋体" w:hAnsi="宋体" w:cs="宋体"/>
          <w:sz w:val="28"/>
          <w:szCs w:val="28"/>
          <w:u w:val="single"/>
        </w:rPr>
      </w:pPr>
      <w:r>
        <w:rPr>
          <w:rFonts w:hint="eastAsia" w:ascii="宋体" w:hAnsi="宋体" w:cs="宋体"/>
          <w:sz w:val="28"/>
          <w:szCs w:val="28"/>
        </w:rPr>
        <w:t>供应商名称：</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lang w:eastAsia="zh-CN"/>
        </w:rPr>
        <w:t>项目编号</w:t>
      </w:r>
      <w:r>
        <w:rPr>
          <w:rFonts w:hint="eastAsia" w:ascii="宋体" w:hAnsi="宋体" w:cs="宋体"/>
          <w:sz w:val="28"/>
          <w:szCs w:val="28"/>
        </w:rPr>
        <w:t>：</w:t>
      </w:r>
      <w:r>
        <w:rPr>
          <w:rFonts w:hint="eastAsia" w:ascii="宋体" w:hAnsi="宋体" w:cs="宋体"/>
          <w:sz w:val="28"/>
          <w:szCs w:val="28"/>
          <w:u w:val="single"/>
        </w:rPr>
        <w:t xml:space="preserve">             </w:t>
      </w:r>
    </w:p>
    <w:tbl>
      <w:tblPr>
        <w:tblStyle w:val="25"/>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130" w:leftChars="-46"/>
              <w:jc w:val="center"/>
              <w:rPr>
                <w:rFonts w:hint="eastAsia" w:ascii="宋体" w:hAnsi="宋体" w:cs="宋体"/>
                <w:b/>
                <w:sz w:val="28"/>
                <w:szCs w:val="28"/>
              </w:rPr>
            </w:pPr>
            <w:r>
              <w:rPr>
                <w:rFonts w:hint="eastAsia" w:ascii="宋体" w:hAnsi="宋体" w:cs="宋体"/>
                <w:b/>
                <w:sz w:val="28"/>
                <w:szCs w:val="28"/>
              </w:rPr>
              <w:t>序号</w:t>
            </w:r>
          </w:p>
        </w:tc>
        <w:tc>
          <w:tcPr>
            <w:tcW w:w="2950" w:type="dxa"/>
            <w:noWrap w:val="0"/>
            <w:tcMar>
              <w:top w:w="57" w:type="dxa"/>
              <w:left w:w="28" w:type="dxa"/>
              <w:bottom w:w="57" w:type="dxa"/>
              <w:right w:w="28" w:type="dxa"/>
            </w:tcMar>
            <w:vAlign w:val="center"/>
          </w:tcPr>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磋商文件</w:t>
            </w:r>
          </w:p>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商务要求</w:t>
            </w:r>
          </w:p>
        </w:tc>
        <w:tc>
          <w:tcPr>
            <w:tcW w:w="2379" w:type="dxa"/>
            <w:noWrap w:val="0"/>
            <w:tcMar>
              <w:top w:w="57" w:type="dxa"/>
              <w:left w:w="28" w:type="dxa"/>
              <w:bottom w:w="57" w:type="dxa"/>
              <w:right w:w="28" w:type="dxa"/>
            </w:tcMar>
            <w:vAlign w:val="center"/>
          </w:tcPr>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磋商响应文件</w:t>
            </w:r>
          </w:p>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商务响应</w:t>
            </w:r>
          </w:p>
        </w:tc>
        <w:tc>
          <w:tcPr>
            <w:tcW w:w="1650" w:type="dxa"/>
            <w:noWrap w:val="0"/>
            <w:tcMar>
              <w:top w:w="57" w:type="dxa"/>
              <w:left w:w="28" w:type="dxa"/>
              <w:bottom w:w="57" w:type="dxa"/>
              <w:right w:w="28" w:type="dxa"/>
            </w:tcMar>
            <w:vAlign w:val="center"/>
          </w:tcPr>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偏离情况</w:t>
            </w:r>
          </w:p>
        </w:tc>
        <w:tc>
          <w:tcPr>
            <w:tcW w:w="1438" w:type="dxa"/>
            <w:noWrap w:val="0"/>
            <w:vAlign w:val="center"/>
          </w:tcPr>
          <w:p>
            <w:pPr>
              <w:spacing w:line="500" w:lineRule="exact"/>
              <w:ind w:left="283" w:leftChars="100"/>
              <w:jc w:val="center"/>
              <w:rPr>
                <w:rFonts w:hint="eastAsia" w:ascii="宋体" w:hAnsi="宋体" w:cs="宋体"/>
                <w:b/>
                <w:sz w:val="28"/>
                <w:szCs w:val="28"/>
              </w:rPr>
            </w:pPr>
            <w:r>
              <w:rPr>
                <w:rFonts w:hint="eastAsia" w:ascii="宋体" w:hAnsi="宋体" w:cs="宋体"/>
                <w:b/>
                <w:sz w:val="28"/>
                <w:szCs w:val="28"/>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tcBorders>
              <w:bottom w:val="single" w:color="auto" w:sz="4" w:space="0"/>
            </w:tcBorders>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tcBorders>
              <w:bottom w:val="single" w:color="auto" w:sz="4" w:space="0"/>
            </w:tcBorders>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tcBorders>
              <w:bottom w:val="single" w:color="auto" w:sz="4" w:space="0"/>
            </w:tcBorders>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9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2379"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650" w:type="dxa"/>
            <w:noWrap w:val="0"/>
            <w:tcMar>
              <w:top w:w="57" w:type="dxa"/>
              <w:left w:w="28" w:type="dxa"/>
              <w:bottom w:w="57" w:type="dxa"/>
              <w:right w:w="28" w:type="dxa"/>
            </w:tcMar>
            <w:vAlign w:val="center"/>
          </w:tcPr>
          <w:p>
            <w:pPr>
              <w:spacing w:line="500" w:lineRule="exact"/>
              <w:ind w:left="283" w:leftChars="100"/>
              <w:rPr>
                <w:rFonts w:hint="eastAsia" w:ascii="宋体" w:hAnsi="宋体" w:cs="宋体"/>
                <w:sz w:val="28"/>
                <w:szCs w:val="28"/>
              </w:rPr>
            </w:pPr>
          </w:p>
        </w:tc>
        <w:tc>
          <w:tcPr>
            <w:tcW w:w="1438" w:type="dxa"/>
            <w:noWrap w:val="0"/>
            <w:vAlign w:val="center"/>
          </w:tcPr>
          <w:p>
            <w:pPr>
              <w:spacing w:line="500" w:lineRule="exact"/>
              <w:ind w:left="283" w:leftChars="100"/>
              <w:rPr>
                <w:rFonts w:hint="eastAsia" w:ascii="宋体" w:hAnsi="宋体" w:cs="宋体"/>
                <w:sz w:val="28"/>
                <w:szCs w:val="28"/>
              </w:rPr>
            </w:pPr>
          </w:p>
        </w:tc>
      </w:tr>
    </w:tbl>
    <w:p>
      <w:pPr>
        <w:spacing w:line="500" w:lineRule="exact"/>
        <w:ind w:left="283" w:leftChars="100"/>
        <w:rPr>
          <w:rFonts w:hint="eastAsia" w:ascii="宋体" w:hAnsi="宋体" w:cs="宋体"/>
          <w:szCs w:val="21"/>
        </w:rPr>
      </w:pPr>
      <w:r>
        <w:rPr>
          <w:rFonts w:hint="eastAsia" w:ascii="宋体" w:hAnsi="宋体" w:cs="宋体"/>
          <w:szCs w:val="21"/>
        </w:rPr>
        <w:t>注：如有漏报、瞒报竞争性磋商文件所要求的性能指标等将视为没有实质性响应竞争性磋商文件</w:t>
      </w:r>
    </w:p>
    <w:p>
      <w:pPr>
        <w:spacing w:line="500" w:lineRule="exact"/>
        <w:jc w:val="left"/>
        <w:rPr>
          <w:rFonts w:hint="eastAsia" w:ascii="宋体" w:hAnsi="宋体" w:cs="宋体"/>
          <w:kern w:val="0"/>
        </w:rPr>
      </w:pPr>
      <w:r>
        <w:rPr>
          <w:rFonts w:hint="eastAsia" w:ascii="宋体" w:hAnsi="宋体" w:cs="宋体"/>
        </w:rPr>
        <w:t>法定代表人或被授权人签字：</w:t>
      </w:r>
      <w:r>
        <w:rPr>
          <w:rFonts w:hint="eastAsia" w:ascii="宋体" w:hAnsi="宋体" w:cs="宋体"/>
          <w:u w:val="single"/>
        </w:rPr>
        <w:t xml:space="preserve">             </w:t>
      </w:r>
      <w:r>
        <w:rPr>
          <w:rFonts w:hint="eastAsia" w:ascii="宋体" w:hAnsi="宋体" w:cs="宋体"/>
        </w:rPr>
        <w:t>（单位公章）         日期：</w:t>
      </w:r>
      <w:r>
        <w:rPr>
          <w:rFonts w:hint="eastAsia" w:ascii="宋体" w:hAnsi="宋体" w:cs="宋体"/>
          <w:u w:val="single"/>
        </w:rPr>
        <w:t xml:space="preserve">             </w:t>
      </w: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13"/>
        <w:jc w:val="center"/>
        <w:rPr>
          <w:rFonts w:hint="eastAsia" w:ascii="宋体" w:hAnsi="宋体" w:cs="宋体"/>
          <w:color w:val="auto"/>
          <w:sz w:val="22"/>
          <w:szCs w:val="22"/>
          <w:lang w:bidi="ar"/>
        </w:rPr>
      </w:pPr>
    </w:p>
    <w:p>
      <w:pPr>
        <w:pStyle w:val="4"/>
        <w:pageBreakBefore w:val="0"/>
        <w:kinsoku/>
        <w:wordWrap/>
        <w:overflowPunct/>
        <w:topLinePunct w:val="0"/>
        <w:bidi w:val="0"/>
        <w:spacing w:before="0" w:after="0" w:line="360" w:lineRule="auto"/>
        <w:jc w:val="both"/>
        <w:textAlignment w:val="auto"/>
        <w:rPr>
          <w:rFonts w:hint="eastAsia" w:ascii="宋体" w:hAnsi="宋体" w:eastAsia="宋体" w:cs="宋体"/>
          <w:sz w:val="28"/>
          <w:szCs w:val="28"/>
          <w:highlight w:val="none"/>
        </w:rPr>
      </w:pPr>
      <w:bookmarkStart w:id="207" w:name="_Toc5888420"/>
      <w:bookmarkStart w:id="208" w:name="_Toc30159"/>
      <w:bookmarkStart w:id="209" w:name="_Toc4747"/>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资格证明文件</w:t>
      </w:r>
      <w:bookmarkEnd w:id="207"/>
      <w:bookmarkEnd w:id="208"/>
      <w:bookmarkEnd w:id="209"/>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Hans"/>
        </w:rPr>
        <w:t>（1）</w:t>
      </w:r>
      <w:r>
        <w:rPr>
          <w:rFonts w:hint="eastAsia" w:ascii="宋体" w:hAnsi="宋体" w:eastAsia="宋体" w:cs="宋体"/>
          <w:sz w:val="28"/>
          <w:szCs w:val="28"/>
          <w:highlight w:val="none"/>
        </w:rPr>
        <w:t>具有独立承担民事责任能力的法人、其他组织或自然人，并出具合法有效的统一社会信用代码的营业执照或事业单位法人证书等国家规定的相关证明,自然人参与的提供其身份证明；</w:t>
      </w:r>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Hans"/>
        </w:rPr>
        <w:t>（2）供应商须具备工程监理综合资质或市政公用工程监理</w:t>
      </w:r>
      <w:r>
        <w:rPr>
          <w:rFonts w:hint="eastAsia" w:ascii="宋体" w:hAnsi="宋体" w:cs="宋体"/>
          <w:sz w:val="28"/>
          <w:szCs w:val="28"/>
          <w:highlight w:val="none"/>
          <w:lang w:val="en-US" w:eastAsia="zh-CN"/>
        </w:rPr>
        <w:t>乙级</w:t>
      </w:r>
      <w:r>
        <w:rPr>
          <w:rFonts w:hint="eastAsia" w:ascii="宋体" w:hAnsi="宋体" w:eastAsia="宋体" w:cs="宋体"/>
          <w:sz w:val="28"/>
          <w:szCs w:val="28"/>
          <w:highlight w:val="none"/>
          <w:lang w:val="en-US" w:eastAsia="zh-Hans"/>
        </w:rPr>
        <w:t>及以上资质；拟派项目总监理工程师须具备国家注册市政公用工程监理工程师执业资格并在本单位注册，且无在监工程（提供无在监承诺书）；</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）财务状况：提供2024年度或2025年度经审计的财务审计报告(成立时间至提交响应文件截止时间不足一年的可提供成立后任意时段的资产负债表)，或其开标前六个月内基本存款账户开户银行出具的资信证明；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）完税证明：提供2025年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月至今已缴纳的至少三个月的纳税证明或完税证明，依法免税的单位应提供相关证明材料；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）社保缴纳情况：提供2025年</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月至今已缴存的至少三个月的社会保障资金缴存单据或社保机构开具的社会保险参保缴费情况证明,依法不需要缴纳社会保障资金的单位应提供相关证明材料；</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）参加本次政府采购活动前三年内，在经营活动中没有重大违法记录声明；</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rPr>
        <w:t>）法定代表人授权书（附法定代表人身份证复印件）及被授权人身份证复印件（法定代表人直接参加磋商只需提供法定代表人身份证复印件加盖公章）；</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不得为“信用中国、中国执行信息公开网”网站中列入失信被执行人和重大税收违法失信主体的供应商，不得为中国政府采购网（www.ccgp.gov.cn）政府采购严重违法失信行为记录名单中被财政部门禁止参加政府采购活动的供应商；</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rPr>
        <w:t>）磋商担保：须提供磋商保证金交纳凭证（银行汇（存）款回执单）或磋商担保函，复印件须加盖投标人公章；</w:t>
      </w:r>
    </w:p>
    <w:p>
      <w:pPr>
        <w:pStyle w:val="100"/>
        <w:numPr>
          <w:ilvl w:val="0"/>
          <w:numId w:val="0"/>
        </w:numPr>
        <w:ind w:left="480" w:leftChars="0"/>
        <w:rPr>
          <w:rFonts w:hint="eastAsia" w:ascii="宋体" w:hAnsi="宋体" w:cs="宋体"/>
          <w:sz w:val="28"/>
          <w:szCs w:val="28"/>
          <w:highlight w:val="none"/>
          <w:lang w:eastAsia="zh-CN"/>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10</w:t>
      </w:r>
      <w:r>
        <w:rPr>
          <w:rFonts w:hint="eastAsia" w:ascii="宋体" w:hAnsi="宋体" w:cs="宋体"/>
          <w:sz w:val="28"/>
          <w:szCs w:val="28"/>
          <w:highlight w:val="none"/>
          <w:lang w:eastAsia="zh-CN"/>
        </w:rPr>
        <w:t>）本项目专门面向中小企业采购(提供中小企业声明函)，非中小企业单位(监狱企业、残疾人福利单位除外)不得参与。</w:t>
      </w:r>
    </w:p>
    <w:p>
      <w:pPr>
        <w:pStyle w:val="100"/>
        <w:numPr>
          <w:ilvl w:val="0"/>
          <w:numId w:val="0"/>
        </w:numPr>
        <w:ind w:left="480" w:leftChars="0"/>
        <w:rPr>
          <w:rFonts w:hint="eastAsia" w:ascii="宋体" w:hAnsi="宋体" w:eastAsia="宋体" w:cs="宋体"/>
          <w:sz w:val="28"/>
          <w:szCs w:val="28"/>
          <w:highlight w:val="none"/>
        </w:rPr>
      </w:pP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11</w:t>
      </w:r>
      <w:r>
        <w:rPr>
          <w:rFonts w:hint="eastAsia" w:ascii="宋体" w:hAnsi="宋体" w:cs="宋体"/>
          <w:sz w:val="28"/>
          <w:szCs w:val="28"/>
          <w:highlight w:val="none"/>
          <w:lang w:eastAsia="zh-CN"/>
        </w:rPr>
        <w:t>）单位负责人为同一人或者存在控股、管理关系的不同单位，不得参加同一标段投标或者未划分标段的同一招标项目</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rPr>
        <w:t>）本项目不接受联合体磋商，提供声明函。</w:t>
      </w:r>
    </w:p>
    <w:p>
      <w:pPr>
        <w:pageBreakBefore w:val="0"/>
        <w:kinsoku/>
        <w:wordWrap/>
        <w:overflowPunct/>
        <w:topLinePunct w:val="0"/>
        <w:autoSpaceDE/>
        <w:autoSpaceDN/>
        <w:bidi w:val="0"/>
        <w:adjustRightInd/>
        <w:snapToGrid/>
        <w:spacing w:line="360" w:lineRule="auto"/>
        <w:rPr>
          <w:rFonts w:hint="eastAsia" w:ascii="宋体" w:hAnsi="宋体" w:cs="宋体"/>
          <w:sz w:val="28"/>
          <w:szCs w:val="28"/>
          <w:highlight w:val="none"/>
        </w:rPr>
      </w:pPr>
    </w:p>
    <w:p>
      <w:pPr>
        <w:pageBreakBefore w:val="0"/>
        <w:kinsoku/>
        <w:wordWrap/>
        <w:overflowPunct/>
        <w:topLinePunct w:val="0"/>
        <w:autoSpaceDE/>
        <w:autoSpaceDN/>
        <w:bidi w:val="0"/>
        <w:adjustRightInd/>
        <w:snapToGrid/>
        <w:spacing w:line="360" w:lineRule="auto"/>
        <w:ind w:firstLine="566" w:firstLineChars="200"/>
        <w:rPr>
          <w:rFonts w:hint="eastAsia" w:ascii="宋体" w:hAnsi="宋体" w:eastAsia="宋体" w:cs="宋体"/>
          <w:sz w:val="28"/>
          <w:szCs w:val="28"/>
          <w:highlight w:val="none"/>
          <w:lang w:val="en-US" w:eastAsia="zh-CN"/>
        </w:rPr>
      </w:pPr>
    </w:p>
    <w:p>
      <w:pPr>
        <w:pageBreakBefore w:val="0"/>
        <w:widowControl w:val="0"/>
        <w:kinsoku/>
        <w:wordWrap/>
        <w:overflowPunct/>
        <w:topLinePunct w:val="0"/>
        <w:autoSpaceDE/>
        <w:autoSpaceDN/>
        <w:bidi w:val="0"/>
        <w:adjustRightInd/>
        <w:snapToGrid/>
        <w:spacing w:line="480" w:lineRule="exact"/>
        <w:ind w:firstLine="486" w:firstLineChars="200"/>
        <w:textAlignment w:val="auto"/>
        <w:rPr>
          <w:rFonts w:hint="eastAsia" w:ascii="宋体" w:hAnsi="宋体" w:cs="宋体"/>
          <w:sz w:val="24"/>
          <w:szCs w:val="24"/>
          <w:highlight w:val="none"/>
          <w:lang w:val="en-US" w:eastAsia="zh-CN"/>
        </w:rPr>
      </w:pPr>
    </w:p>
    <w:p>
      <w:pPr>
        <w:pStyle w:val="13"/>
        <w:jc w:val="center"/>
        <w:rPr>
          <w:rFonts w:hint="eastAsia" w:ascii="宋体" w:hAnsi="宋体" w:eastAsia="宋体" w:cs="宋体"/>
          <w:b/>
          <w:bCs/>
          <w:color w:val="auto"/>
          <w:kern w:val="0"/>
          <w:sz w:val="28"/>
          <w:szCs w:val="28"/>
          <w:highlight w:val="none"/>
          <w:u w:val="none" w:color="000000"/>
          <w:lang w:val="en-US" w:eastAsia="zh-CN" w:bidi="ar-SA"/>
        </w:rPr>
      </w:pPr>
    </w:p>
    <w:p>
      <w:pPr>
        <w:pageBreakBefore w:val="0"/>
        <w:kinsoku/>
        <w:wordWrap/>
        <w:overflowPunct/>
        <w:topLinePunct w:val="0"/>
        <w:autoSpaceDE/>
        <w:autoSpaceDN/>
        <w:bidi w:val="0"/>
        <w:snapToGrid/>
        <w:spacing w:line="600" w:lineRule="auto"/>
        <w:textAlignment w:val="baseline"/>
        <w:rPr>
          <w:rFonts w:hint="eastAsia" w:asciiTheme="minorEastAsia" w:hAnsiTheme="minorEastAsia" w:eastAsiaTheme="minorEastAsia" w:cstheme="minorEastAsia"/>
          <w:b/>
          <w:bCs/>
          <w:color w:val="auto"/>
          <w:sz w:val="28"/>
          <w:szCs w:val="28"/>
          <w:u w:val="none" w:color="000000"/>
          <w:lang w:val="en-US" w:eastAsia="zh-CN" w:bidi="ar-SA"/>
        </w:rPr>
        <w:sectPr>
          <w:headerReference r:id="rId29" w:type="first"/>
          <w:footerReference r:id="rId31" w:type="first"/>
          <w:headerReference r:id="rId28" w:type="default"/>
          <w:footerReference r:id="rId30" w:type="default"/>
          <w:endnotePr>
            <w:numFmt w:val="decimal"/>
          </w:endnotePr>
          <w:pgSz w:w="11905" w:h="16838"/>
          <w:pgMar w:top="1134" w:right="1304" w:bottom="1134" w:left="1417" w:header="850" w:footer="992" w:gutter="0"/>
          <w:pgNumType w:fmt="decimal"/>
          <w:cols w:space="0" w:num="1"/>
          <w:rtlGutter w:val="0"/>
          <w:docGrid w:type="linesAndChars" w:linePitch="328" w:charSpace="733"/>
        </w:sectPr>
      </w:pPr>
    </w:p>
    <w:p>
      <w:pPr>
        <w:pStyle w:val="4"/>
        <w:numPr>
          <w:ilvl w:val="1"/>
          <w:numId w:val="0"/>
        </w:numPr>
        <w:jc w:val="left"/>
        <w:rPr>
          <w:rFonts w:ascii="Times New Roman" w:hAnsi="Times New Roman" w:eastAsia="宋体"/>
          <w:sz w:val="28"/>
        </w:rPr>
      </w:pPr>
      <w:r>
        <w:rPr>
          <w:rFonts w:hint="eastAsia"/>
          <w:sz w:val="28"/>
          <w:lang w:val="en-US" w:eastAsia="zh-CN"/>
        </w:rPr>
        <w:t>7.</w:t>
      </w:r>
      <w:r>
        <w:rPr>
          <w:rFonts w:ascii="Times New Roman" w:hAnsi="Times New Roman" w:eastAsia="宋体"/>
          <w:sz w:val="28"/>
        </w:rPr>
        <w:t>项目实施的主要组成人员简历表（</w:t>
      </w:r>
      <w:r>
        <w:rPr>
          <w:rFonts w:hint="eastAsia" w:ascii="Times New Roman" w:hAnsi="Times New Roman" w:eastAsia="宋体"/>
          <w:sz w:val="28"/>
          <w:lang w:eastAsia="zh-CN"/>
        </w:rPr>
        <w:t>格式自拟</w:t>
      </w:r>
      <w:r>
        <w:rPr>
          <w:rFonts w:ascii="Times New Roman" w:hAnsi="Times New Roman" w:eastAsia="宋体"/>
          <w:sz w:val="28"/>
        </w:rPr>
        <w:t>）</w:t>
      </w:r>
    </w:p>
    <w:p/>
    <w:p>
      <w:pPr>
        <w:spacing w:line="520" w:lineRule="exact"/>
        <w:rPr>
          <w:rFonts w:hint="eastAsia" w:ascii="Times New Roman" w:hAnsi="Times New Roman" w:eastAsia="宋体" w:cs="Times New Roman"/>
          <w:b/>
          <w:color w:val="auto"/>
          <w:sz w:val="28"/>
          <w:highlight w:val="none"/>
          <w:u w:val="none" w:color="000000"/>
          <w:lang w:val="en-US" w:eastAsia="zh-CN" w:bidi="ar-SA"/>
        </w:rPr>
      </w:pPr>
      <w:r>
        <w:rPr>
          <w:rFonts w:hint="eastAsia" w:ascii="Times New Roman" w:hAnsi="Times New Roman" w:eastAsia="宋体" w:cs="Times New Roman"/>
          <w:b/>
          <w:color w:val="auto"/>
          <w:sz w:val="28"/>
          <w:u w:val="none" w:color="000000"/>
          <w:lang w:val="en-US" w:eastAsia="zh-CN" w:bidi="ar-SA"/>
        </w:rPr>
        <w:t>8.提供20</w:t>
      </w:r>
      <w:r>
        <w:rPr>
          <w:rFonts w:hint="eastAsia" w:cs="Times New Roman"/>
          <w:b/>
          <w:color w:val="auto"/>
          <w:sz w:val="28"/>
          <w:u w:val="none" w:color="000000"/>
          <w:lang w:val="en-US" w:eastAsia="zh-CN" w:bidi="ar-SA"/>
        </w:rPr>
        <w:t>23</w:t>
      </w:r>
      <w:r>
        <w:rPr>
          <w:rFonts w:hint="eastAsia" w:ascii="Times New Roman" w:hAnsi="Times New Roman" w:eastAsia="宋体" w:cs="Times New Roman"/>
          <w:b/>
          <w:color w:val="auto"/>
          <w:sz w:val="28"/>
          <w:u w:val="none" w:color="000000"/>
          <w:lang w:val="en-US" w:eastAsia="zh-CN" w:bidi="ar-SA"/>
        </w:rPr>
        <w:t>年</w:t>
      </w:r>
      <w:r>
        <w:rPr>
          <w:rFonts w:hint="eastAsia" w:cs="Times New Roman"/>
          <w:b/>
          <w:color w:val="auto"/>
          <w:sz w:val="28"/>
          <w:u w:val="none" w:color="000000"/>
          <w:lang w:val="en-US" w:eastAsia="zh-CN" w:bidi="ar-SA"/>
        </w:rPr>
        <w:t>7</w:t>
      </w:r>
      <w:r>
        <w:rPr>
          <w:rFonts w:hint="eastAsia" w:ascii="Times New Roman" w:hAnsi="Times New Roman" w:eastAsia="宋体" w:cs="Times New Roman"/>
          <w:b/>
          <w:color w:val="auto"/>
          <w:sz w:val="28"/>
          <w:u w:val="none" w:color="000000"/>
          <w:lang w:val="en-US" w:eastAsia="zh-CN" w:bidi="ar-SA"/>
        </w:rPr>
        <w:t>月至今同类项目业绩，以所附合同或中标通知书为准，</w:t>
      </w:r>
      <w:r>
        <w:rPr>
          <w:rFonts w:hint="eastAsia" w:ascii="Times New Roman" w:hAnsi="Times New Roman" w:eastAsia="宋体" w:cs="Times New Roman"/>
          <w:b/>
          <w:color w:val="auto"/>
          <w:sz w:val="28"/>
          <w:highlight w:val="none"/>
          <w:u w:val="none" w:color="000000"/>
          <w:lang w:val="en-US" w:eastAsia="zh-CN" w:bidi="ar-SA"/>
        </w:rPr>
        <w:t>复印件加盖公章</w:t>
      </w:r>
    </w:p>
    <w:p>
      <w:pPr>
        <w:spacing w:line="520" w:lineRule="exact"/>
        <w:rPr>
          <w:rFonts w:hint="eastAsia" w:ascii="Times New Roman" w:hAnsi="Times New Roman" w:eastAsia="宋体" w:cs="Times New Roman"/>
          <w:b/>
          <w:color w:val="auto"/>
          <w:sz w:val="28"/>
          <w:u w:val="none" w:color="000000"/>
          <w:lang w:val="en-US" w:eastAsia="zh-CN" w:bidi="ar-SA"/>
        </w:rPr>
      </w:pPr>
    </w:p>
    <w:p>
      <w:pPr>
        <w:spacing w:line="520" w:lineRule="exact"/>
        <w:rPr>
          <w:rFonts w:hint="default" w:ascii="Times New Roman" w:hAnsi="Times New Roman" w:eastAsia="宋体" w:cs="Times New Roman"/>
          <w:b/>
          <w:color w:val="auto"/>
          <w:sz w:val="28"/>
          <w:u w:val="none" w:color="000000"/>
          <w:lang w:val="en-US" w:eastAsia="zh-CN" w:bidi="ar-SA"/>
        </w:rPr>
      </w:pPr>
      <w:r>
        <w:rPr>
          <w:rFonts w:hint="eastAsia" w:ascii="Times New Roman" w:hAnsi="Times New Roman" w:eastAsia="宋体" w:cs="Times New Roman"/>
          <w:b/>
          <w:color w:val="auto"/>
          <w:sz w:val="28"/>
          <w:u w:color="000000"/>
          <w:lang w:val="en-US" w:eastAsia="zh-CN" w:bidi="ar-SA"/>
        </w:rPr>
        <w:t>9.</w:t>
      </w:r>
      <w:r>
        <w:rPr>
          <w:rFonts w:hint="eastAsia" w:cs="Times New Roman"/>
          <w:b/>
          <w:color w:val="auto"/>
          <w:sz w:val="28"/>
          <w:u w:color="000000"/>
          <w:lang w:val="en-US" w:eastAsia="zh-CN" w:bidi="ar-SA"/>
        </w:rPr>
        <w:t>技术方案（根据评分要求自拟）</w:t>
      </w:r>
    </w:p>
    <w:p>
      <w:pPr>
        <w:numPr>
          <w:ilvl w:val="0"/>
          <w:numId w:val="0"/>
        </w:numPr>
        <w:ind w:leftChars="0"/>
        <w:jc w:val="left"/>
        <w:rPr>
          <w:rFonts w:hint="eastAsia" w:ascii="Times New Roman" w:hAnsi="Times New Roman" w:eastAsia="宋体" w:cs="Times New Roman"/>
          <w:b/>
          <w:bCs/>
          <w:color w:val="auto"/>
          <w:sz w:val="28"/>
          <w:u w:val="none" w:color="000000"/>
          <w:lang w:val="en-US" w:eastAsia="zh-CN" w:bidi="ar-SA"/>
        </w:rPr>
      </w:pPr>
    </w:p>
    <w:p>
      <w:pPr>
        <w:pStyle w:val="2"/>
        <w:rPr>
          <w:rFonts w:hint="eastAsia"/>
          <w:lang w:eastAsia="zh-CN"/>
        </w:rPr>
      </w:pPr>
    </w:p>
    <w:p>
      <w:pPr>
        <w:numPr>
          <w:ilvl w:val="0"/>
          <w:numId w:val="0"/>
        </w:numPr>
        <w:ind w:leftChars="0"/>
        <w:rPr>
          <w:rFonts w:hint="eastAsia"/>
          <w:lang w:eastAsia="zh-CN"/>
        </w:rPr>
      </w:pPr>
    </w:p>
    <w:p>
      <w:pPr>
        <w:rPr>
          <w:rFonts w:hint="eastAsia"/>
        </w:rPr>
      </w:pPr>
      <w:r>
        <w:rPr>
          <w:rFonts w:hint="eastAsia" w:cs="Times New Roman"/>
          <w:b/>
          <w:bCs/>
          <w:sz w:val="28"/>
          <w:lang w:val="en-US" w:eastAsia="zh-CN"/>
        </w:rPr>
        <w:t>10.</w:t>
      </w:r>
      <w:r>
        <w:rPr>
          <w:rFonts w:hint="eastAsia" w:ascii="Times New Roman" w:hAnsi="Times New Roman" w:eastAsia="宋体" w:cs="Times New Roman"/>
          <w:b/>
          <w:bCs/>
          <w:sz w:val="28"/>
          <w:lang w:eastAsia="zh-CN"/>
        </w:rPr>
        <w:t>供应商认为有必要补充说明的事宜</w:t>
      </w:r>
    </w:p>
    <w:p>
      <w:pPr>
        <w:spacing w:after="120"/>
        <w:jc w:val="left"/>
        <w:outlineLvl w:val="9"/>
        <w:rPr>
          <w:rFonts w:hint="eastAsia" w:ascii="宋体" w:hAnsi="宋体" w:eastAsia="宋体" w:cs="宋体"/>
          <w:b/>
          <w:sz w:val="24"/>
          <w:szCs w:val="24"/>
          <w:highlight w:val="none"/>
        </w:rPr>
      </w:pPr>
    </w:p>
    <w:p>
      <w:pPr>
        <w:pStyle w:val="2"/>
        <w:rPr>
          <w:rFonts w:hint="eastAsia" w:ascii="宋体" w:hAnsi="宋体" w:eastAsia="宋体" w:cs="宋体"/>
          <w:b/>
          <w:sz w:val="24"/>
          <w:szCs w:val="24"/>
          <w:highlight w:val="none"/>
        </w:rPr>
      </w:pPr>
    </w:p>
    <w:p>
      <w:pPr>
        <w:rPr>
          <w:rFonts w:hint="eastAsia" w:ascii="宋体" w:hAnsi="宋体" w:eastAsia="宋体" w:cs="宋体"/>
          <w:b/>
          <w:sz w:val="24"/>
          <w:szCs w:val="24"/>
          <w:highlight w:val="none"/>
        </w:rPr>
      </w:pPr>
    </w:p>
    <w:p>
      <w:pPr>
        <w:pStyle w:val="2"/>
        <w:rPr>
          <w:rFonts w:hint="eastAsia" w:ascii="宋体" w:hAnsi="宋体" w:eastAsia="宋体" w:cs="宋体"/>
          <w:b/>
          <w:sz w:val="24"/>
          <w:szCs w:val="24"/>
          <w:highlight w:val="none"/>
        </w:rPr>
      </w:pPr>
    </w:p>
    <w:p>
      <w:pPr>
        <w:rPr>
          <w:rFonts w:hint="eastAsia" w:ascii="宋体" w:hAnsi="宋体" w:eastAsia="宋体" w:cs="宋体"/>
          <w:b/>
          <w:sz w:val="24"/>
          <w:szCs w:val="24"/>
          <w:highlight w:val="none"/>
        </w:rPr>
      </w:pPr>
    </w:p>
    <w:p>
      <w:pPr>
        <w:pStyle w:val="2"/>
        <w:rPr>
          <w:rFonts w:hint="eastAsia" w:ascii="宋体" w:hAnsi="宋体" w:eastAsia="宋体" w:cs="宋体"/>
          <w:b/>
          <w:sz w:val="24"/>
          <w:szCs w:val="24"/>
          <w:highlight w:val="none"/>
        </w:rPr>
      </w:pPr>
    </w:p>
    <w:p>
      <w:pPr>
        <w:rPr>
          <w:rFonts w:hint="eastAsia" w:ascii="宋体" w:hAnsi="宋体" w:eastAsia="宋体" w:cs="宋体"/>
          <w:b/>
          <w:sz w:val="24"/>
          <w:szCs w:val="24"/>
          <w:highlight w:val="none"/>
        </w:rPr>
      </w:pPr>
    </w:p>
    <w:p>
      <w:pPr>
        <w:pStyle w:val="2"/>
        <w:rPr>
          <w:rFonts w:hint="eastAsia" w:ascii="宋体" w:hAnsi="宋体" w:eastAsia="宋体" w:cs="宋体"/>
          <w:b/>
          <w:sz w:val="24"/>
          <w:szCs w:val="24"/>
          <w:highlight w:val="none"/>
        </w:rPr>
      </w:pPr>
    </w:p>
    <w:p>
      <w:pPr>
        <w:pStyle w:val="23"/>
        <w:rPr>
          <w:rFonts w:hint="eastAsia" w:ascii="宋体" w:hAnsi="宋体" w:eastAsia="宋体" w:cs="宋体"/>
          <w:b/>
          <w:sz w:val="24"/>
          <w:szCs w:val="24"/>
          <w:highlight w:val="none"/>
        </w:rPr>
      </w:pPr>
    </w:p>
    <w:p>
      <w:pPr>
        <w:pStyle w:val="23"/>
        <w:rPr>
          <w:rFonts w:hint="eastAsia" w:ascii="宋体" w:hAnsi="宋体" w:eastAsia="宋体" w:cs="宋体"/>
          <w:b/>
          <w:sz w:val="24"/>
          <w:szCs w:val="24"/>
          <w:highlight w:val="none"/>
        </w:rPr>
      </w:pPr>
    </w:p>
    <w:p>
      <w:pPr>
        <w:pStyle w:val="23"/>
        <w:rPr>
          <w:rFonts w:hint="eastAsia" w:ascii="宋体" w:hAnsi="宋体" w:eastAsia="宋体" w:cs="宋体"/>
          <w:b/>
          <w:sz w:val="24"/>
          <w:szCs w:val="24"/>
          <w:highlight w:val="none"/>
        </w:rPr>
      </w:pPr>
    </w:p>
    <w:p>
      <w:pPr>
        <w:rPr>
          <w:rFonts w:hint="eastAsia" w:ascii="宋体" w:hAnsi="宋体" w:cs="宋体"/>
          <w:sz w:val="28"/>
          <w:szCs w:val="28"/>
          <w:highlight w:val="none"/>
          <w:lang w:val="en-US" w:eastAsia="zh-CN"/>
        </w:rPr>
      </w:pPr>
      <w:bookmarkStart w:id="210" w:name="_Toc10298"/>
      <w:bookmarkStart w:id="211" w:name="_Toc26881"/>
      <w:bookmarkStart w:id="212" w:name="_Toc5888429"/>
      <w:bookmarkStart w:id="213" w:name="_Toc6758"/>
      <w:bookmarkStart w:id="214" w:name="_Toc10634"/>
      <w:r>
        <w:rPr>
          <w:rFonts w:hint="eastAsia" w:ascii="宋体" w:hAnsi="宋体" w:cs="宋体"/>
          <w:sz w:val="28"/>
          <w:szCs w:val="28"/>
          <w:highlight w:val="none"/>
          <w:lang w:val="en-US" w:eastAsia="zh-CN"/>
        </w:rPr>
        <w:br w:type="page"/>
      </w:r>
    </w:p>
    <w:p>
      <w:pPr>
        <w:pStyle w:val="4"/>
        <w:pageBreakBefore w:val="0"/>
        <w:kinsoku/>
        <w:wordWrap/>
        <w:overflowPunct/>
        <w:topLinePunct w:val="0"/>
        <w:bidi w:val="0"/>
        <w:spacing w:before="0" w:after="0" w:line="360" w:lineRule="auto"/>
        <w:jc w:val="both"/>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11.</w:t>
      </w:r>
      <w:r>
        <w:rPr>
          <w:rFonts w:hint="eastAsia" w:ascii="宋体" w:hAnsi="宋体" w:eastAsia="宋体" w:cs="宋体"/>
          <w:sz w:val="28"/>
          <w:szCs w:val="28"/>
          <w:highlight w:val="none"/>
          <w:lang w:val="en-US" w:eastAsia="zh-CN"/>
        </w:rPr>
        <w:t>磋商声明书</w:t>
      </w:r>
      <w:bookmarkEnd w:id="210"/>
      <w:bookmarkEnd w:id="211"/>
      <w:bookmarkEnd w:id="212"/>
    </w:p>
    <w:p>
      <w:pPr>
        <w:pStyle w:val="83"/>
        <w:pageBreakBefore w:val="0"/>
        <w:kinsoku/>
        <w:wordWrap/>
        <w:overflowPunct/>
        <w:topLinePunct w:val="0"/>
        <w:bidi w:val="0"/>
        <w:spacing w:line="360" w:lineRule="auto"/>
        <w:ind w:firstLine="19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z w:val="24"/>
          <w:szCs w:val="24"/>
          <w:highlight w:val="none"/>
          <w:lang w:eastAsia="zh-CN"/>
        </w:rPr>
        <w:t>华睿诚项目管理有限公司</w:t>
      </w:r>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，就参加</w:t>
      </w:r>
      <w:r>
        <w:rPr>
          <w:rFonts w:hint="eastAsia" w:ascii="宋体" w:hAnsi="宋体" w:eastAsia="宋体" w:cs="宋体"/>
          <w:sz w:val="24"/>
          <w:szCs w:val="24"/>
          <w:highlight w:val="none"/>
          <w:u w:val="single"/>
        </w:rPr>
        <w:t xml:space="preserve">      （采购项目名称）    </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项目编号</w:t>
      </w:r>
      <w:r>
        <w:rPr>
          <w:rFonts w:hint="eastAsia" w:ascii="宋体" w:hAnsi="宋体" w:eastAsia="宋体" w:cs="宋体"/>
          <w:sz w:val="24"/>
          <w:szCs w:val="24"/>
          <w:highlight w:val="none"/>
        </w:rPr>
        <w:t>：）磋商事宜，在此郑重声明：</w:t>
      </w:r>
    </w:p>
    <w:p>
      <w:pPr>
        <w:pStyle w:val="83"/>
        <w:pageBreakBefore w:val="0"/>
        <w:kinsoku/>
        <w:wordWrap/>
        <w:overflowPunct/>
        <w:topLinePunct w:val="0"/>
        <w:bidi w:val="0"/>
        <w:spacing w:line="360" w:lineRule="auto"/>
        <w:ind w:firstLine="618"/>
        <w:textAlignment w:val="auto"/>
        <w:outlineLvl w:val="1"/>
        <w:rPr>
          <w:rFonts w:hint="eastAsia" w:ascii="宋体" w:hAnsi="宋体" w:eastAsia="宋体" w:cs="宋体"/>
          <w:sz w:val="24"/>
          <w:szCs w:val="24"/>
          <w:highlight w:val="none"/>
        </w:rPr>
      </w:pPr>
      <w:bookmarkStart w:id="215" w:name="_Toc10799"/>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我公司所提交的磋商响应文件全部真实有效；</w:t>
      </w:r>
      <w:bookmarkEnd w:id="215"/>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我公司近3年来无因安全事故、质量事故、磋商违规等不良记录被政府有关部门处罚期内的情形存在；</w:t>
      </w:r>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我公司近3年来无违规违法经营受到责令停产（或停止经营）、吊销生产许可证（或经营许可证）、较大数额罚款等行政处罚的情形存在；</w:t>
      </w:r>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我公司无企业财产被查封、冻结或处于破产状态或严重亏损状态等情形存在；</w:t>
      </w:r>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我公司承诺在磋商过程中，保证不与其他单位围标、串标，不出让磋商资格，不采取不正当手段诋毁、排挤其他供应商，不向采购代理机构、</w:t>
      </w:r>
      <w:r>
        <w:rPr>
          <w:rFonts w:hint="eastAsia" w:ascii="宋体" w:hAnsi="宋体" w:cs="宋体"/>
          <w:sz w:val="24"/>
          <w:szCs w:val="24"/>
          <w:highlight w:val="none"/>
          <w:lang w:eastAsia="zh-CN"/>
        </w:rPr>
        <w:t>磋商小组</w:t>
      </w:r>
      <w:r>
        <w:rPr>
          <w:rFonts w:hint="eastAsia" w:ascii="宋体" w:hAnsi="宋体" w:eastAsia="宋体" w:cs="宋体"/>
          <w:sz w:val="24"/>
          <w:szCs w:val="24"/>
          <w:highlight w:val="none"/>
        </w:rPr>
        <w:t>成员行贿。</w:t>
      </w:r>
    </w:p>
    <w:p>
      <w:pPr>
        <w:pStyle w:val="83"/>
        <w:pageBreakBefore w:val="0"/>
        <w:kinsoku/>
        <w:wordWrap/>
        <w:overflowPunct/>
        <w:topLinePunct w:val="0"/>
        <w:bidi w:val="0"/>
        <w:spacing w:line="360" w:lineRule="auto"/>
        <w:ind w:firstLine="61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以上声明若违反，一经查实，本公司愿意接受政府有关部门的相应处罚，并愿意承担由此带来的法律后果。</w:t>
      </w:r>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rPr>
      </w:pPr>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rPr>
      </w:pPr>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rPr>
      </w:pPr>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p>
    <w:p>
      <w:pPr>
        <w:pStyle w:val="83"/>
        <w:pageBreakBefore w:val="0"/>
        <w:kinsoku/>
        <w:wordWrap/>
        <w:overflowPunct/>
        <w:topLinePunct w:val="0"/>
        <w:bidi w:val="0"/>
        <w:spacing w:line="360" w:lineRule="auto"/>
        <w:ind w:firstLine="478"/>
        <w:textAlignment w:val="auto"/>
        <w:outlineLvl w:val="2"/>
        <w:rPr>
          <w:rFonts w:hint="eastAsia" w:ascii="宋体" w:hAnsi="宋体" w:eastAsia="宋体" w:cs="宋体"/>
          <w:sz w:val="24"/>
          <w:szCs w:val="24"/>
          <w:highlight w:val="none"/>
        </w:rPr>
      </w:pPr>
      <w:bookmarkStart w:id="216" w:name="_Toc9473"/>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被授权人：      （签字或盖章）</w:t>
      </w:r>
      <w:bookmarkEnd w:id="216"/>
    </w:p>
    <w:p>
      <w:pPr>
        <w:pStyle w:val="83"/>
        <w:pageBreakBefore w:val="0"/>
        <w:kinsoku/>
        <w:wordWrap/>
        <w:overflowPunct/>
        <w:topLinePunct w:val="0"/>
        <w:bidi w:val="0"/>
        <w:spacing w:line="360" w:lineRule="auto"/>
        <w:ind w:firstLine="478"/>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      期：</w:t>
      </w:r>
    </w:p>
    <w:p>
      <w:pPr>
        <w:pStyle w:val="4"/>
        <w:pageBreakBefore w:val="0"/>
        <w:kinsoku/>
        <w:wordWrap/>
        <w:overflowPunct/>
        <w:topLinePunct w:val="0"/>
        <w:bidi w:val="0"/>
        <w:spacing w:before="0" w:after="0" w:line="360" w:lineRule="auto"/>
        <w:textAlignment w:val="auto"/>
        <w:outlineLvl w:val="9"/>
        <w:rPr>
          <w:rFonts w:hint="eastAsia" w:ascii="宋体" w:hAnsi="宋体" w:eastAsia="宋体" w:cs="宋体"/>
          <w:sz w:val="28"/>
          <w:szCs w:val="28"/>
          <w:highlight w:val="none"/>
          <w:lang w:val="en-US" w:eastAsia="zh-CN"/>
        </w:rPr>
      </w:pPr>
      <w:bookmarkStart w:id="217" w:name="_Toc5888430"/>
    </w:p>
    <w:p>
      <w:pPr>
        <w:rPr>
          <w:rFonts w:hint="eastAsia" w:ascii="宋体" w:hAnsi="宋体" w:eastAsia="宋体" w:cs="宋体"/>
          <w:sz w:val="28"/>
          <w:szCs w:val="28"/>
          <w:highlight w:val="none"/>
          <w:lang w:val="en-US" w:eastAsia="zh-CN"/>
        </w:rPr>
      </w:pPr>
    </w:p>
    <w:p>
      <w:pPr>
        <w:pStyle w:val="2"/>
        <w:rPr>
          <w:rFonts w:hint="eastAsia" w:ascii="宋体" w:hAnsi="宋体" w:eastAsia="宋体" w:cs="宋体"/>
          <w:sz w:val="28"/>
          <w:szCs w:val="28"/>
          <w:highlight w:val="none"/>
          <w:lang w:val="en-US" w:eastAsia="zh-CN"/>
        </w:rPr>
      </w:pPr>
    </w:p>
    <w:p>
      <w:pPr>
        <w:pStyle w:val="44"/>
        <w:rPr>
          <w:rFonts w:hint="eastAsia" w:ascii="宋体" w:hAnsi="宋体" w:eastAsia="宋体" w:cs="宋体"/>
          <w:sz w:val="28"/>
          <w:szCs w:val="28"/>
          <w:highlight w:val="none"/>
          <w:lang w:val="en-US" w:eastAsia="zh-CN"/>
        </w:rPr>
      </w:pPr>
    </w:p>
    <w:p>
      <w:pPr>
        <w:rPr>
          <w:rFonts w:hint="eastAsia" w:ascii="宋体" w:hAnsi="宋体" w:eastAsia="宋体" w:cs="宋体"/>
          <w:sz w:val="28"/>
          <w:szCs w:val="28"/>
          <w:highlight w:val="none"/>
          <w:lang w:val="en-US" w:eastAsia="zh-CN"/>
        </w:rPr>
      </w:pPr>
    </w:p>
    <w:p>
      <w:pPr>
        <w:pStyle w:val="4"/>
        <w:pageBreakBefore w:val="0"/>
        <w:kinsoku/>
        <w:wordWrap/>
        <w:overflowPunct/>
        <w:topLinePunct w:val="0"/>
        <w:bidi w:val="0"/>
        <w:spacing w:before="0" w:after="0" w:line="360" w:lineRule="auto"/>
        <w:jc w:val="both"/>
        <w:textAlignment w:val="auto"/>
        <w:rPr>
          <w:rFonts w:hint="eastAsia" w:ascii="宋体" w:hAnsi="宋体" w:eastAsia="宋体" w:cs="宋体"/>
          <w:sz w:val="28"/>
          <w:szCs w:val="28"/>
          <w:highlight w:val="none"/>
        </w:rPr>
      </w:pPr>
      <w:bookmarkStart w:id="218" w:name="_Toc1390"/>
      <w:bookmarkStart w:id="219" w:name="_Toc8917"/>
      <w:r>
        <w:rPr>
          <w:rFonts w:hint="eastAsia" w:ascii="宋体" w:hAnsi="宋体" w:cs="宋体"/>
          <w:sz w:val="28"/>
          <w:szCs w:val="28"/>
          <w:highlight w:val="none"/>
          <w:lang w:val="en-US" w:eastAsia="zh-CN"/>
        </w:rPr>
        <w:t>12</w:t>
      </w:r>
      <w:r>
        <w:rPr>
          <w:rFonts w:hint="eastAsia" w:ascii="宋体" w:hAnsi="宋体" w:eastAsia="宋体" w:cs="宋体"/>
          <w:sz w:val="28"/>
          <w:szCs w:val="28"/>
          <w:highlight w:val="none"/>
        </w:rPr>
        <w:t>.《拒绝政府采购领域商业贿赂承诺书》</w:t>
      </w:r>
      <w:bookmarkEnd w:id="217"/>
      <w:bookmarkEnd w:id="218"/>
      <w:bookmarkEnd w:id="219"/>
      <w:r>
        <w:rPr>
          <w:rFonts w:hint="eastAsia" w:ascii="宋体" w:hAnsi="宋体" w:eastAsia="宋体" w:cs="宋体"/>
          <w:sz w:val="28"/>
          <w:szCs w:val="28"/>
          <w:highlight w:val="none"/>
        </w:rPr>
        <w:t xml:space="preserve"> </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outlineLvl w:val="2"/>
        <w:rPr>
          <w:rFonts w:hint="eastAsia" w:ascii="宋体" w:hAnsi="宋体" w:eastAsia="宋体" w:cs="宋体"/>
          <w:b/>
          <w:bCs/>
          <w:sz w:val="28"/>
          <w:szCs w:val="28"/>
          <w:highlight w:val="none"/>
        </w:rPr>
      </w:pPr>
      <w:bookmarkStart w:id="220" w:name="_Toc18845"/>
      <w:r>
        <w:rPr>
          <w:rFonts w:hint="eastAsia" w:ascii="宋体" w:hAnsi="宋体" w:eastAsia="宋体" w:cs="宋体"/>
          <w:b/>
          <w:bCs/>
          <w:sz w:val="28"/>
          <w:szCs w:val="28"/>
          <w:highlight w:val="none"/>
        </w:rPr>
        <w:t>陕西省政府采购供应商拒绝政府采购领域商业贿赂承诺书</w:t>
      </w:r>
      <w:bookmarkEnd w:id="220"/>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为响应党中央、国务院关于治理政府采购领域商业贿赂行为的号召，我单位在此庄严承诺：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outlineLvl w:val="1"/>
        <w:rPr>
          <w:rFonts w:hint="eastAsia" w:ascii="宋体" w:hAnsi="宋体" w:eastAsia="宋体" w:cs="宋体"/>
          <w:sz w:val="24"/>
          <w:szCs w:val="24"/>
          <w:highlight w:val="none"/>
          <w:lang w:eastAsia="zh-CN"/>
        </w:rPr>
      </w:pPr>
      <w:bookmarkStart w:id="221" w:name="_Toc26430"/>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在参与政府采购活动中遵纪守法、诚信经营、公平竞标。</w:t>
      </w:r>
      <w:bookmarkEnd w:id="221"/>
      <w:r>
        <w:rPr>
          <w:rFonts w:hint="eastAsia" w:ascii="宋体" w:hAnsi="宋体" w:eastAsia="宋体" w:cs="宋体"/>
          <w:sz w:val="24"/>
          <w:szCs w:val="24"/>
          <w:highlight w:val="none"/>
        </w:rPr>
        <w:t xml:space="preserve">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不向采购人、采购代理机构和政府采购评审专家进行任何形式的商业贿赂以谋取交易机会。</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不向政府采购代理机构和采购人提供虚假资质文件或采用虚假应标方式参与政府采购市场竞争并谋取中标、成交。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不采取“围标、陪标”等商业欺诈手段获得政府采购定单。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不采取不正当手段低毁、排挤其他供应商。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不在提供商品和服务时“偷梁换柱、以次充好”损害采购人的合法权益。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不与采购人、采购代理机构、政府采购评审专家或其它供应商恶意串通，进行质疑和投诉，维护政府采购市场秩序。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尊重和接受政府采购监督管理部门的监督和政府采购代理机构采购要求，承担因违约行为给采购人造成的损失。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不发生其他有悖于政府采购公开、公平、公正和诚信原则的行为。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pPr>
        <w:pStyle w:val="83"/>
        <w:keepNext w:val="0"/>
        <w:keepLines w:val="0"/>
        <w:pageBreakBefore w:val="0"/>
        <w:widowControl/>
        <w:kinsoku/>
        <w:wordWrap/>
        <w:overflowPunct/>
        <w:topLinePunct w:val="0"/>
        <w:autoSpaceDE/>
        <w:autoSpaceDN/>
        <w:bidi w:val="0"/>
        <w:adjustRightInd/>
        <w:snapToGrid/>
        <w:spacing w:line="500" w:lineRule="exact"/>
        <w:ind w:firstLine="478"/>
        <w:textAlignment w:val="auto"/>
        <w:rPr>
          <w:rFonts w:hint="eastAsia" w:ascii="宋体" w:hAnsi="宋体" w:eastAsia="宋体" w:cs="宋体"/>
          <w:sz w:val="24"/>
          <w:szCs w:val="24"/>
          <w:highlight w:val="none"/>
        </w:rPr>
      </w:pPr>
    </w:p>
    <w:p>
      <w:pPr>
        <w:pStyle w:val="83"/>
        <w:keepNext w:val="0"/>
        <w:keepLines w:val="0"/>
        <w:pageBreakBefore w:val="0"/>
        <w:widowControl/>
        <w:kinsoku/>
        <w:wordWrap/>
        <w:overflowPunct/>
        <w:topLinePunct w:val="0"/>
        <w:autoSpaceDE/>
        <w:autoSpaceDN/>
        <w:bidi w:val="0"/>
        <w:adjustRightInd/>
        <w:snapToGrid/>
        <w:spacing w:line="500" w:lineRule="exact"/>
        <w:ind w:firstLine="1034" w:firstLineChars="426"/>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p>
    <w:p>
      <w:pPr>
        <w:pStyle w:val="83"/>
        <w:keepNext w:val="0"/>
        <w:keepLines w:val="0"/>
        <w:pageBreakBefore w:val="0"/>
        <w:widowControl/>
        <w:kinsoku/>
        <w:wordWrap/>
        <w:overflowPunct/>
        <w:topLinePunct w:val="0"/>
        <w:autoSpaceDE/>
        <w:autoSpaceDN/>
        <w:bidi w:val="0"/>
        <w:adjustRightInd/>
        <w:snapToGrid/>
        <w:spacing w:line="500" w:lineRule="exact"/>
        <w:ind w:firstLine="1034" w:firstLineChars="426"/>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被授权人：      （签字或盖章）</w:t>
      </w:r>
    </w:p>
    <w:p>
      <w:pPr>
        <w:pStyle w:val="83"/>
        <w:keepNext w:val="0"/>
        <w:keepLines w:val="0"/>
        <w:pageBreakBefore w:val="0"/>
        <w:widowControl/>
        <w:kinsoku/>
        <w:wordWrap/>
        <w:overflowPunct/>
        <w:topLinePunct w:val="0"/>
        <w:autoSpaceDE/>
        <w:autoSpaceDN/>
        <w:bidi w:val="0"/>
        <w:adjustRightInd/>
        <w:snapToGrid/>
        <w:spacing w:line="500" w:lineRule="exact"/>
        <w:ind w:firstLine="1034" w:firstLineChars="426"/>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      期：</w:t>
      </w:r>
    </w:p>
    <w:p>
      <w:pPr>
        <w:pageBreakBefore w:val="0"/>
        <w:kinsoku/>
        <w:wordWrap/>
        <w:overflowPunct/>
        <w:topLinePunct w:val="0"/>
        <w:bidi w:val="0"/>
        <w:spacing w:line="360" w:lineRule="auto"/>
        <w:textAlignment w:val="auto"/>
        <w:rPr>
          <w:rFonts w:hint="eastAsia" w:ascii="宋体" w:hAnsi="宋体" w:eastAsia="宋体" w:cs="宋体"/>
          <w:sz w:val="20"/>
          <w:szCs w:val="18"/>
          <w:highlight w:val="none"/>
        </w:rPr>
        <w:sectPr>
          <w:endnotePr>
            <w:numFmt w:val="decimal"/>
          </w:endnotePr>
          <w:pgSz w:w="11905" w:h="16838"/>
          <w:pgMar w:top="1134" w:right="1304" w:bottom="1134" w:left="1417" w:header="850" w:footer="992" w:gutter="0"/>
          <w:pgNumType w:fmt="decimal"/>
          <w:cols w:space="0" w:num="1"/>
          <w:rtlGutter w:val="0"/>
          <w:docGrid w:type="linesAndChars" w:linePitch="328" w:charSpace="733"/>
        </w:sectPr>
      </w:pPr>
    </w:p>
    <w:p>
      <w:pPr>
        <w:pStyle w:val="4"/>
        <w:keepNext/>
        <w:keepLines/>
        <w:pageBreakBefore w:val="0"/>
        <w:widowControl w:val="0"/>
        <w:kinsoku/>
        <w:wordWrap/>
        <w:overflowPunct/>
        <w:topLinePunct w:val="0"/>
        <w:autoSpaceDE/>
        <w:autoSpaceDN/>
        <w:bidi w:val="0"/>
        <w:adjustRightInd/>
        <w:snapToGrid/>
        <w:spacing w:before="0" w:after="0" w:line="520" w:lineRule="exact"/>
        <w:ind w:left="0" w:leftChars="0" w:firstLine="0" w:firstLineChars="0"/>
        <w:jc w:val="both"/>
        <w:textAlignment w:val="auto"/>
        <w:rPr>
          <w:rFonts w:hint="eastAsia" w:ascii="宋体" w:hAnsi="宋体" w:eastAsia="宋体" w:cs="宋体"/>
          <w:sz w:val="28"/>
          <w:szCs w:val="28"/>
          <w:highlight w:val="none"/>
        </w:rPr>
      </w:pPr>
      <w:bookmarkStart w:id="222" w:name="_Toc30094"/>
      <w:bookmarkStart w:id="223" w:name="_Toc21796"/>
      <w:r>
        <w:rPr>
          <w:rFonts w:hint="eastAsia" w:ascii="宋体" w:hAnsi="宋体" w:cs="宋体"/>
          <w:sz w:val="28"/>
          <w:szCs w:val="28"/>
          <w:highlight w:val="none"/>
          <w:lang w:val="en-US" w:eastAsia="zh-CN"/>
        </w:rPr>
        <w:t>13.</w:t>
      </w: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中小企业声明函</w:t>
      </w:r>
      <w:r>
        <w:rPr>
          <w:rFonts w:hint="eastAsia" w:ascii="宋体" w:hAnsi="宋体" w:eastAsia="宋体" w:cs="宋体"/>
          <w:sz w:val="28"/>
          <w:szCs w:val="28"/>
          <w:highlight w:val="none"/>
        </w:rPr>
        <w:t>》</w:t>
      </w:r>
      <w:bookmarkEnd w:id="222"/>
      <w:bookmarkEnd w:id="223"/>
    </w:p>
    <w:p>
      <w:pPr>
        <w:pStyle w:val="5"/>
        <w:spacing w:line="560" w:lineRule="exact"/>
        <w:jc w:val="center"/>
        <w:rPr>
          <w:rFonts w:hint="eastAsia" w:ascii="宋体" w:hAnsi="宋体" w:eastAsia="宋体" w:cs="宋体"/>
          <w:color w:val="auto"/>
          <w:sz w:val="28"/>
          <w:szCs w:val="28"/>
          <w:highlight w:val="none"/>
        </w:rPr>
      </w:pPr>
      <w:bookmarkStart w:id="224" w:name="_Toc261"/>
      <w:bookmarkStart w:id="225" w:name="_Toc7850"/>
      <w:r>
        <w:rPr>
          <w:rFonts w:hint="eastAsia" w:ascii="宋体" w:hAnsi="宋体" w:eastAsia="宋体" w:cs="宋体"/>
          <w:color w:val="auto"/>
          <w:sz w:val="28"/>
          <w:szCs w:val="28"/>
          <w:highlight w:val="none"/>
        </w:rPr>
        <w:t>中小企业声明函（服务）</w:t>
      </w:r>
      <w:bookmarkEnd w:id="224"/>
      <w:bookmarkEnd w:id="225"/>
    </w:p>
    <w:p>
      <w:pPr>
        <w:rPr>
          <w:rFonts w:hint="eastAsia" w:ascii="宋体" w:hAnsi="宋体" w:eastAsia="宋体" w:cs="宋体"/>
          <w:color w:val="auto"/>
          <w:sz w:val="22"/>
          <w:szCs w:val="21"/>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 xml:space="preserve">的（项目名称）采购活动，工程的施工单位全部为符合政策要求的中小企业（或者：服务全部由符合政策要求的中小企业承接）。相关企业（含联合体中的中小企业、签订分包意向协议的中小企业）的具体情况如下：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pStyle w:val="47"/>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pPr>
        <w:pStyle w:val="48"/>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spacing w:line="360" w:lineRule="auto"/>
        <w:ind w:firstLine="2640" w:firstLineChars="1100"/>
        <w:jc w:val="right"/>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（加盖单位公章）</w:t>
      </w:r>
    </w:p>
    <w:p>
      <w:pPr>
        <w:keepNext w:val="0"/>
        <w:keepLines w:val="0"/>
        <w:pageBreakBefore w:val="0"/>
        <w:widowControl/>
        <w:kinsoku/>
        <w:wordWrap/>
        <w:overflowPunct/>
        <w:topLinePunct w:val="0"/>
        <w:autoSpaceDE/>
        <w:autoSpaceDN/>
        <w:bidi w:val="0"/>
        <w:adjustRightInd/>
        <w:snapToGrid/>
        <w:spacing w:line="360" w:lineRule="auto"/>
        <w:ind w:firstLine="2640" w:firstLineChars="11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47"/>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宋体" w:hAnsi="宋体" w:eastAsia="宋体" w:cs="宋体"/>
          <w:color w:val="auto"/>
          <w:sz w:val="24"/>
          <w:szCs w:val="24"/>
          <w:highlight w:val="none"/>
        </w:rPr>
      </w:pPr>
    </w:p>
    <w:p>
      <w:pPr>
        <w:pStyle w:val="47"/>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宋体" w:hAnsi="宋体" w:eastAsia="宋体" w:cs="宋体"/>
          <w:color w:val="auto"/>
          <w:sz w:val="24"/>
          <w:szCs w:val="32"/>
          <w:highlight w:val="none"/>
        </w:rPr>
      </w:pPr>
    </w:p>
    <w:p>
      <w:pPr>
        <w:pStyle w:val="47"/>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color w:val="auto"/>
          <w:sz w:val="24"/>
          <w:szCs w:val="32"/>
          <w:highlight w:val="none"/>
          <w:lang w:eastAsia="zh-CN"/>
        </w:rPr>
        <w:sectPr>
          <w:pgSz w:w="11906" w:h="16838"/>
          <w:pgMar w:top="1440" w:right="1800" w:bottom="1440" w:left="1800" w:header="851" w:footer="992" w:gutter="0"/>
          <w:pgNumType w:fmt="decimal"/>
          <w:cols w:space="0" w:num="1"/>
          <w:docGrid w:linePitch="312" w:charSpace="0"/>
        </w:sectPr>
      </w:pPr>
      <w:r>
        <w:rPr>
          <w:rFonts w:hint="eastAsia" w:ascii="宋体" w:hAnsi="宋体" w:eastAsia="宋体" w:cs="宋体"/>
          <w:b w:val="0"/>
          <w:bCs/>
          <w:color w:val="auto"/>
          <w:sz w:val="24"/>
          <w:szCs w:val="24"/>
          <w:highlight w:val="none"/>
        </w:rPr>
        <w:t>注：从业人员、营业收入、资产总额填报上一年度数据，无上一年度数据的新成立企业可不填报</w:t>
      </w:r>
      <w:r>
        <w:rPr>
          <w:rFonts w:hint="eastAsia" w:ascii="宋体" w:hAnsi="宋体" w:eastAsia="宋体" w:cs="宋体"/>
          <w:b w:val="0"/>
          <w:bCs/>
          <w:color w:val="auto"/>
          <w:sz w:val="24"/>
          <w:szCs w:val="24"/>
          <w:highlight w:val="none"/>
          <w:lang w:eastAsia="zh-CN"/>
        </w:rPr>
        <w:t>。</w:t>
      </w:r>
    </w:p>
    <w:p>
      <w:pPr>
        <w:pStyle w:val="4"/>
        <w:pageBreakBefore w:val="0"/>
        <w:kinsoku/>
        <w:wordWrap/>
        <w:overflowPunct/>
        <w:topLinePunct w:val="0"/>
        <w:bidi w:val="0"/>
        <w:spacing w:before="0" w:after="0" w:line="360" w:lineRule="auto"/>
        <w:jc w:val="both"/>
        <w:textAlignment w:val="auto"/>
        <w:rPr>
          <w:rFonts w:hint="eastAsia" w:ascii="宋体" w:hAnsi="宋体" w:eastAsia="宋体" w:cs="宋体"/>
          <w:sz w:val="28"/>
          <w:szCs w:val="28"/>
          <w:highlight w:val="none"/>
        </w:rPr>
      </w:pPr>
      <w:bookmarkStart w:id="226" w:name="_Toc5888432"/>
      <w:bookmarkStart w:id="227" w:name="_Toc32472"/>
      <w:bookmarkStart w:id="228" w:name="_Toc6609"/>
      <w:r>
        <w:rPr>
          <w:rFonts w:hint="eastAsia" w:ascii="宋体" w:hAnsi="宋体" w:cs="宋体"/>
          <w:sz w:val="28"/>
          <w:szCs w:val="28"/>
          <w:highlight w:val="none"/>
          <w:lang w:val="en-US" w:eastAsia="zh-CN"/>
        </w:rPr>
        <w:t>14</w:t>
      </w:r>
      <w:r>
        <w:rPr>
          <w:rFonts w:hint="eastAsia" w:ascii="宋体" w:hAnsi="宋体" w:eastAsia="宋体" w:cs="宋体"/>
          <w:sz w:val="28"/>
          <w:szCs w:val="28"/>
          <w:highlight w:val="none"/>
        </w:rPr>
        <w:t>.《残疾人福利性单位声明函》</w:t>
      </w:r>
      <w:bookmarkEnd w:id="226"/>
      <w:bookmarkEnd w:id="227"/>
      <w:bookmarkEnd w:id="228"/>
      <w:r>
        <w:rPr>
          <w:rFonts w:hint="eastAsia" w:ascii="宋体" w:hAnsi="宋体" w:eastAsia="宋体" w:cs="宋体"/>
          <w:sz w:val="28"/>
          <w:szCs w:val="28"/>
          <w:highlight w:val="none"/>
        </w:rPr>
        <w:t>（若有）</w:t>
      </w:r>
    </w:p>
    <w:p>
      <w:pPr>
        <w:pageBreakBefore w:val="0"/>
        <w:kinsoku/>
        <w:wordWrap/>
        <w:overflowPunct/>
        <w:topLinePunct w:val="0"/>
        <w:bidi w:val="0"/>
        <w:spacing w:line="360" w:lineRule="auto"/>
        <w:jc w:val="center"/>
        <w:textAlignment w:val="auto"/>
        <w:rPr>
          <w:rFonts w:hint="eastAsia" w:ascii="宋体" w:hAnsi="宋体" w:eastAsia="宋体" w:cs="宋体"/>
          <w:b/>
          <w:sz w:val="28"/>
          <w:szCs w:val="28"/>
          <w:highlight w:val="none"/>
        </w:rPr>
      </w:pPr>
    </w:p>
    <w:p>
      <w:pPr>
        <w:pageBreakBefore w:val="0"/>
        <w:kinsoku/>
        <w:wordWrap/>
        <w:overflowPunct/>
        <w:topLinePunct w:val="0"/>
        <w:bidi w:val="0"/>
        <w:spacing w:line="360" w:lineRule="auto"/>
        <w:jc w:val="center"/>
        <w:textAlignment w:val="auto"/>
        <w:outlineLvl w:val="0"/>
        <w:rPr>
          <w:rFonts w:hint="eastAsia" w:ascii="宋体" w:hAnsi="宋体" w:eastAsia="宋体" w:cs="宋体"/>
          <w:b/>
          <w:sz w:val="28"/>
          <w:szCs w:val="28"/>
          <w:highlight w:val="none"/>
        </w:rPr>
      </w:pPr>
      <w:bookmarkStart w:id="229" w:name="_Toc6759"/>
      <w:r>
        <w:rPr>
          <w:rFonts w:hint="eastAsia" w:ascii="宋体" w:hAnsi="宋体" w:eastAsia="宋体" w:cs="宋体"/>
          <w:b/>
          <w:sz w:val="28"/>
          <w:szCs w:val="28"/>
          <w:highlight w:val="none"/>
        </w:rPr>
        <w:t>残疾人福利性单位声明函</w:t>
      </w:r>
      <w:bookmarkEnd w:id="229"/>
    </w:p>
    <w:p>
      <w:pPr>
        <w:pageBreakBefore w:val="0"/>
        <w:kinsoku/>
        <w:wordWrap/>
        <w:overflowPunct/>
        <w:topLinePunct w:val="0"/>
        <w:bidi w:val="0"/>
        <w:spacing w:line="360" w:lineRule="auto"/>
        <w:jc w:val="center"/>
        <w:textAlignment w:val="auto"/>
        <w:rPr>
          <w:rFonts w:hint="eastAsia" w:ascii="宋体" w:hAnsi="宋体" w:eastAsia="宋体" w:cs="宋体"/>
          <w:b/>
          <w:sz w:val="28"/>
          <w:szCs w:val="28"/>
          <w:highlight w:val="none"/>
        </w:rPr>
      </w:pP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kinsoku/>
        <w:wordWrap/>
        <w:overflowPunct/>
        <w:topLinePunct w:val="0"/>
        <w:bidi w:val="0"/>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pPr>
        <w:pageBreakBefore w:val="0"/>
        <w:kinsoku/>
        <w:wordWrap/>
        <w:overflowPunct/>
        <w:topLinePunct w:val="0"/>
        <w:bidi w:val="0"/>
        <w:spacing w:line="360" w:lineRule="auto"/>
        <w:jc w:val="center"/>
        <w:textAlignment w:val="auto"/>
        <w:rPr>
          <w:rFonts w:hint="eastAsia" w:ascii="宋体" w:hAnsi="宋体" w:eastAsia="宋体" w:cs="宋体"/>
          <w:sz w:val="24"/>
          <w:szCs w:val="24"/>
          <w:highlight w:val="none"/>
        </w:rPr>
      </w:pPr>
    </w:p>
    <w:p>
      <w:pPr>
        <w:pageBreakBefore w:val="0"/>
        <w:kinsoku/>
        <w:wordWrap/>
        <w:overflowPunct/>
        <w:topLinePunct w:val="0"/>
        <w:bidi w:val="0"/>
        <w:spacing w:line="360" w:lineRule="auto"/>
        <w:jc w:val="center"/>
        <w:textAlignment w:val="auto"/>
        <w:rPr>
          <w:rFonts w:hint="eastAsia" w:ascii="宋体" w:hAnsi="宋体" w:eastAsia="宋体" w:cs="宋体"/>
          <w:sz w:val="24"/>
          <w:szCs w:val="24"/>
          <w:highlight w:val="none"/>
        </w:rPr>
      </w:pPr>
    </w:p>
    <w:p>
      <w:pPr>
        <w:pageBreakBefore w:val="0"/>
        <w:kinsoku/>
        <w:wordWrap/>
        <w:overflowPunct/>
        <w:topLinePunct w:val="0"/>
        <w:bidi w:val="0"/>
        <w:spacing w:line="360" w:lineRule="auto"/>
        <w:jc w:val="center"/>
        <w:textAlignment w:val="auto"/>
        <w:rPr>
          <w:rFonts w:hint="eastAsia" w:ascii="宋体" w:hAnsi="宋体" w:eastAsia="宋体" w:cs="宋体"/>
          <w:sz w:val="24"/>
          <w:szCs w:val="24"/>
          <w:highlight w:val="none"/>
        </w:rPr>
      </w:pPr>
      <w:bookmarkStart w:id="230" w:name="_Toc8019_WPSOffice_Level1"/>
      <w:bookmarkEnd w:id="230"/>
      <w:r>
        <w:rPr>
          <w:rFonts w:hint="eastAsia" w:ascii="宋体" w:hAnsi="宋体" w:eastAsia="宋体" w:cs="宋体"/>
          <w:sz w:val="24"/>
          <w:szCs w:val="24"/>
          <w:highlight w:val="none"/>
        </w:rPr>
        <w:t>单位名称（盖章）：</w:t>
      </w:r>
    </w:p>
    <w:p>
      <w:pPr>
        <w:pStyle w:val="47"/>
        <w:ind w:firstLine="4080" w:firstLineChars="1700"/>
        <w:rPr>
          <w:rFonts w:hint="eastAsia"/>
          <w:b w:val="0"/>
          <w:bCs/>
          <w:color w:val="auto"/>
        </w:rPr>
      </w:pPr>
      <w:bookmarkStart w:id="231" w:name="_Toc4531_WPSOffice_Level1"/>
      <w:bookmarkEnd w:id="231"/>
      <w:r>
        <w:rPr>
          <w:rFonts w:hint="eastAsia" w:ascii="宋体" w:hAnsi="宋体" w:eastAsia="宋体" w:cs="宋体"/>
          <w:b w:val="0"/>
          <w:bCs/>
          <w:sz w:val="24"/>
          <w:szCs w:val="24"/>
          <w:highlight w:val="none"/>
        </w:rPr>
        <w:t>日  期：</w:t>
      </w:r>
      <w:bookmarkEnd w:id="213"/>
      <w:bookmarkEnd w:id="214"/>
    </w:p>
    <w:p/>
    <w:p/>
    <w:p/>
    <w:p/>
    <w:p/>
    <w:p/>
    <w:p/>
    <w:p/>
    <w:p/>
    <w:p/>
    <w:p/>
    <w:p/>
    <w:p/>
    <w:p/>
    <w:p/>
    <w:p/>
    <w:p/>
    <w:p/>
    <w:p/>
    <w:p/>
    <w:p>
      <w:pPr>
        <w:rPr>
          <w:rFonts w:hint="eastAsia" w:ascii="宋体" w:hAnsi="宋体" w:eastAsia="宋体" w:cs="宋体"/>
          <w:b/>
          <w:color w:val="auto"/>
          <w:sz w:val="28"/>
          <w:szCs w:val="28"/>
          <w:highlight w:val="none"/>
          <w:u w:val="none" w:color="000000"/>
          <w:lang w:val="en-US" w:eastAsia="zh-CN" w:bidi="ar-SA"/>
        </w:rPr>
      </w:pPr>
      <w:r>
        <w:rPr>
          <w:rFonts w:hint="eastAsia" w:ascii="宋体" w:hAnsi="宋体" w:eastAsia="宋体" w:cs="宋体"/>
          <w:b/>
          <w:color w:val="auto"/>
          <w:sz w:val="28"/>
          <w:szCs w:val="28"/>
          <w:highlight w:val="none"/>
          <w:u w:val="none" w:color="000000"/>
          <w:lang w:val="en-US" w:eastAsia="zh-CN" w:bidi="ar-SA"/>
        </w:rPr>
        <w:t>1</w:t>
      </w:r>
      <w:r>
        <w:rPr>
          <w:rFonts w:hint="eastAsia" w:ascii="宋体" w:hAnsi="宋体" w:cs="宋体"/>
          <w:b/>
          <w:color w:val="auto"/>
          <w:sz w:val="28"/>
          <w:szCs w:val="28"/>
          <w:highlight w:val="none"/>
          <w:u w:val="none" w:color="000000"/>
          <w:lang w:val="en-US" w:eastAsia="zh-CN" w:bidi="ar-SA"/>
        </w:rPr>
        <w:t>5</w:t>
      </w:r>
      <w:r>
        <w:rPr>
          <w:rFonts w:hint="eastAsia" w:ascii="宋体" w:hAnsi="宋体" w:eastAsia="宋体" w:cs="宋体"/>
          <w:b/>
          <w:color w:val="auto"/>
          <w:sz w:val="28"/>
          <w:szCs w:val="28"/>
          <w:highlight w:val="none"/>
          <w:u w:val="none" w:color="000000"/>
          <w:lang w:val="en-US" w:eastAsia="zh-CN" w:bidi="ar-SA"/>
        </w:rPr>
        <w:t>.</w:t>
      </w:r>
      <w:r>
        <w:rPr>
          <w:rFonts w:hint="eastAsia" w:ascii="宋体" w:hAnsi="宋体" w:cs="宋体"/>
          <w:b/>
          <w:color w:val="auto"/>
          <w:sz w:val="28"/>
          <w:szCs w:val="28"/>
          <w:highlight w:val="none"/>
          <w:u w:val="none" w:color="000000"/>
          <w:lang w:val="en-US" w:eastAsia="zh-CN" w:bidi="ar-SA"/>
        </w:rPr>
        <w:t>《</w:t>
      </w:r>
      <w:r>
        <w:rPr>
          <w:rFonts w:hint="eastAsia" w:ascii="宋体" w:hAnsi="宋体" w:eastAsia="宋体" w:cs="宋体"/>
          <w:b/>
          <w:color w:val="auto"/>
          <w:sz w:val="28"/>
          <w:szCs w:val="28"/>
          <w:highlight w:val="none"/>
          <w:u w:val="none" w:color="000000"/>
          <w:lang w:val="en-US" w:eastAsia="zh-CN" w:bidi="ar-SA"/>
        </w:rPr>
        <w:t>监狱企业证明函</w:t>
      </w:r>
      <w:r>
        <w:rPr>
          <w:rFonts w:hint="eastAsia" w:ascii="宋体" w:hAnsi="宋体" w:cs="宋体"/>
          <w:b/>
          <w:color w:val="auto"/>
          <w:sz w:val="28"/>
          <w:szCs w:val="28"/>
          <w:highlight w:val="none"/>
          <w:u w:val="none" w:color="000000"/>
          <w:lang w:val="en-US" w:eastAsia="zh-CN" w:bidi="ar-SA"/>
        </w:rPr>
        <w:t>》（若有）</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说明：当且仅当供应商为监狱企业的，应当提供由省级以上监狱管理局、戒毒管理局（含新疆生产建设兵团）出具的属于监狱企业的证明函（格式不限）。</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未提供证明函的，将不能享受招标文件规定的价格优惠政策，但不影响投标文件的有效性。</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监狱企业证明函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p>
    <w:p>
      <w:pPr>
        <w:pageBreakBefore w:val="0"/>
        <w:kinsoku/>
        <w:wordWrap/>
        <w:overflowPunct/>
        <w:topLinePunct w:val="0"/>
        <w:bidi w:val="0"/>
        <w:spacing w:line="360" w:lineRule="auto"/>
        <w:jc w:val="center"/>
        <w:textAlignment w:val="auto"/>
        <w:rPr>
          <w:rFonts w:hint="eastAsia" w:ascii="宋体" w:hAnsi="宋体" w:eastAsia="宋体" w:cs="宋体"/>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日  期：</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sz w:val="28"/>
          <w:szCs w:val="28"/>
          <w:highlight w:val="none"/>
          <w:lang w:val="en-US" w:eastAsia="zh-CN"/>
        </w:rPr>
      </w:pPr>
    </w:p>
    <w:sectPr>
      <w:headerReference r:id="rId32" w:type="default"/>
      <w:footerReference r:id="rId33" w:type="default"/>
      <w:pgSz w:w="11906" w:h="16838"/>
      <w:pgMar w:top="1440" w:right="1800" w:bottom="1440" w:left="1800" w:header="851" w:footer="992"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0000000000000000000"/>
    <w:charset w:val="86"/>
    <w:family w:val="modern"/>
    <w:pitch w:val="default"/>
    <w:sig w:usb0="00000000" w:usb1="00000000"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TSong">
    <w:altName w:val="宋体"/>
    <w:panose1 w:val="02010600040101010101"/>
    <w:charset w:val="86"/>
    <w:family w:val="auto"/>
    <w:pitch w:val="default"/>
    <w:sig w:usb0="00000000" w:usb1="00000000" w:usb2="00000000" w:usb3="00000000" w:csb0="0004009F" w:csb1="DFD70000"/>
  </w:font>
  <w:font w:name="Consolas">
    <w:panose1 w:val="020B0609020204030204"/>
    <w:charset w:val="00"/>
    <w:family w:val="auto"/>
    <w:pitch w:val="default"/>
    <w:sig w:usb0="E00006FF" w:usb1="0000FCFF" w:usb2="00000001" w:usb3="00000000" w:csb0="6000019F" w:csb1="DFD70000"/>
  </w:font>
  <w:font w:name="仿宋_GB2312">
    <w:altName w:val="仿宋"/>
    <w:panose1 w:val="02010609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80" w:lineRule="exact"/>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rPr>
        <w:rStyle w:val="29"/>
      </w:rPr>
    </w:pPr>
  </w:p>
  <w:p>
    <w:pPr>
      <w:rPr>
        <w:rFonts w:hint="eastAsia"/>
      </w:rPr>
    </w:pP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29"/>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rPr>
        <w:rStyle w:val="29"/>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p>
    <w:pPr>
      <w:rPr>
        <w:rFonts w:hint="eastAsia"/>
      </w:rPr>
    </w:pP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36</w:t>
                    </w:r>
                    <w:r>
                      <w:fldChar w:fldCharType="end"/>
                    </w:r>
                  </w:p>
                </w:txbxContent>
              </v:textbox>
            </v:shape>
          </w:pict>
        </mc:Fallback>
      </mc:AlternateContent>
    </w:r>
  </w:p>
  <w:p>
    <w:pPr>
      <w:spacing w:line="280" w:lineRule="exact"/>
      <w:rPr>
        <w:rFonts w:hint="eastAsia"/>
        <w:b/>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35</w:t>
                    </w:r>
                    <w:r>
                      <w:fldChar w:fldCharType="end"/>
                    </w:r>
                  </w:p>
                </w:txbxContent>
              </v:textbox>
            </v:shape>
          </w:pict>
        </mc:Fallback>
      </mc:AlternateContent>
    </w:r>
  </w:p>
  <w:p>
    <w:pPr>
      <w:pStyle w:val="1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40"/>
        <w:tab w:val="right" w:pos="8300"/>
        <w:tab w:val="clear" w:pos="4153"/>
        <w:tab w:val="clear" w:pos="8306"/>
      </w:tabs>
      <w:jc w:val="center"/>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enter" w:pos="4140"/>
        <w:tab w:val="right" w:pos="8300"/>
        <w:tab w:val="clear" w:pos="4153"/>
        <w:tab w:val="clear" w:pos="8306"/>
      </w:tabs>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67</w:t>
    </w:r>
    <w:r>
      <w:rPr>
        <w:b/>
        <w:sz w:val="24"/>
        <w:szCs w:val="24"/>
      </w:rPr>
      <w:fldChar w:fldCharType="end"/>
    </w:r>
  </w:p>
  <w:p>
    <w:pPr>
      <w:spacing w:line="280" w:lineRule="exact"/>
      <w:jc w:val="center"/>
      <w:rPr>
        <w:rStyle w:val="29"/>
        <w:rFonts w:hint="eastAsia"/>
        <w:b/>
        <w:szCs w:val="21"/>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b/>
        <w:sz w:val="24"/>
        <w:szCs w:val="24"/>
      </w:rPr>
      <w:fldChar w:fldCharType="begin"/>
    </w:r>
    <w:r>
      <w:rPr>
        <w:b/>
        <w:sz w:val="24"/>
        <w:szCs w:val="24"/>
      </w:rPr>
      <w:instrText xml:space="preserve"> PAGE \* Arabic </w:instrText>
    </w:r>
    <w:r>
      <w:rPr>
        <w:b/>
        <w:sz w:val="24"/>
        <w:szCs w:val="24"/>
      </w:rPr>
      <w:fldChar w:fldCharType="separate"/>
    </w:r>
    <w:r>
      <w:rPr>
        <w:b/>
        <w:sz w:val="24"/>
        <w:szCs w:val="24"/>
      </w:rPr>
      <w:t>57</w:t>
    </w:r>
    <w:r>
      <w:rPr>
        <w:b/>
        <w:sz w:val="24"/>
        <w:szCs w:val="24"/>
      </w:rPr>
      <w:fldChar w:fldCharType="end"/>
    </w:r>
    <w:r>
      <w:t xml:space="preserve"> / </w:t>
    </w:r>
    <w:r>
      <w:rPr>
        <w:b/>
        <w:sz w:val="24"/>
        <w:szCs w:val="24"/>
      </w:rPr>
      <w:fldChar w:fldCharType="begin"/>
    </w:r>
    <w:r>
      <w:rPr>
        <w:b/>
        <w:sz w:val="24"/>
        <w:szCs w:val="24"/>
      </w:rPr>
      <w:instrText xml:space="preserve"> NUMPAGES \* Arabic </w:instrText>
    </w:r>
    <w:r>
      <w:rPr>
        <w:b/>
        <w:sz w:val="24"/>
        <w:szCs w:val="24"/>
      </w:rPr>
      <w:fldChar w:fldCharType="separate"/>
    </w:r>
    <w:r>
      <w:rPr>
        <w:b/>
        <w:sz w:val="24"/>
        <w:szCs w:val="24"/>
      </w:rPr>
      <w:t>57</w:t>
    </w:r>
    <w:r>
      <w:rPr>
        <w:b/>
        <w:sz w:val="24"/>
        <w:szCs w:val="24"/>
      </w:rPr>
      <w:fldChar w:fldCharType="end"/>
    </w:r>
  </w:p>
  <w:p>
    <w:pPr>
      <w:spacing w:line="280" w:lineRule="exact"/>
      <w:jc w:val="center"/>
      <w:rPr>
        <w:b/>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shd w:val="clear"/>
      <w:spacing w:line="460" w:lineRule="exact"/>
      <w:ind w:firstLine="2520" w:firstLineChars="900"/>
      <w:jc w:val="left"/>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rPr>
        <w:rFonts w:hint="eastAsia" w:ascii="宋体" w:hAnsi="宋体" w:eastAsia="宋体" w:cs="宋体"/>
        <w:b/>
        <w:bCs w:val="0"/>
        <w:i w:val="0"/>
        <w:iCs w:val="0"/>
        <w:sz w:val="18"/>
        <w:szCs w:val="18"/>
        <w:u w:val="none"/>
        <w:shd w:val="clear" w:color="auto" w:fill="auto"/>
        <w:lang w:eastAsia="zh-CN"/>
      </w:rPr>
    </w:pPr>
  </w:p>
  <w:p>
    <w:pPr>
      <w:pStyle w:val="16"/>
      <w:pBdr>
        <w:bottom w:val="none" w:color="auto" w:sz="0" w:space="1"/>
      </w:pBdr>
      <w:rPr>
        <w:rFonts w:hint="eastAsia" w:ascii="宋体" w:hAnsi="宋体" w:eastAsia="宋体" w:cs="宋体"/>
        <w:b/>
        <w:bCs w:val="0"/>
        <w:i w:val="0"/>
        <w:iCs w:val="0"/>
        <w:sz w:val="18"/>
        <w:szCs w:val="18"/>
        <w:u w:val="none"/>
        <w:shd w:val="clear" w:color="auto" w:fill="auto"/>
        <w:lang w:eastAsia="zh-CN"/>
      </w:rPr>
    </w:pPr>
  </w:p>
  <w:p>
    <w:pPr>
      <w:pStyle w:val="16"/>
      <w:pBdr>
        <w:bottom w:val="none" w:color="auto" w:sz="0" w:space="1"/>
      </w:pBdr>
      <w:jc w:val="both"/>
      <w:rPr>
        <w:rFonts w:hint="eastAsia" w:ascii="宋体" w:hAnsi="宋体" w:eastAsia="宋体" w:cs="宋体"/>
        <w:b/>
        <w:bCs w:val="0"/>
        <w:i w:val="0"/>
        <w:iCs w:val="0"/>
        <w:sz w:val="18"/>
        <w:szCs w:val="18"/>
        <w:u w:val="none"/>
        <w:shd w:val="clear" w:color="auto" w:fill="auto"/>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rPr>
    </w:pPr>
    <w:r>
      <w:rPr>
        <w:rFonts w:hint="eastAsia" w:ascii="宋体" w:hAnsi="宋体" w:eastAsia="宋体" w:cs="宋体"/>
        <w:b w:val="0"/>
        <w:bCs/>
        <w:i/>
        <w:iCs/>
        <w:sz w:val="18"/>
        <w:szCs w:val="18"/>
        <w:u w:val="none"/>
        <w:shd w:val="clear" w:color="auto" w:fill="auto"/>
        <w:lang w:val="en-US" w:eastAsia="zh-CN"/>
      </w:rPr>
      <w:t xml:space="preserve"> </w:t>
    </w:r>
    <w:r>
      <w:rPr>
        <w:rFonts w:hint="eastAsia" w:ascii="宋体" w:hAnsi="宋体" w:cs="宋体"/>
        <w:b w:val="0"/>
        <w:bCs/>
        <w:i/>
        <w:iCs/>
        <w:sz w:val="18"/>
        <w:szCs w:val="18"/>
        <w:u w:val="none"/>
        <w:shd w:val="clear" w:color="auto" w:fill="auto"/>
        <w:lang w:val="en-US" w:eastAsia="zh-CN"/>
      </w:rPr>
      <w:t xml:space="preserve">     </w:t>
    </w:r>
    <w:r>
      <w:rPr>
        <w:rFonts w:hint="eastAsia" w:ascii="宋体" w:hAnsi="宋体" w:eastAsia="宋体" w:cs="宋体"/>
        <w:b w:val="0"/>
        <w:bCs/>
        <w:i/>
        <w:iCs/>
        <w:sz w:val="18"/>
        <w:szCs w:val="18"/>
        <w:u w:val="none"/>
        <w:shd w:val="clear" w:color="auto" w:fill="auto"/>
        <w:lang w:val="en-US" w:eastAsia="zh-CN"/>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ind w:firstLine="2711" w:firstLineChars="1500"/>
      <w:jc w:val="left"/>
      <w:rPr>
        <w:rFonts w:hint="eastAsia" w:ascii="宋体" w:hAnsi="宋体" w:eastAsia="宋体" w:cs="宋体"/>
        <w:b/>
        <w:bCs w:val="0"/>
        <w:i w:val="0"/>
        <w:iCs w:val="0"/>
        <w:sz w:val="18"/>
        <w:szCs w:val="18"/>
        <w:u w:val="none"/>
        <w:shd w:val="clear" w:color="auto" w:fill="auto"/>
        <w:lang w:eastAsia="zh-CN"/>
      </w:rPr>
    </w:pPr>
  </w:p>
  <w:p>
    <w:pPr>
      <w:pStyle w:val="16"/>
      <w:pBdr>
        <w:bottom w:val="none" w:color="auto" w:sz="0" w:space="1"/>
      </w:pBdr>
      <w:ind w:firstLine="2711" w:firstLineChars="1500"/>
      <w:jc w:val="left"/>
      <w:rPr>
        <w:rFonts w:hint="eastAsia" w:ascii="宋体" w:hAnsi="宋体" w:eastAsia="宋体" w:cs="宋体"/>
        <w:b/>
        <w:bCs w:val="0"/>
        <w:i w:val="0"/>
        <w:iCs w:val="0"/>
        <w:sz w:val="18"/>
        <w:szCs w:val="18"/>
        <w:u w:val="none"/>
        <w:shd w:val="clear" w:color="auto" w:fill="auto"/>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rPr>
    </w:pPr>
    <w:r>
      <w:rPr>
        <w:rFonts w:hint="eastAsia" w:ascii="宋体" w:hAnsi="宋体"/>
        <w:b/>
        <w:sz w:val="18"/>
        <w:szCs w:val="18"/>
        <w:u w:val="single"/>
        <w:shd w:val="pct10" w:color="auto" w:fill="FFFFFF"/>
      </w:rPr>
      <w:t>凤县“8.16”洪水灾后重建水毁堤防修复工程及监理采购项目                            项目编号:ZBZB-2022-1890-01</w:t>
    </w:r>
  </w:p>
  <w:p>
    <w:pPr>
      <w:pStyle w:val="16"/>
      <w:jc w:val="both"/>
      <w:rPr>
        <w:rFonts w:hint="eastAsia"/>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0" w:lineRule="exact"/>
      <w:rPr>
        <w:rFonts w:hint="eastAsia" w:eastAsiaTheme="minorEastAsia"/>
        <w:lang w:eastAsia="zh-CN"/>
      </w:rPr>
    </w:pPr>
    <w:r>
      <w:rPr>
        <w:rFonts w:hint="eastAsia" w:ascii="宋体" w:hAnsi="宋体"/>
        <w:b/>
        <w:szCs w:val="21"/>
        <w:u w:val="single"/>
        <w:shd w:val="pct10" w:color="auto" w:fill="FFFFFF"/>
        <w:lang w:eastAsia="zh-CN"/>
      </w:rPr>
      <w:t xml:space="preserve"> 麟游县医院护理专业实训基地建设项目</w:t>
    </w:r>
    <w:r>
      <w:rPr>
        <w:rFonts w:hint="eastAsia" w:ascii="宋体" w:hAnsi="宋体"/>
        <w:b/>
        <w:szCs w:val="21"/>
        <w:u w:val="single"/>
        <w:shd w:val="pct10" w:color="auto" w:fill="FFFFFF"/>
      </w:rPr>
      <w:t xml:space="preserve">                          </w:t>
    </w:r>
    <w:r>
      <w:rPr>
        <w:rFonts w:hint="eastAsia" w:ascii="宋体" w:hAnsi="宋体"/>
        <w:b/>
        <w:szCs w:val="21"/>
        <w:u w:val="single"/>
        <w:shd w:val="pct10" w:color="auto" w:fill="FFFFFF"/>
        <w:lang w:val="en-US" w:eastAsia="zh-CN"/>
      </w:rPr>
      <w:t xml:space="preserve"> </w:t>
    </w:r>
    <w:r>
      <w:rPr>
        <w:rFonts w:hint="eastAsia" w:ascii="宋体" w:hAnsi="宋体"/>
        <w:b/>
        <w:szCs w:val="21"/>
        <w:u w:val="single"/>
        <w:shd w:val="pct10" w:color="auto" w:fill="FFFFFF"/>
      </w:rPr>
      <w:t xml:space="preserve">      </w:t>
    </w:r>
    <w:r>
      <w:rPr>
        <w:rFonts w:hint="eastAsia" w:ascii="宋体" w:hAnsi="宋体"/>
        <w:b/>
        <w:szCs w:val="21"/>
        <w:u w:val="single"/>
        <w:shd w:val="pct10" w:color="auto" w:fill="FFFFFF"/>
        <w:lang w:eastAsia="zh-CN"/>
      </w:rPr>
      <w:t>项目编号：ZBZB-2022-1956</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p>
    <w:pPr>
      <w:pStyle w:val="16"/>
      <w:pBdr>
        <w:bottom w:val="none" w:color="auto" w:sz="0" w:space="1"/>
      </w:pBdr>
      <w:jc w:val="left"/>
      <w:rPr>
        <w:rFonts w:hint="eastAsia" w:ascii="宋体" w:hAnsi="宋体" w:eastAsia="宋体" w:cs="宋体"/>
        <w:b/>
        <w:bCs w:val="0"/>
        <w:i w:val="0"/>
        <w:iCs w:val="0"/>
        <w:sz w:val="15"/>
        <w:szCs w:val="15"/>
        <w:u w:val="none"/>
        <w:shd w:val="clear" w:color="auto" w:fill="auto"/>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C90957"/>
    <w:multiLevelType w:val="singleLevel"/>
    <w:tmpl w:val="FEC90957"/>
    <w:lvl w:ilvl="0" w:tentative="0">
      <w:start w:val="1"/>
      <w:numFmt w:val="decimal"/>
      <w:suff w:val="nothing"/>
      <w:lvlText w:val="%1、"/>
      <w:lvlJc w:val="left"/>
    </w:lvl>
  </w:abstractNum>
  <w:abstractNum w:abstractNumId="1">
    <w:nsid w:val="00000004"/>
    <w:multiLevelType w:val="singleLevel"/>
    <w:tmpl w:val="00000004"/>
    <w:lvl w:ilvl="0" w:tentative="0">
      <w:start w:val="1"/>
      <w:numFmt w:val="japaneseCounting"/>
      <w:lvlText w:val="第%1条"/>
      <w:lvlJc w:val="left"/>
      <w:pPr>
        <w:tabs>
          <w:tab w:val="left" w:pos="1521"/>
        </w:tabs>
        <w:ind w:left="1521" w:hanging="1095"/>
      </w:pPr>
      <w:rPr>
        <w:rFonts w:hint="eastAsia"/>
      </w:rPr>
    </w:lvl>
  </w:abstractNum>
  <w:abstractNum w:abstractNumId="2">
    <w:nsid w:val="0CF97A71"/>
    <w:multiLevelType w:val="singleLevel"/>
    <w:tmpl w:val="0CF97A71"/>
    <w:lvl w:ilvl="0" w:tentative="0">
      <w:start w:val="3"/>
      <w:numFmt w:val="chineseCounting"/>
      <w:suff w:val="space"/>
      <w:lvlText w:val="第%1部分"/>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numFmt w:val="decimal"/>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MzA0ODJkMzg0ZDliNzJiNTNkMDQ1NGZmMjRmYWIifQ=="/>
    <w:docVar w:name="KSO_WPS_MARK_KEY" w:val="60d4cffb-b2b7-47f5-9790-4b1dd05864ed"/>
  </w:docVars>
  <w:rsids>
    <w:rsidRoot w:val="1F2E4AC0"/>
    <w:rsid w:val="0002117A"/>
    <w:rsid w:val="00060C6A"/>
    <w:rsid w:val="001315D9"/>
    <w:rsid w:val="001D7D62"/>
    <w:rsid w:val="00303F39"/>
    <w:rsid w:val="003951E6"/>
    <w:rsid w:val="003B4745"/>
    <w:rsid w:val="004A52D4"/>
    <w:rsid w:val="005714C6"/>
    <w:rsid w:val="00593490"/>
    <w:rsid w:val="005A783E"/>
    <w:rsid w:val="005F6EF4"/>
    <w:rsid w:val="00682E76"/>
    <w:rsid w:val="006836D3"/>
    <w:rsid w:val="007007DA"/>
    <w:rsid w:val="00704336"/>
    <w:rsid w:val="00732078"/>
    <w:rsid w:val="00773916"/>
    <w:rsid w:val="008E0A85"/>
    <w:rsid w:val="008E5D2A"/>
    <w:rsid w:val="00935205"/>
    <w:rsid w:val="00936276"/>
    <w:rsid w:val="00950240"/>
    <w:rsid w:val="009A13B3"/>
    <w:rsid w:val="00A3470B"/>
    <w:rsid w:val="00AF1302"/>
    <w:rsid w:val="00B00BD6"/>
    <w:rsid w:val="00B25999"/>
    <w:rsid w:val="00BC57CD"/>
    <w:rsid w:val="00C30909"/>
    <w:rsid w:val="00C44682"/>
    <w:rsid w:val="00DF7EE9"/>
    <w:rsid w:val="00F76805"/>
    <w:rsid w:val="00FB62F5"/>
    <w:rsid w:val="010827C0"/>
    <w:rsid w:val="01170C55"/>
    <w:rsid w:val="012810B4"/>
    <w:rsid w:val="012D66CB"/>
    <w:rsid w:val="01384EE5"/>
    <w:rsid w:val="013C55EE"/>
    <w:rsid w:val="014416F0"/>
    <w:rsid w:val="014D0B1B"/>
    <w:rsid w:val="014E4FD3"/>
    <w:rsid w:val="015C48BA"/>
    <w:rsid w:val="01653229"/>
    <w:rsid w:val="01721055"/>
    <w:rsid w:val="017B58F6"/>
    <w:rsid w:val="01826A17"/>
    <w:rsid w:val="018C33F1"/>
    <w:rsid w:val="018C519F"/>
    <w:rsid w:val="018F2EE2"/>
    <w:rsid w:val="018F6A3E"/>
    <w:rsid w:val="01944054"/>
    <w:rsid w:val="01993D60"/>
    <w:rsid w:val="019D55FE"/>
    <w:rsid w:val="019D7AF8"/>
    <w:rsid w:val="01A0211D"/>
    <w:rsid w:val="01A4698D"/>
    <w:rsid w:val="01A7647D"/>
    <w:rsid w:val="01A93FA3"/>
    <w:rsid w:val="01AA0E46"/>
    <w:rsid w:val="01AF70E0"/>
    <w:rsid w:val="01B446F6"/>
    <w:rsid w:val="01C901A1"/>
    <w:rsid w:val="01CC1A40"/>
    <w:rsid w:val="01CF32DE"/>
    <w:rsid w:val="01E006F4"/>
    <w:rsid w:val="01E9469D"/>
    <w:rsid w:val="01EC0334"/>
    <w:rsid w:val="01F32060"/>
    <w:rsid w:val="01F33470"/>
    <w:rsid w:val="01F3521E"/>
    <w:rsid w:val="01F561BC"/>
    <w:rsid w:val="01FC1F6B"/>
    <w:rsid w:val="01FE213F"/>
    <w:rsid w:val="02002235"/>
    <w:rsid w:val="020531A4"/>
    <w:rsid w:val="021D673F"/>
    <w:rsid w:val="022B2D32"/>
    <w:rsid w:val="02313F99"/>
    <w:rsid w:val="023A3150"/>
    <w:rsid w:val="024006BB"/>
    <w:rsid w:val="024141DC"/>
    <w:rsid w:val="02497534"/>
    <w:rsid w:val="024E06A7"/>
    <w:rsid w:val="026E6F9B"/>
    <w:rsid w:val="027C16B8"/>
    <w:rsid w:val="0284056C"/>
    <w:rsid w:val="028A5F9E"/>
    <w:rsid w:val="02936A01"/>
    <w:rsid w:val="02B0310F"/>
    <w:rsid w:val="02BD4C7B"/>
    <w:rsid w:val="02C364B8"/>
    <w:rsid w:val="02C44457"/>
    <w:rsid w:val="02D0730E"/>
    <w:rsid w:val="02D2752A"/>
    <w:rsid w:val="02D74B40"/>
    <w:rsid w:val="02D841B2"/>
    <w:rsid w:val="02DE7C7D"/>
    <w:rsid w:val="02E828A9"/>
    <w:rsid w:val="02EA4873"/>
    <w:rsid w:val="02EB4148"/>
    <w:rsid w:val="02EB5557"/>
    <w:rsid w:val="03044D7C"/>
    <w:rsid w:val="030A6CC4"/>
    <w:rsid w:val="030F6088"/>
    <w:rsid w:val="03157416"/>
    <w:rsid w:val="03237D85"/>
    <w:rsid w:val="03304250"/>
    <w:rsid w:val="03305FFE"/>
    <w:rsid w:val="03321D76"/>
    <w:rsid w:val="03327FC8"/>
    <w:rsid w:val="0341645D"/>
    <w:rsid w:val="03426A86"/>
    <w:rsid w:val="03483348"/>
    <w:rsid w:val="035C5045"/>
    <w:rsid w:val="035D3297"/>
    <w:rsid w:val="0360415F"/>
    <w:rsid w:val="036839EA"/>
    <w:rsid w:val="0374413D"/>
    <w:rsid w:val="0379139B"/>
    <w:rsid w:val="037979A5"/>
    <w:rsid w:val="037B196F"/>
    <w:rsid w:val="03885E3A"/>
    <w:rsid w:val="03977E2B"/>
    <w:rsid w:val="03AC1B29"/>
    <w:rsid w:val="03C07382"/>
    <w:rsid w:val="03C230FA"/>
    <w:rsid w:val="03C26480"/>
    <w:rsid w:val="03C42540"/>
    <w:rsid w:val="03CA1FAF"/>
    <w:rsid w:val="03CF5817"/>
    <w:rsid w:val="03D13679"/>
    <w:rsid w:val="03D8291E"/>
    <w:rsid w:val="03E06642"/>
    <w:rsid w:val="03E2379C"/>
    <w:rsid w:val="03E72B43"/>
    <w:rsid w:val="03E76D9E"/>
    <w:rsid w:val="03E868D9"/>
    <w:rsid w:val="03EE0393"/>
    <w:rsid w:val="03F876A1"/>
    <w:rsid w:val="03F94508"/>
    <w:rsid w:val="040A2CF3"/>
    <w:rsid w:val="040C6A6B"/>
    <w:rsid w:val="040E26ED"/>
    <w:rsid w:val="041B0A5C"/>
    <w:rsid w:val="042711AF"/>
    <w:rsid w:val="043E6E1E"/>
    <w:rsid w:val="044C50BA"/>
    <w:rsid w:val="044E2BE0"/>
    <w:rsid w:val="045F303F"/>
    <w:rsid w:val="04610B65"/>
    <w:rsid w:val="04620439"/>
    <w:rsid w:val="04697A1A"/>
    <w:rsid w:val="046D38B7"/>
    <w:rsid w:val="047343F5"/>
    <w:rsid w:val="04743F71"/>
    <w:rsid w:val="047563BF"/>
    <w:rsid w:val="04876379"/>
    <w:rsid w:val="049A5F1B"/>
    <w:rsid w:val="049B394B"/>
    <w:rsid w:val="049C7E3A"/>
    <w:rsid w:val="049F343C"/>
    <w:rsid w:val="04A86794"/>
    <w:rsid w:val="04BD38C2"/>
    <w:rsid w:val="04C42EA2"/>
    <w:rsid w:val="04C8217C"/>
    <w:rsid w:val="04C904B8"/>
    <w:rsid w:val="04EA0D61"/>
    <w:rsid w:val="04F37401"/>
    <w:rsid w:val="04F75026"/>
    <w:rsid w:val="05184F9C"/>
    <w:rsid w:val="051E0804"/>
    <w:rsid w:val="052439C6"/>
    <w:rsid w:val="0548177D"/>
    <w:rsid w:val="054B711F"/>
    <w:rsid w:val="055E50A5"/>
    <w:rsid w:val="0561780D"/>
    <w:rsid w:val="056326BB"/>
    <w:rsid w:val="056A5D46"/>
    <w:rsid w:val="057132C7"/>
    <w:rsid w:val="057A48CB"/>
    <w:rsid w:val="05883ED0"/>
    <w:rsid w:val="058D598A"/>
    <w:rsid w:val="05952A19"/>
    <w:rsid w:val="0597569C"/>
    <w:rsid w:val="05AA2098"/>
    <w:rsid w:val="05AC4062"/>
    <w:rsid w:val="05B44CC5"/>
    <w:rsid w:val="05B60A3D"/>
    <w:rsid w:val="05B9052D"/>
    <w:rsid w:val="05CA76E5"/>
    <w:rsid w:val="05D15877"/>
    <w:rsid w:val="05D62E8D"/>
    <w:rsid w:val="05E01F5E"/>
    <w:rsid w:val="05E502F9"/>
    <w:rsid w:val="05E7509A"/>
    <w:rsid w:val="05F62DFC"/>
    <w:rsid w:val="060A6FDB"/>
    <w:rsid w:val="060E6ACB"/>
    <w:rsid w:val="06190FCC"/>
    <w:rsid w:val="0619721E"/>
    <w:rsid w:val="061D0ABC"/>
    <w:rsid w:val="06293905"/>
    <w:rsid w:val="062C51A3"/>
    <w:rsid w:val="06445BAE"/>
    <w:rsid w:val="064918B1"/>
    <w:rsid w:val="065169B7"/>
    <w:rsid w:val="06532730"/>
    <w:rsid w:val="065B7836"/>
    <w:rsid w:val="066E2BD5"/>
    <w:rsid w:val="066E30C6"/>
    <w:rsid w:val="06783F44"/>
    <w:rsid w:val="067B3A34"/>
    <w:rsid w:val="067D59FE"/>
    <w:rsid w:val="067E55C8"/>
    <w:rsid w:val="068060F9"/>
    <w:rsid w:val="0687687D"/>
    <w:rsid w:val="068E5516"/>
    <w:rsid w:val="06936C25"/>
    <w:rsid w:val="069A035E"/>
    <w:rsid w:val="06AD3F50"/>
    <w:rsid w:val="06AE7966"/>
    <w:rsid w:val="06B22C2C"/>
    <w:rsid w:val="06B244F7"/>
    <w:rsid w:val="06B55198"/>
    <w:rsid w:val="06B807E5"/>
    <w:rsid w:val="06C86FE7"/>
    <w:rsid w:val="06D25D4A"/>
    <w:rsid w:val="06EE175B"/>
    <w:rsid w:val="06F07F7E"/>
    <w:rsid w:val="06FA704F"/>
    <w:rsid w:val="06FC68A6"/>
    <w:rsid w:val="07027CB2"/>
    <w:rsid w:val="070B300A"/>
    <w:rsid w:val="071E0F8F"/>
    <w:rsid w:val="072D4D2F"/>
    <w:rsid w:val="07372051"/>
    <w:rsid w:val="073A38EF"/>
    <w:rsid w:val="07430B53"/>
    <w:rsid w:val="0746729D"/>
    <w:rsid w:val="074D3623"/>
    <w:rsid w:val="07577701"/>
    <w:rsid w:val="07625A8B"/>
    <w:rsid w:val="07702E6D"/>
    <w:rsid w:val="07723089"/>
    <w:rsid w:val="07746E01"/>
    <w:rsid w:val="0781151E"/>
    <w:rsid w:val="07830F22"/>
    <w:rsid w:val="07943000"/>
    <w:rsid w:val="07972AF0"/>
    <w:rsid w:val="079E5C2C"/>
    <w:rsid w:val="07A019A5"/>
    <w:rsid w:val="07A62D33"/>
    <w:rsid w:val="07AD40C1"/>
    <w:rsid w:val="07BE62CF"/>
    <w:rsid w:val="07C338E5"/>
    <w:rsid w:val="07CE59DC"/>
    <w:rsid w:val="07D21289"/>
    <w:rsid w:val="07D478A0"/>
    <w:rsid w:val="07ED2710"/>
    <w:rsid w:val="07EF36E7"/>
    <w:rsid w:val="07F32CC2"/>
    <w:rsid w:val="07FB327D"/>
    <w:rsid w:val="080212A0"/>
    <w:rsid w:val="0802440D"/>
    <w:rsid w:val="08055CAB"/>
    <w:rsid w:val="080A5070"/>
    <w:rsid w:val="080F6B2A"/>
    <w:rsid w:val="081952B3"/>
    <w:rsid w:val="0820431C"/>
    <w:rsid w:val="082A5712"/>
    <w:rsid w:val="08324937"/>
    <w:rsid w:val="08326375"/>
    <w:rsid w:val="084C38DA"/>
    <w:rsid w:val="084E1401"/>
    <w:rsid w:val="086724C2"/>
    <w:rsid w:val="086C7AD9"/>
    <w:rsid w:val="087A0447"/>
    <w:rsid w:val="0883434C"/>
    <w:rsid w:val="08886701"/>
    <w:rsid w:val="088C3CD7"/>
    <w:rsid w:val="08913342"/>
    <w:rsid w:val="089B216C"/>
    <w:rsid w:val="08A53712"/>
    <w:rsid w:val="08A6123D"/>
    <w:rsid w:val="08AE00F1"/>
    <w:rsid w:val="08C96CD9"/>
    <w:rsid w:val="08E72741"/>
    <w:rsid w:val="08F0070A"/>
    <w:rsid w:val="09046EC8"/>
    <w:rsid w:val="090E6DE2"/>
    <w:rsid w:val="09137F54"/>
    <w:rsid w:val="092124B7"/>
    <w:rsid w:val="092959CA"/>
    <w:rsid w:val="092E4D8E"/>
    <w:rsid w:val="092E7050"/>
    <w:rsid w:val="0933384F"/>
    <w:rsid w:val="093C394F"/>
    <w:rsid w:val="093F51ED"/>
    <w:rsid w:val="09453417"/>
    <w:rsid w:val="094648A7"/>
    <w:rsid w:val="09593AC9"/>
    <w:rsid w:val="0959767C"/>
    <w:rsid w:val="095C5D9F"/>
    <w:rsid w:val="09622C8A"/>
    <w:rsid w:val="09694018"/>
    <w:rsid w:val="096E3275"/>
    <w:rsid w:val="0992356F"/>
    <w:rsid w:val="099A0675"/>
    <w:rsid w:val="09AB25F1"/>
    <w:rsid w:val="09B715F0"/>
    <w:rsid w:val="09B74D83"/>
    <w:rsid w:val="09BB5443"/>
    <w:rsid w:val="09C3288D"/>
    <w:rsid w:val="09C94AB7"/>
    <w:rsid w:val="09D678FF"/>
    <w:rsid w:val="09DE67B4"/>
    <w:rsid w:val="09EA33AB"/>
    <w:rsid w:val="09EC7123"/>
    <w:rsid w:val="09EE1B26"/>
    <w:rsid w:val="09F2400E"/>
    <w:rsid w:val="0A1C03E0"/>
    <w:rsid w:val="0A232419"/>
    <w:rsid w:val="0A2649D7"/>
    <w:rsid w:val="0A2A7C4B"/>
    <w:rsid w:val="0A410AF1"/>
    <w:rsid w:val="0A524025"/>
    <w:rsid w:val="0A56459C"/>
    <w:rsid w:val="0A586566"/>
    <w:rsid w:val="0A5F5B47"/>
    <w:rsid w:val="0A690774"/>
    <w:rsid w:val="0A805ABD"/>
    <w:rsid w:val="0A9445F9"/>
    <w:rsid w:val="0A98590F"/>
    <w:rsid w:val="0A99092D"/>
    <w:rsid w:val="0AAC68B2"/>
    <w:rsid w:val="0AB10574"/>
    <w:rsid w:val="0AB1211B"/>
    <w:rsid w:val="0AB539B9"/>
    <w:rsid w:val="0AB53C62"/>
    <w:rsid w:val="0AB6328D"/>
    <w:rsid w:val="0AC5243E"/>
    <w:rsid w:val="0AC65DCC"/>
    <w:rsid w:val="0ACC2AB1"/>
    <w:rsid w:val="0ACF434F"/>
    <w:rsid w:val="0AD025A1"/>
    <w:rsid w:val="0AD33E3F"/>
    <w:rsid w:val="0AE20526"/>
    <w:rsid w:val="0AF3003D"/>
    <w:rsid w:val="0AF344E1"/>
    <w:rsid w:val="0B071D3B"/>
    <w:rsid w:val="0B093D05"/>
    <w:rsid w:val="0B0C55A3"/>
    <w:rsid w:val="0B0E4E77"/>
    <w:rsid w:val="0B1E430F"/>
    <w:rsid w:val="0B226B74"/>
    <w:rsid w:val="0B2E376B"/>
    <w:rsid w:val="0B30303F"/>
    <w:rsid w:val="0B381EF4"/>
    <w:rsid w:val="0B391FAA"/>
    <w:rsid w:val="0B3C7C36"/>
    <w:rsid w:val="0B3E5C71"/>
    <w:rsid w:val="0B460AB5"/>
    <w:rsid w:val="0B505490"/>
    <w:rsid w:val="0B5158F7"/>
    <w:rsid w:val="0B524301"/>
    <w:rsid w:val="0B550CF8"/>
    <w:rsid w:val="0B574A70"/>
    <w:rsid w:val="0B5A00BC"/>
    <w:rsid w:val="0B6158EF"/>
    <w:rsid w:val="0B6B22C9"/>
    <w:rsid w:val="0B745622"/>
    <w:rsid w:val="0B7D1FFD"/>
    <w:rsid w:val="0B7F5185"/>
    <w:rsid w:val="0B8C3FEE"/>
    <w:rsid w:val="0B8D51F1"/>
    <w:rsid w:val="0BC47C2C"/>
    <w:rsid w:val="0BCA5242"/>
    <w:rsid w:val="0BD7795F"/>
    <w:rsid w:val="0BDE2A9B"/>
    <w:rsid w:val="0BE34556"/>
    <w:rsid w:val="0BE501FB"/>
    <w:rsid w:val="0BF125FA"/>
    <w:rsid w:val="0BF26547"/>
    <w:rsid w:val="0BF7590B"/>
    <w:rsid w:val="0C012C2E"/>
    <w:rsid w:val="0C0566BB"/>
    <w:rsid w:val="0C061FF2"/>
    <w:rsid w:val="0C114FAA"/>
    <w:rsid w:val="0C193AD3"/>
    <w:rsid w:val="0C1E558E"/>
    <w:rsid w:val="0C2A5CE1"/>
    <w:rsid w:val="0C2D57D1"/>
    <w:rsid w:val="0C346B5F"/>
    <w:rsid w:val="0C3C3C66"/>
    <w:rsid w:val="0C3C4113"/>
    <w:rsid w:val="0C3C77C2"/>
    <w:rsid w:val="0C6165C1"/>
    <w:rsid w:val="0C6C454B"/>
    <w:rsid w:val="0C707EB4"/>
    <w:rsid w:val="0C7358DA"/>
    <w:rsid w:val="0C743400"/>
    <w:rsid w:val="0C776A4C"/>
    <w:rsid w:val="0C7B653C"/>
    <w:rsid w:val="0C801DA5"/>
    <w:rsid w:val="0C840A07"/>
    <w:rsid w:val="0C875FA1"/>
    <w:rsid w:val="0C8D7E13"/>
    <w:rsid w:val="0C8F1FE8"/>
    <w:rsid w:val="0C985340"/>
    <w:rsid w:val="0C9C41E2"/>
    <w:rsid w:val="0C9F0527"/>
    <w:rsid w:val="0CA05FA3"/>
    <w:rsid w:val="0CA21D1B"/>
    <w:rsid w:val="0CA23AC9"/>
    <w:rsid w:val="0CA41DB2"/>
    <w:rsid w:val="0CAB2CD2"/>
    <w:rsid w:val="0CB22AD7"/>
    <w:rsid w:val="0CB3217A"/>
    <w:rsid w:val="0CB8153E"/>
    <w:rsid w:val="0CB87790"/>
    <w:rsid w:val="0CBE0F14"/>
    <w:rsid w:val="0CC25F19"/>
    <w:rsid w:val="0CC6103B"/>
    <w:rsid w:val="0CD914B5"/>
    <w:rsid w:val="0CE20369"/>
    <w:rsid w:val="0CEA36C2"/>
    <w:rsid w:val="0CFF2BF2"/>
    <w:rsid w:val="0D0522AA"/>
    <w:rsid w:val="0D18022F"/>
    <w:rsid w:val="0D197B03"/>
    <w:rsid w:val="0D1A5D55"/>
    <w:rsid w:val="0D2A356E"/>
    <w:rsid w:val="0D2C7836"/>
    <w:rsid w:val="0D2D3F6A"/>
    <w:rsid w:val="0D2E7A52"/>
    <w:rsid w:val="0D391CD3"/>
    <w:rsid w:val="0D3D0BD3"/>
    <w:rsid w:val="0D4267D1"/>
    <w:rsid w:val="0D570D57"/>
    <w:rsid w:val="0D63594E"/>
    <w:rsid w:val="0D676AC1"/>
    <w:rsid w:val="0D690A8B"/>
    <w:rsid w:val="0D741E33"/>
    <w:rsid w:val="0D764307"/>
    <w:rsid w:val="0D7A2C98"/>
    <w:rsid w:val="0D7C256C"/>
    <w:rsid w:val="0D8D4779"/>
    <w:rsid w:val="0D9A6E96"/>
    <w:rsid w:val="0D9B708A"/>
    <w:rsid w:val="0D9C49BC"/>
    <w:rsid w:val="0DA41AC3"/>
    <w:rsid w:val="0DA43871"/>
    <w:rsid w:val="0DA815B3"/>
    <w:rsid w:val="0DAD4E1B"/>
    <w:rsid w:val="0DAD6BC9"/>
    <w:rsid w:val="0DB8731C"/>
    <w:rsid w:val="0DBA7538"/>
    <w:rsid w:val="0DBF29A3"/>
    <w:rsid w:val="0DC7755F"/>
    <w:rsid w:val="0DC9777B"/>
    <w:rsid w:val="0DDF0D4D"/>
    <w:rsid w:val="0DE007BB"/>
    <w:rsid w:val="0DE325EB"/>
    <w:rsid w:val="0DED6FC6"/>
    <w:rsid w:val="0DFE5677"/>
    <w:rsid w:val="0E0407B3"/>
    <w:rsid w:val="0E177BD2"/>
    <w:rsid w:val="0E197DBB"/>
    <w:rsid w:val="0E1A4F0A"/>
    <w:rsid w:val="0E213113"/>
    <w:rsid w:val="0E2624D8"/>
    <w:rsid w:val="0E342E47"/>
    <w:rsid w:val="0E370B89"/>
    <w:rsid w:val="0E43533C"/>
    <w:rsid w:val="0E484B44"/>
    <w:rsid w:val="0E4B63E2"/>
    <w:rsid w:val="0E5330BF"/>
    <w:rsid w:val="0E6B5B4C"/>
    <w:rsid w:val="0E765BFF"/>
    <w:rsid w:val="0E8207A2"/>
    <w:rsid w:val="0E887CC5"/>
    <w:rsid w:val="0E8A0CB9"/>
    <w:rsid w:val="0E981627"/>
    <w:rsid w:val="0EA004DC"/>
    <w:rsid w:val="0EB126E9"/>
    <w:rsid w:val="0EB2020F"/>
    <w:rsid w:val="0EB21FBD"/>
    <w:rsid w:val="0EB43F87"/>
    <w:rsid w:val="0EC04E6D"/>
    <w:rsid w:val="0EC341CA"/>
    <w:rsid w:val="0ECD6FA8"/>
    <w:rsid w:val="0ED2440E"/>
    <w:rsid w:val="0EDA072B"/>
    <w:rsid w:val="0EE4486D"/>
    <w:rsid w:val="0EE553EB"/>
    <w:rsid w:val="0EE74063"/>
    <w:rsid w:val="0EE7435D"/>
    <w:rsid w:val="0EF32D02"/>
    <w:rsid w:val="0EF33EB0"/>
    <w:rsid w:val="0F040262"/>
    <w:rsid w:val="0F0A1DF9"/>
    <w:rsid w:val="0F152C78"/>
    <w:rsid w:val="0F182768"/>
    <w:rsid w:val="0F1B4006"/>
    <w:rsid w:val="0F1E4B7A"/>
    <w:rsid w:val="0F1E7653"/>
    <w:rsid w:val="0F2F1860"/>
    <w:rsid w:val="0F2F360E"/>
    <w:rsid w:val="0F384BB8"/>
    <w:rsid w:val="0F411878"/>
    <w:rsid w:val="0F492922"/>
    <w:rsid w:val="0F4A3FC2"/>
    <w:rsid w:val="0F501F02"/>
    <w:rsid w:val="0F650CCB"/>
    <w:rsid w:val="0F657D11"/>
    <w:rsid w:val="0F711651"/>
    <w:rsid w:val="0F83787F"/>
    <w:rsid w:val="0F890F70"/>
    <w:rsid w:val="0F9A13CF"/>
    <w:rsid w:val="0F9C6EF5"/>
    <w:rsid w:val="0FA1450C"/>
    <w:rsid w:val="0FB97365"/>
    <w:rsid w:val="0FC87CEA"/>
    <w:rsid w:val="0FD0094D"/>
    <w:rsid w:val="0FD52407"/>
    <w:rsid w:val="0FE73EE9"/>
    <w:rsid w:val="0FEB5787"/>
    <w:rsid w:val="0FEF1309"/>
    <w:rsid w:val="10044A9B"/>
    <w:rsid w:val="10262C63"/>
    <w:rsid w:val="10291224"/>
    <w:rsid w:val="10354C54"/>
    <w:rsid w:val="103709CC"/>
    <w:rsid w:val="103E68D3"/>
    <w:rsid w:val="104A4BA3"/>
    <w:rsid w:val="105552F6"/>
    <w:rsid w:val="105C6685"/>
    <w:rsid w:val="105D3BF9"/>
    <w:rsid w:val="105D6B67"/>
    <w:rsid w:val="10725EA8"/>
    <w:rsid w:val="108D526D"/>
    <w:rsid w:val="10BE4C49"/>
    <w:rsid w:val="10C05957"/>
    <w:rsid w:val="10CB7366"/>
    <w:rsid w:val="10D601E5"/>
    <w:rsid w:val="10DE709A"/>
    <w:rsid w:val="10E741A0"/>
    <w:rsid w:val="10EC4950"/>
    <w:rsid w:val="10F13271"/>
    <w:rsid w:val="10F14A8A"/>
    <w:rsid w:val="10FE773C"/>
    <w:rsid w:val="11003C8B"/>
    <w:rsid w:val="110814DB"/>
    <w:rsid w:val="110A7E8F"/>
    <w:rsid w:val="1122342A"/>
    <w:rsid w:val="11252F1A"/>
    <w:rsid w:val="112A0531"/>
    <w:rsid w:val="112C42A9"/>
    <w:rsid w:val="11301FEB"/>
    <w:rsid w:val="11360C84"/>
    <w:rsid w:val="114179CE"/>
    <w:rsid w:val="114F1D45"/>
    <w:rsid w:val="115374B4"/>
    <w:rsid w:val="1158509E"/>
    <w:rsid w:val="11627AC5"/>
    <w:rsid w:val="116A6B7F"/>
    <w:rsid w:val="118B5473"/>
    <w:rsid w:val="118E6D12"/>
    <w:rsid w:val="119062A1"/>
    <w:rsid w:val="11AD363C"/>
    <w:rsid w:val="11BA2838"/>
    <w:rsid w:val="11BA718A"/>
    <w:rsid w:val="11C0728D"/>
    <w:rsid w:val="11C12C43"/>
    <w:rsid w:val="11CB1B3C"/>
    <w:rsid w:val="11CC3A42"/>
    <w:rsid w:val="11D87F8D"/>
    <w:rsid w:val="11DA5AB3"/>
    <w:rsid w:val="11E132E5"/>
    <w:rsid w:val="11E42DD6"/>
    <w:rsid w:val="11E83263"/>
    <w:rsid w:val="11EB5F12"/>
    <w:rsid w:val="11EC3A38"/>
    <w:rsid w:val="11F03528"/>
    <w:rsid w:val="11F1104F"/>
    <w:rsid w:val="11F12DFD"/>
    <w:rsid w:val="11FA43A7"/>
    <w:rsid w:val="11FB377D"/>
    <w:rsid w:val="12011292"/>
    <w:rsid w:val="1209283C"/>
    <w:rsid w:val="120B0362"/>
    <w:rsid w:val="120B195B"/>
    <w:rsid w:val="12136957"/>
    <w:rsid w:val="12176D07"/>
    <w:rsid w:val="121F5BBC"/>
    <w:rsid w:val="12260CF8"/>
    <w:rsid w:val="122D652B"/>
    <w:rsid w:val="12331667"/>
    <w:rsid w:val="12372F05"/>
    <w:rsid w:val="123C051C"/>
    <w:rsid w:val="12541D09"/>
    <w:rsid w:val="125B727E"/>
    <w:rsid w:val="12642F97"/>
    <w:rsid w:val="12731667"/>
    <w:rsid w:val="127557DC"/>
    <w:rsid w:val="12797F34"/>
    <w:rsid w:val="127F665A"/>
    <w:rsid w:val="128123D2"/>
    <w:rsid w:val="12816DCD"/>
    <w:rsid w:val="12843C71"/>
    <w:rsid w:val="128D0D77"/>
    <w:rsid w:val="12926380"/>
    <w:rsid w:val="12942106"/>
    <w:rsid w:val="129739A4"/>
    <w:rsid w:val="129C545E"/>
    <w:rsid w:val="12A31DDF"/>
    <w:rsid w:val="12A61E39"/>
    <w:rsid w:val="12AA1929"/>
    <w:rsid w:val="12B02CB8"/>
    <w:rsid w:val="12B96010"/>
    <w:rsid w:val="12C10A21"/>
    <w:rsid w:val="12C86253"/>
    <w:rsid w:val="12D03524"/>
    <w:rsid w:val="12D20E80"/>
    <w:rsid w:val="12D365AD"/>
    <w:rsid w:val="12E0534B"/>
    <w:rsid w:val="12E070F9"/>
    <w:rsid w:val="12E323BA"/>
    <w:rsid w:val="12EA441C"/>
    <w:rsid w:val="12F57DC2"/>
    <w:rsid w:val="12FE7EC7"/>
    <w:rsid w:val="130F3E82"/>
    <w:rsid w:val="13160D6D"/>
    <w:rsid w:val="13164834"/>
    <w:rsid w:val="1324792E"/>
    <w:rsid w:val="13250FB0"/>
    <w:rsid w:val="132F0080"/>
    <w:rsid w:val="13315BA7"/>
    <w:rsid w:val="134202F2"/>
    <w:rsid w:val="13427DB4"/>
    <w:rsid w:val="134358DA"/>
    <w:rsid w:val="13653AA2"/>
    <w:rsid w:val="1366588B"/>
    <w:rsid w:val="13715932"/>
    <w:rsid w:val="137D2B9A"/>
    <w:rsid w:val="13871C9B"/>
    <w:rsid w:val="138F28CD"/>
    <w:rsid w:val="138F5995"/>
    <w:rsid w:val="139B74C4"/>
    <w:rsid w:val="13B10A95"/>
    <w:rsid w:val="13B3571D"/>
    <w:rsid w:val="13B62550"/>
    <w:rsid w:val="13B660AC"/>
    <w:rsid w:val="13CB4684"/>
    <w:rsid w:val="13D12EE6"/>
    <w:rsid w:val="13D824C6"/>
    <w:rsid w:val="13DA623E"/>
    <w:rsid w:val="13E250F3"/>
    <w:rsid w:val="13F310AE"/>
    <w:rsid w:val="13F37300"/>
    <w:rsid w:val="13F866C4"/>
    <w:rsid w:val="13FD1F2D"/>
    <w:rsid w:val="140317FD"/>
    <w:rsid w:val="14092680"/>
    <w:rsid w:val="14103A0E"/>
    <w:rsid w:val="14123C2A"/>
    <w:rsid w:val="14180B15"/>
    <w:rsid w:val="141A663B"/>
    <w:rsid w:val="14215C1B"/>
    <w:rsid w:val="14292D22"/>
    <w:rsid w:val="14305E5E"/>
    <w:rsid w:val="143516C6"/>
    <w:rsid w:val="14353475"/>
    <w:rsid w:val="143C4803"/>
    <w:rsid w:val="14411E19"/>
    <w:rsid w:val="144274A8"/>
    <w:rsid w:val="144B2C98"/>
    <w:rsid w:val="144B713C"/>
    <w:rsid w:val="144E09DA"/>
    <w:rsid w:val="145002AE"/>
    <w:rsid w:val="145306D0"/>
    <w:rsid w:val="14593607"/>
    <w:rsid w:val="145C30F7"/>
    <w:rsid w:val="145D1643"/>
    <w:rsid w:val="145F04F1"/>
    <w:rsid w:val="145F4995"/>
    <w:rsid w:val="145F6743"/>
    <w:rsid w:val="146B333A"/>
    <w:rsid w:val="146B50E8"/>
    <w:rsid w:val="147815B3"/>
    <w:rsid w:val="148D32B1"/>
    <w:rsid w:val="14902DA1"/>
    <w:rsid w:val="14926B19"/>
    <w:rsid w:val="149D585A"/>
    <w:rsid w:val="14AD3953"/>
    <w:rsid w:val="14C30BC2"/>
    <w:rsid w:val="14CD18FF"/>
    <w:rsid w:val="14D233B9"/>
    <w:rsid w:val="14DE58BA"/>
    <w:rsid w:val="14E40F0E"/>
    <w:rsid w:val="14E44A3D"/>
    <w:rsid w:val="14EF5D19"/>
    <w:rsid w:val="15035321"/>
    <w:rsid w:val="15075A95"/>
    <w:rsid w:val="150D619F"/>
    <w:rsid w:val="15113EE2"/>
    <w:rsid w:val="15115C90"/>
    <w:rsid w:val="151614F8"/>
    <w:rsid w:val="151D132E"/>
    <w:rsid w:val="1525173B"/>
    <w:rsid w:val="152534E9"/>
    <w:rsid w:val="152C0D1B"/>
    <w:rsid w:val="15396B46"/>
    <w:rsid w:val="153A72FD"/>
    <w:rsid w:val="15434C85"/>
    <w:rsid w:val="15437E13"/>
    <w:rsid w:val="154F67B8"/>
    <w:rsid w:val="15560331"/>
    <w:rsid w:val="155E2E9F"/>
    <w:rsid w:val="15783F61"/>
    <w:rsid w:val="15793835"/>
    <w:rsid w:val="157A60D7"/>
    <w:rsid w:val="157D1577"/>
    <w:rsid w:val="158F4E06"/>
    <w:rsid w:val="15A31844"/>
    <w:rsid w:val="15AF1C4A"/>
    <w:rsid w:val="15AF4EFC"/>
    <w:rsid w:val="15BB3E4D"/>
    <w:rsid w:val="15C01464"/>
    <w:rsid w:val="15C2342E"/>
    <w:rsid w:val="15D171CD"/>
    <w:rsid w:val="15D45280"/>
    <w:rsid w:val="15D60C87"/>
    <w:rsid w:val="15DC6A69"/>
    <w:rsid w:val="15DD5B72"/>
    <w:rsid w:val="15E11B06"/>
    <w:rsid w:val="15E769F0"/>
    <w:rsid w:val="15F15AC1"/>
    <w:rsid w:val="15F55151"/>
    <w:rsid w:val="15F64E85"/>
    <w:rsid w:val="15FD6214"/>
    <w:rsid w:val="1606331B"/>
    <w:rsid w:val="16090B6C"/>
    <w:rsid w:val="16257519"/>
    <w:rsid w:val="16314110"/>
    <w:rsid w:val="163A14E9"/>
    <w:rsid w:val="163B0AEA"/>
    <w:rsid w:val="163B4D4E"/>
    <w:rsid w:val="164E6B6E"/>
    <w:rsid w:val="16565924"/>
    <w:rsid w:val="165A71D9"/>
    <w:rsid w:val="16612C47"/>
    <w:rsid w:val="166B6F22"/>
    <w:rsid w:val="167A7865"/>
    <w:rsid w:val="16832BBD"/>
    <w:rsid w:val="168801D3"/>
    <w:rsid w:val="168B7CC4"/>
    <w:rsid w:val="169528F0"/>
    <w:rsid w:val="169B49E0"/>
    <w:rsid w:val="169C04E0"/>
    <w:rsid w:val="16A3500D"/>
    <w:rsid w:val="16AD7C3A"/>
    <w:rsid w:val="16AE750E"/>
    <w:rsid w:val="16B40FC8"/>
    <w:rsid w:val="16B72867"/>
    <w:rsid w:val="16C805D0"/>
    <w:rsid w:val="16D3786F"/>
    <w:rsid w:val="16D50F3F"/>
    <w:rsid w:val="16E31AFE"/>
    <w:rsid w:val="16E3365C"/>
    <w:rsid w:val="16F31217"/>
    <w:rsid w:val="16FD3E82"/>
    <w:rsid w:val="16FE0496"/>
    <w:rsid w:val="170F26A3"/>
    <w:rsid w:val="17103D25"/>
    <w:rsid w:val="17182DCC"/>
    <w:rsid w:val="171F21BA"/>
    <w:rsid w:val="17206E08"/>
    <w:rsid w:val="172A128B"/>
    <w:rsid w:val="172E1586"/>
    <w:rsid w:val="1739327C"/>
    <w:rsid w:val="1752258F"/>
    <w:rsid w:val="17537982"/>
    <w:rsid w:val="17544559"/>
    <w:rsid w:val="177B5642"/>
    <w:rsid w:val="177D585E"/>
    <w:rsid w:val="1796247C"/>
    <w:rsid w:val="17966920"/>
    <w:rsid w:val="17984446"/>
    <w:rsid w:val="17B2302E"/>
    <w:rsid w:val="17B40B54"/>
    <w:rsid w:val="17BF0603"/>
    <w:rsid w:val="17C74D2B"/>
    <w:rsid w:val="17CC0594"/>
    <w:rsid w:val="17CE0E41"/>
    <w:rsid w:val="17DD454F"/>
    <w:rsid w:val="17E53CE6"/>
    <w:rsid w:val="17EC02EE"/>
    <w:rsid w:val="17F04B2D"/>
    <w:rsid w:val="17F32CD9"/>
    <w:rsid w:val="17F52ACE"/>
    <w:rsid w:val="18027B12"/>
    <w:rsid w:val="18112A73"/>
    <w:rsid w:val="18133ACD"/>
    <w:rsid w:val="18147845"/>
    <w:rsid w:val="18155A97"/>
    <w:rsid w:val="1820314D"/>
    <w:rsid w:val="182C1032"/>
    <w:rsid w:val="182C4B8E"/>
    <w:rsid w:val="182D23ED"/>
    <w:rsid w:val="18390DB8"/>
    <w:rsid w:val="18443477"/>
    <w:rsid w:val="18455C50"/>
    <w:rsid w:val="184C6FDF"/>
    <w:rsid w:val="185241E1"/>
    <w:rsid w:val="18561C0B"/>
    <w:rsid w:val="18616C77"/>
    <w:rsid w:val="18894A7D"/>
    <w:rsid w:val="18950986"/>
    <w:rsid w:val="1896662E"/>
    <w:rsid w:val="18A46E1B"/>
    <w:rsid w:val="18A706B9"/>
    <w:rsid w:val="18A70B70"/>
    <w:rsid w:val="18A8690B"/>
    <w:rsid w:val="18B057C0"/>
    <w:rsid w:val="18B3705E"/>
    <w:rsid w:val="18B51028"/>
    <w:rsid w:val="18B708FC"/>
    <w:rsid w:val="18B76B4E"/>
    <w:rsid w:val="18BE7B4E"/>
    <w:rsid w:val="18C80D5B"/>
    <w:rsid w:val="18CB5892"/>
    <w:rsid w:val="18CD45C3"/>
    <w:rsid w:val="18D01E78"/>
    <w:rsid w:val="18D23988"/>
    <w:rsid w:val="18D72D4C"/>
    <w:rsid w:val="18D80F8F"/>
    <w:rsid w:val="18E25735"/>
    <w:rsid w:val="18E67104"/>
    <w:rsid w:val="18F71640"/>
    <w:rsid w:val="18FA2EDF"/>
    <w:rsid w:val="1901426D"/>
    <w:rsid w:val="190653E0"/>
    <w:rsid w:val="190873AA"/>
    <w:rsid w:val="190F698A"/>
    <w:rsid w:val="19193365"/>
    <w:rsid w:val="1921046B"/>
    <w:rsid w:val="19232435"/>
    <w:rsid w:val="19267830"/>
    <w:rsid w:val="192835A8"/>
    <w:rsid w:val="19287A4C"/>
    <w:rsid w:val="193006AE"/>
    <w:rsid w:val="1932084C"/>
    <w:rsid w:val="19341F4D"/>
    <w:rsid w:val="194A1770"/>
    <w:rsid w:val="194E64F6"/>
    <w:rsid w:val="196D36B1"/>
    <w:rsid w:val="1990114D"/>
    <w:rsid w:val="199B6470"/>
    <w:rsid w:val="19A40861"/>
    <w:rsid w:val="19B906A4"/>
    <w:rsid w:val="19BB08C0"/>
    <w:rsid w:val="19BD0194"/>
    <w:rsid w:val="19C41024"/>
    <w:rsid w:val="19C534ED"/>
    <w:rsid w:val="19CA0B03"/>
    <w:rsid w:val="19CE7E6F"/>
    <w:rsid w:val="19DB686C"/>
    <w:rsid w:val="19E57796"/>
    <w:rsid w:val="19E604F1"/>
    <w:rsid w:val="19F17E3E"/>
    <w:rsid w:val="19FF69FF"/>
    <w:rsid w:val="1A195710"/>
    <w:rsid w:val="1A1E479E"/>
    <w:rsid w:val="1A200723"/>
    <w:rsid w:val="1A2A2B7C"/>
    <w:rsid w:val="1A2A48C5"/>
    <w:rsid w:val="1A2D3714"/>
    <w:rsid w:val="1A3366A8"/>
    <w:rsid w:val="1A5403CD"/>
    <w:rsid w:val="1A551442"/>
    <w:rsid w:val="1A580283"/>
    <w:rsid w:val="1A5A1E87"/>
    <w:rsid w:val="1A5A3C35"/>
    <w:rsid w:val="1A6C0770"/>
    <w:rsid w:val="1A6D14CF"/>
    <w:rsid w:val="1A732F49"/>
    <w:rsid w:val="1A7A4E8B"/>
    <w:rsid w:val="1A831567"/>
    <w:rsid w:val="1A850730"/>
    <w:rsid w:val="1A872550"/>
    <w:rsid w:val="1A8A3DEE"/>
    <w:rsid w:val="1A952EBF"/>
    <w:rsid w:val="1A9F3D3E"/>
    <w:rsid w:val="1AB221E6"/>
    <w:rsid w:val="1AB377E9"/>
    <w:rsid w:val="1AB5530F"/>
    <w:rsid w:val="1AB71087"/>
    <w:rsid w:val="1AC11F06"/>
    <w:rsid w:val="1AC5064D"/>
    <w:rsid w:val="1ACB68E1"/>
    <w:rsid w:val="1AD02149"/>
    <w:rsid w:val="1AD03EF7"/>
    <w:rsid w:val="1AD27C6F"/>
    <w:rsid w:val="1ADA2FC8"/>
    <w:rsid w:val="1AE03EC5"/>
    <w:rsid w:val="1AE94FB9"/>
    <w:rsid w:val="1AEB6F83"/>
    <w:rsid w:val="1AF25537"/>
    <w:rsid w:val="1AF51BB0"/>
    <w:rsid w:val="1AFC1190"/>
    <w:rsid w:val="1B027E29"/>
    <w:rsid w:val="1B0342CC"/>
    <w:rsid w:val="1B5C39DD"/>
    <w:rsid w:val="1B650AE3"/>
    <w:rsid w:val="1B7E3953"/>
    <w:rsid w:val="1BA535D6"/>
    <w:rsid w:val="1BB2184F"/>
    <w:rsid w:val="1BB630ED"/>
    <w:rsid w:val="1BB90E2F"/>
    <w:rsid w:val="1BBB4BA7"/>
    <w:rsid w:val="1BC3580A"/>
    <w:rsid w:val="1BC53330"/>
    <w:rsid w:val="1BC96DE9"/>
    <w:rsid w:val="1BCF6672"/>
    <w:rsid w:val="1BE13EE2"/>
    <w:rsid w:val="1BE20386"/>
    <w:rsid w:val="1BE278A9"/>
    <w:rsid w:val="1BF9122C"/>
    <w:rsid w:val="1BFB4FA4"/>
    <w:rsid w:val="1BFD6F6E"/>
    <w:rsid w:val="1C054074"/>
    <w:rsid w:val="1C2C1601"/>
    <w:rsid w:val="1C3A1F70"/>
    <w:rsid w:val="1C3C3F21"/>
    <w:rsid w:val="1C3F553A"/>
    <w:rsid w:val="1C4032FE"/>
    <w:rsid w:val="1C454471"/>
    <w:rsid w:val="1C542906"/>
    <w:rsid w:val="1C6C7C4F"/>
    <w:rsid w:val="1C760ACE"/>
    <w:rsid w:val="1C7E44E2"/>
    <w:rsid w:val="1C8925AF"/>
    <w:rsid w:val="1C897AF9"/>
    <w:rsid w:val="1C8F393E"/>
    <w:rsid w:val="1C961170"/>
    <w:rsid w:val="1CA473E9"/>
    <w:rsid w:val="1CA92C52"/>
    <w:rsid w:val="1CBB2985"/>
    <w:rsid w:val="1CBD66FD"/>
    <w:rsid w:val="1CBE4DE3"/>
    <w:rsid w:val="1CCA1B99"/>
    <w:rsid w:val="1CD203FA"/>
    <w:rsid w:val="1CD35F20"/>
    <w:rsid w:val="1CD3603A"/>
    <w:rsid w:val="1CD74DC5"/>
    <w:rsid w:val="1CDD2984"/>
    <w:rsid w:val="1CDD6D9F"/>
    <w:rsid w:val="1CE23DA1"/>
    <w:rsid w:val="1CE76E7B"/>
    <w:rsid w:val="1CEB326A"/>
    <w:rsid w:val="1CF163A7"/>
    <w:rsid w:val="1CF32E9B"/>
    <w:rsid w:val="1CF540E9"/>
    <w:rsid w:val="1CFF7914"/>
    <w:rsid w:val="1D0205B4"/>
    <w:rsid w:val="1D1530D7"/>
    <w:rsid w:val="1D192ADE"/>
    <w:rsid w:val="1D323766"/>
    <w:rsid w:val="1D433D7B"/>
    <w:rsid w:val="1D436C02"/>
    <w:rsid w:val="1D48246B"/>
    <w:rsid w:val="1D556936"/>
    <w:rsid w:val="1D594678"/>
    <w:rsid w:val="1D6F5C49"/>
    <w:rsid w:val="1D772D50"/>
    <w:rsid w:val="1D807E56"/>
    <w:rsid w:val="1D8316F5"/>
    <w:rsid w:val="1D8B2357"/>
    <w:rsid w:val="1D8F0099"/>
    <w:rsid w:val="1D905BC0"/>
    <w:rsid w:val="1D94745E"/>
    <w:rsid w:val="1D961949"/>
    <w:rsid w:val="1D9A1F83"/>
    <w:rsid w:val="1D9B4C90"/>
    <w:rsid w:val="1D9E2BD6"/>
    <w:rsid w:val="1D9F5E03"/>
    <w:rsid w:val="1DAE6C53"/>
    <w:rsid w:val="1DB73D4C"/>
    <w:rsid w:val="1DBC69B5"/>
    <w:rsid w:val="1DD2442A"/>
    <w:rsid w:val="1DD32084"/>
    <w:rsid w:val="1DDC7ADF"/>
    <w:rsid w:val="1DE008F5"/>
    <w:rsid w:val="1DF223D6"/>
    <w:rsid w:val="1DF61EC7"/>
    <w:rsid w:val="1E091B95"/>
    <w:rsid w:val="1E0D0FBE"/>
    <w:rsid w:val="1E1E141D"/>
    <w:rsid w:val="1E2524D6"/>
    <w:rsid w:val="1E262129"/>
    <w:rsid w:val="1E2A6014"/>
    <w:rsid w:val="1E472722"/>
    <w:rsid w:val="1E4F15D7"/>
    <w:rsid w:val="1E594203"/>
    <w:rsid w:val="1E62755C"/>
    <w:rsid w:val="1E680E2D"/>
    <w:rsid w:val="1E761E0D"/>
    <w:rsid w:val="1E780B2E"/>
    <w:rsid w:val="1E807817"/>
    <w:rsid w:val="1E870D71"/>
    <w:rsid w:val="1E890F8D"/>
    <w:rsid w:val="1E8B18D6"/>
    <w:rsid w:val="1EA336D1"/>
    <w:rsid w:val="1EA71413"/>
    <w:rsid w:val="1EA96F39"/>
    <w:rsid w:val="1EB350B6"/>
    <w:rsid w:val="1EB53B30"/>
    <w:rsid w:val="1EBA2EF4"/>
    <w:rsid w:val="1EBC29BA"/>
    <w:rsid w:val="1EBC3110"/>
    <w:rsid w:val="1EBD023C"/>
    <w:rsid w:val="1EC91389"/>
    <w:rsid w:val="1ECC0E79"/>
    <w:rsid w:val="1ECD3CF8"/>
    <w:rsid w:val="1ECE4BF1"/>
    <w:rsid w:val="1ED77297"/>
    <w:rsid w:val="1EDF0BAD"/>
    <w:rsid w:val="1EE07C90"/>
    <w:rsid w:val="1EE84F14"/>
    <w:rsid w:val="1EF02DBA"/>
    <w:rsid w:val="1EF328AA"/>
    <w:rsid w:val="1EF5217E"/>
    <w:rsid w:val="1EF63B7C"/>
    <w:rsid w:val="1EF65EF6"/>
    <w:rsid w:val="1F090B96"/>
    <w:rsid w:val="1F172EB5"/>
    <w:rsid w:val="1F1D16D5"/>
    <w:rsid w:val="1F2E4AC0"/>
    <w:rsid w:val="1F3A4035"/>
    <w:rsid w:val="1F3E1D77"/>
    <w:rsid w:val="1F550B9E"/>
    <w:rsid w:val="1F5C6639"/>
    <w:rsid w:val="1F66307C"/>
    <w:rsid w:val="1F6966C8"/>
    <w:rsid w:val="1F7C1D2A"/>
    <w:rsid w:val="1F7E03C6"/>
    <w:rsid w:val="1F7F5EEC"/>
    <w:rsid w:val="1F833C2E"/>
    <w:rsid w:val="1F85218A"/>
    <w:rsid w:val="1F864856"/>
    <w:rsid w:val="1F8A7B3D"/>
    <w:rsid w:val="1F8E612F"/>
    <w:rsid w:val="1FA42CD8"/>
    <w:rsid w:val="1FA53BA4"/>
    <w:rsid w:val="1FB3585B"/>
    <w:rsid w:val="1FB60CAD"/>
    <w:rsid w:val="1FCF64CA"/>
    <w:rsid w:val="1FD61FB0"/>
    <w:rsid w:val="1FDA1374"/>
    <w:rsid w:val="1FEA5A5B"/>
    <w:rsid w:val="1FEF4E1F"/>
    <w:rsid w:val="1FF50EFB"/>
    <w:rsid w:val="1FFE1506"/>
    <w:rsid w:val="2000527E"/>
    <w:rsid w:val="200220CA"/>
    <w:rsid w:val="20052895"/>
    <w:rsid w:val="20070078"/>
    <w:rsid w:val="20087C8F"/>
    <w:rsid w:val="20090F5F"/>
    <w:rsid w:val="200C59D1"/>
    <w:rsid w:val="2020322B"/>
    <w:rsid w:val="20247B33"/>
    <w:rsid w:val="20294CF5"/>
    <w:rsid w:val="202A5E57"/>
    <w:rsid w:val="202B1D6E"/>
    <w:rsid w:val="203171E6"/>
    <w:rsid w:val="20322F5E"/>
    <w:rsid w:val="203647FC"/>
    <w:rsid w:val="203A0B13"/>
    <w:rsid w:val="20442631"/>
    <w:rsid w:val="204B7C1A"/>
    <w:rsid w:val="20580C17"/>
    <w:rsid w:val="20600BB2"/>
    <w:rsid w:val="206264F9"/>
    <w:rsid w:val="20631369"/>
    <w:rsid w:val="206550E2"/>
    <w:rsid w:val="20682136"/>
    <w:rsid w:val="20735A50"/>
    <w:rsid w:val="208E288A"/>
    <w:rsid w:val="20994D8B"/>
    <w:rsid w:val="20A0611A"/>
    <w:rsid w:val="20AC2D10"/>
    <w:rsid w:val="20AE6A88"/>
    <w:rsid w:val="20B120D5"/>
    <w:rsid w:val="20B20ECA"/>
    <w:rsid w:val="20BA201C"/>
    <w:rsid w:val="20C4005A"/>
    <w:rsid w:val="20CF4C51"/>
    <w:rsid w:val="20E22BD6"/>
    <w:rsid w:val="20E24984"/>
    <w:rsid w:val="20E71F9A"/>
    <w:rsid w:val="20F27A9A"/>
    <w:rsid w:val="20F46465"/>
    <w:rsid w:val="2100305C"/>
    <w:rsid w:val="210A7A37"/>
    <w:rsid w:val="21110DC5"/>
    <w:rsid w:val="21134B3E"/>
    <w:rsid w:val="21244F9D"/>
    <w:rsid w:val="213056EF"/>
    <w:rsid w:val="21470C8B"/>
    <w:rsid w:val="214B42D7"/>
    <w:rsid w:val="214F4CD4"/>
    <w:rsid w:val="21514288"/>
    <w:rsid w:val="21570ECE"/>
    <w:rsid w:val="215C66EF"/>
    <w:rsid w:val="215F4227"/>
    <w:rsid w:val="21690C01"/>
    <w:rsid w:val="21747CD2"/>
    <w:rsid w:val="217F4405"/>
    <w:rsid w:val="21867A05"/>
    <w:rsid w:val="218760BF"/>
    <w:rsid w:val="218912A4"/>
    <w:rsid w:val="219537A4"/>
    <w:rsid w:val="21AB746C"/>
    <w:rsid w:val="21B005DE"/>
    <w:rsid w:val="21B23176"/>
    <w:rsid w:val="21BC6F83"/>
    <w:rsid w:val="21C16BCC"/>
    <w:rsid w:val="21C8684F"/>
    <w:rsid w:val="21D342CD"/>
    <w:rsid w:val="21E309B4"/>
    <w:rsid w:val="21E51E65"/>
    <w:rsid w:val="21EE732A"/>
    <w:rsid w:val="21FB3F4F"/>
    <w:rsid w:val="22034BB2"/>
    <w:rsid w:val="22107CD6"/>
    <w:rsid w:val="22127636"/>
    <w:rsid w:val="2217240B"/>
    <w:rsid w:val="221768AF"/>
    <w:rsid w:val="221D20F7"/>
    <w:rsid w:val="221E19EC"/>
    <w:rsid w:val="222F1E4B"/>
    <w:rsid w:val="223B259E"/>
    <w:rsid w:val="223C00C4"/>
    <w:rsid w:val="223C6316"/>
    <w:rsid w:val="22401962"/>
    <w:rsid w:val="224D407F"/>
    <w:rsid w:val="224F1BA5"/>
    <w:rsid w:val="225A42C6"/>
    <w:rsid w:val="227930C6"/>
    <w:rsid w:val="227B0BEC"/>
    <w:rsid w:val="2286051A"/>
    <w:rsid w:val="228757E3"/>
    <w:rsid w:val="22883309"/>
    <w:rsid w:val="229677D4"/>
    <w:rsid w:val="229D5007"/>
    <w:rsid w:val="22A301F1"/>
    <w:rsid w:val="22AA14D2"/>
    <w:rsid w:val="22AA3280"/>
    <w:rsid w:val="22B67E76"/>
    <w:rsid w:val="22C32593"/>
    <w:rsid w:val="22C80D68"/>
    <w:rsid w:val="22C96F28"/>
    <w:rsid w:val="22D149F6"/>
    <w:rsid w:val="22D6371D"/>
    <w:rsid w:val="22D64075"/>
    <w:rsid w:val="22D8603F"/>
    <w:rsid w:val="22E04EF3"/>
    <w:rsid w:val="22F22A0F"/>
    <w:rsid w:val="23007343"/>
    <w:rsid w:val="23024E6A"/>
    <w:rsid w:val="23055AAB"/>
    <w:rsid w:val="231D6147"/>
    <w:rsid w:val="232355D0"/>
    <w:rsid w:val="232E3EB1"/>
    <w:rsid w:val="23305E7B"/>
    <w:rsid w:val="2342170A"/>
    <w:rsid w:val="235002CB"/>
    <w:rsid w:val="23566F63"/>
    <w:rsid w:val="235A2EF8"/>
    <w:rsid w:val="235D4796"/>
    <w:rsid w:val="2366364A"/>
    <w:rsid w:val="2378512C"/>
    <w:rsid w:val="23810484"/>
    <w:rsid w:val="238141BD"/>
    <w:rsid w:val="2383244E"/>
    <w:rsid w:val="23902475"/>
    <w:rsid w:val="239301B8"/>
    <w:rsid w:val="23977CA8"/>
    <w:rsid w:val="23983A20"/>
    <w:rsid w:val="239C706C"/>
    <w:rsid w:val="23A14683"/>
    <w:rsid w:val="23A3664D"/>
    <w:rsid w:val="23A91789"/>
    <w:rsid w:val="23AF5AB1"/>
    <w:rsid w:val="23B02B18"/>
    <w:rsid w:val="23B95E70"/>
    <w:rsid w:val="23BE084F"/>
    <w:rsid w:val="23C9465D"/>
    <w:rsid w:val="23C95987"/>
    <w:rsid w:val="23CA1CD3"/>
    <w:rsid w:val="23CD5478"/>
    <w:rsid w:val="23D5257E"/>
    <w:rsid w:val="23DF63E4"/>
    <w:rsid w:val="23E12CD1"/>
    <w:rsid w:val="23ED5B1A"/>
    <w:rsid w:val="23F724F4"/>
    <w:rsid w:val="240D3AC6"/>
    <w:rsid w:val="24156E1F"/>
    <w:rsid w:val="241664BD"/>
    <w:rsid w:val="242D70C8"/>
    <w:rsid w:val="24305A06"/>
    <w:rsid w:val="243B4AD7"/>
    <w:rsid w:val="244B0E6B"/>
    <w:rsid w:val="24530B7F"/>
    <w:rsid w:val="24545B99"/>
    <w:rsid w:val="24594F5D"/>
    <w:rsid w:val="245E07C6"/>
    <w:rsid w:val="247955FF"/>
    <w:rsid w:val="247C0C4C"/>
    <w:rsid w:val="24855D52"/>
    <w:rsid w:val="248D2E59"/>
    <w:rsid w:val="248E2A06"/>
    <w:rsid w:val="248F6BD1"/>
    <w:rsid w:val="24907C38"/>
    <w:rsid w:val="24910BC7"/>
    <w:rsid w:val="249146F7"/>
    <w:rsid w:val="24925CBD"/>
    <w:rsid w:val="24A27808"/>
    <w:rsid w:val="24A51F50"/>
    <w:rsid w:val="24AA3A0B"/>
    <w:rsid w:val="24B623B0"/>
    <w:rsid w:val="24C06D8A"/>
    <w:rsid w:val="24C745BD"/>
    <w:rsid w:val="24CC7095"/>
    <w:rsid w:val="24DA6402"/>
    <w:rsid w:val="24E8008F"/>
    <w:rsid w:val="24F133E8"/>
    <w:rsid w:val="24F44C86"/>
    <w:rsid w:val="24FD69F2"/>
    <w:rsid w:val="24FF7E94"/>
    <w:rsid w:val="25097E6F"/>
    <w:rsid w:val="250E37B5"/>
    <w:rsid w:val="251470D6"/>
    <w:rsid w:val="251D242F"/>
    <w:rsid w:val="25253091"/>
    <w:rsid w:val="25290E9B"/>
    <w:rsid w:val="25315EDA"/>
    <w:rsid w:val="253C6E2D"/>
    <w:rsid w:val="2543563D"/>
    <w:rsid w:val="254774AC"/>
    <w:rsid w:val="254E083A"/>
    <w:rsid w:val="254E4603"/>
    <w:rsid w:val="255120D8"/>
    <w:rsid w:val="255D6CCF"/>
    <w:rsid w:val="2566766D"/>
    <w:rsid w:val="256A383C"/>
    <w:rsid w:val="256E4A38"/>
    <w:rsid w:val="257F27A2"/>
    <w:rsid w:val="25864FBF"/>
    <w:rsid w:val="25867FD4"/>
    <w:rsid w:val="258723B5"/>
    <w:rsid w:val="258778A8"/>
    <w:rsid w:val="258A1146"/>
    <w:rsid w:val="258A7F76"/>
    <w:rsid w:val="25A91F14"/>
    <w:rsid w:val="25B12B77"/>
    <w:rsid w:val="25B508B9"/>
    <w:rsid w:val="25C15C37"/>
    <w:rsid w:val="25C66622"/>
    <w:rsid w:val="25C74149"/>
    <w:rsid w:val="25CA47DE"/>
    <w:rsid w:val="25CD79B1"/>
    <w:rsid w:val="25DA0BB6"/>
    <w:rsid w:val="25E1520A"/>
    <w:rsid w:val="25EA66EC"/>
    <w:rsid w:val="25F3390D"/>
    <w:rsid w:val="25F52784"/>
    <w:rsid w:val="260158AC"/>
    <w:rsid w:val="260849B4"/>
    <w:rsid w:val="26183672"/>
    <w:rsid w:val="262518BA"/>
    <w:rsid w:val="262D66A1"/>
    <w:rsid w:val="26357304"/>
    <w:rsid w:val="263E440B"/>
    <w:rsid w:val="26435EC5"/>
    <w:rsid w:val="26481081"/>
    <w:rsid w:val="264D3989"/>
    <w:rsid w:val="26837E8E"/>
    <w:rsid w:val="268A673E"/>
    <w:rsid w:val="26962499"/>
    <w:rsid w:val="269C55D5"/>
    <w:rsid w:val="26A526DC"/>
    <w:rsid w:val="26AC3A6A"/>
    <w:rsid w:val="26B97F35"/>
    <w:rsid w:val="26BC17D3"/>
    <w:rsid w:val="26D42FC1"/>
    <w:rsid w:val="26D66D39"/>
    <w:rsid w:val="26E86A6C"/>
    <w:rsid w:val="26EA10F6"/>
    <w:rsid w:val="26F077D0"/>
    <w:rsid w:val="26F269B0"/>
    <w:rsid w:val="26F5090E"/>
    <w:rsid w:val="26F70A5D"/>
    <w:rsid w:val="26F75908"/>
    <w:rsid w:val="26FB22FC"/>
    <w:rsid w:val="26FE1DEC"/>
    <w:rsid w:val="270311B0"/>
    <w:rsid w:val="27054F28"/>
    <w:rsid w:val="27076EF2"/>
    <w:rsid w:val="270F13A3"/>
    <w:rsid w:val="27106C16"/>
    <w:rsid w:val="27133AE9"/>
    <w:rsid w:val="271C2272"/>
    <w:rsid w:val="27207FB4"/>
    <w:rsid w:val="27221F7E"/>
    <w:rsid w:val="272B3E0A"/>
    <w:rsid w:val="27315D1D"/>
    <w:rsid w:val="27321A96"/>
    <w:rsid w:val="274A3283"/>
    <w:rsid w:val="27534910"/>
    <w:rsid w:val="276B56D3"/>
    <w:rsid w:val="276E0D20"/>
    <w:rsid w:val="27716A62"/>
    <w:rsid w:val="277E6026"/>
    <w:rsid w:val="277F117F"/>
    <w:rsid w:val="27846795"/>
    <w:rsid w:val="2786250D"/>
    <w:rsid w:val="278B1188"/>
    <w:rsid w:val="279037D7"/>
    <w:rsid w:val="279664C8"/>
    <w:rsid w:val="2798755E"/>
    <w:rsid w:val="27A43E8B"/>
    <w:rsid w:val="27AB1F74"/>
    <w:rsid w:val="27B84691"/>
    <w:rsid w:val="27B923E1"/>
    <w:rsid w:val="27C13545"/>
    <w:rsid w:val="27D529D5"/>
    <w:rsid w:val="27D661F2"/>
    <w:rsid w:val="27E772C6"/>
    <w:rsid w:val="28000D33"/>
    <w:rsid w:val="28041684"/>
    <w:rsid w:val="280D2781"/>
    <w:rsid w:val="280E605F"/>
    <w:rsid w:val="28164B9B"/>
    <w:rsid w:val="28283D7B"/>
    <w:rsid w:val="282B4E63"/>
    <w:rsid w:val="282B6C11"/>
    <w:rsid w:val="282C1BB6"/>
    <w:rsid w:val="283624F4"/>
    <w:rsid w:val="283A32F8"/>
    <w:rsid w:val="283E0F12"/>
    <w:rsid w:val="28445000"/>
    <w:rsid w:val="28470259"/>
    <w:rsid w:val="284D6B87"/>
    <w:rsid w:val="2855749E"/>
    <w:rsid w:val="2859377E"/>
    <w:rsid w:val="285D7CED"/>
    <w:rsid w:val="286A598B"/>
    <w:rsid w:val="286F05D0"/>
    <w:rsid w:val="287A36F4"/>
    <w:rsid w:val="287C746C"/>
    <w:rsid w:val="288B3B53"/>
    <w:rsid w:val="289A39CA"/>
    <w:rsid w:val="28A349F9"/>
    <w:rsid w:val="28AE4587"/>
    <w:rsid w:val="28C17575"/>
    <w:rsid w:val="28C71CB3"/>
    <w:rsid w:val="28CA642A"/>
    <w:rsid w:val="28D3610D"/>
    <w:rsid w:val="28D42E04"/>
    <w:rsid w:val="28D97A2C"/>
    <w:rsid w:val="28DC1CC9"/>
    <w:rsid w:val="28ED036A"/>
    <w:rsid w:val="28EE4EC3"/>
    <w:rsid w:val="28F039B6"/>
    <w:rsid w:val="28F72F97"/>
    <w:rsid w:val="29033AAB"/>
    <w:rsid w:val="290A4A78"/>
    <w:rsid w:val="290B1608"/>
    <w:rsid w:val="29104C1F"/>
    <w:rsid w:val="29215044"/>
    <w:rsid w:val="292518B2"/>
    <w:rsid w:val="292C0E92"/>
    <w:rsid w:val="29325D7D"/>
    <w:rsid w:val="293715E5"/>
    <w:rsid w:val="29387837"/>
    <w:rsid w:val="293E0BC6"/>
    <w:rsid w:val="2940523A"/>
    <w:rsid w:val="294A30C6"/>
    <w:rsid w:val="294A57BC"/>
    <w:rsid w:val="294C6E3F"/>
    <w:rsid w:val="29626662"/>
    <w:rsid w:val="29712D49"/>
    <w:rsid w:val="297D0BEC"/>
    <w:rsid w:val="297F5466"/>
    <w:rsid w:val="29802F8C"/>
    <w:rsid w:val="29842A7C"/>
    <w:rsid w:val="29861134"/>
    <w:rsid w:val="299407E6"/>
    <w:rsid w:val="29977213"/>
    <w:rsid w:val="29A46C7B"/>
    <w:rsid w:val="29AE18A7"/>
    <w:rsid w:val="29C65B73"/>
    <w:rsid w:val="29C72969"/>
    <w:rsid w:val="29C94933"/>
    <w:rsid w:val="29D858AC"/>
    <w:rsid w:val="29D86924"/>
    <w:rsid w:val="29DB4666"/>
    <w:rsid w:val="29DC19D2"/>
    <w:rsid w:val="29E01404"/>
    <w:rsid w:val="29E21551"/>
    <w:rsid w:val="29E277A3"/>
    <w:rsid w:val="29E67293"/>
    <w:rsid w:val="29F23E8A"/>
    <w:rsid w:val="2A235891"/>
    <w:rsid w:val="2A2937D5"/>
    <w:rsid w:val="2A331DAD"/>
    <w:rsid w:val="2A38670E"/>
    <w:rsid w:val="2A426494"/>
    <w:rsid w:val="2A475858"/>
    <w:rsid w:val="2A570191"/>
    <w:rsid w:val="2A5C1303"/>
    <w:rsid w:val="2A61691A"/>
    <w:rsid w:val="2A73664D"/>
    <w:rsid w:val="2A750617"/>
    <w:rsid w:val="2A80351D"/>
    <w:rsid w:val="2A8652D6"/>
    <w:rsid w:val="2AA44A58"/>
    <w:rsid w:val="2AAD1B5F"/>
    <w:rsid w:val="2AAE26E9"/>
    <w:rsid w:val="2AB033FD"/>
    <w:rsid w:val="2AB47391"/>
    <w:rsid w:val="2ABE5B1A"/>
    <w:rsid w:val="2ABF7F2F"/>
    <w:rsid w:val="2AC86999"/>
    <w:rsid w:val="2AD761C6"/>
    <w:rsid w:val="2ADA66CC"/>
    <w:rsid w:val="2ADC41F2"/>
    <w:rsid w:val="2AE3153D"/>
    <w:rsid w:val="2AE412F9"/>
    <w:rsid w:val="2AE82B97"/>
    <w:rsid w:val="2AEA4B61"/>
    <w:rsid w:val="2AFA28CA"/>
    <w:rsid w:val="2B006133"/>
    <w:rsid w:val="2B0674C1"/>
    <w:rsid w:val="2B1442F6"/>
    <w:rsid w:val="2B146082"/>
    <w:rsid w:val="2B1B6E14"/>
    <w:rsid w:val="2B1E0CAF"/>
    <w:rsid w:val="2B231E21"/>
    <w:rsid w:val="2B2763CB"/>
    <w:rsid w:val="2B3B0BC4"/>
    <w:rsid w:val="2B3C1135"/>
    <w:rsid w:val="2B3E4EAD"/>
    <w:rsid w:val="2B487ADA"/>
    <w:rsid w:val="2B5446D0"/>
    <w:rsid w:val="2B5841C1"/>
    <w:rsid w:val="2B5B780D"/>
    <w:rsid w:val="2B5D17D7"/>
    <w:rsid w:val="2B620B9B"/>
    <w:rsid w:val="2B6366AD"/>
    <w:rsid w:val="2B674404"/>
    <w:rsid w:val="2B6A0DDE"/>
    <w:rsid w:val="2B82123D"/>
    <w:rsid w:val="2B830B12"/>
    <w:rsid w:val="2B844FB6"/>
    <w:rsid w:val="2B893791"/>
    <w:rsid w:val="2B8E1990"/>
    <w:rsid w:val="2B91322F"/>
    <w:rsid w:val="2B944ACD"/>
    <w:rsid w:val="2B967401"/>
    <w:rsid w:val="2B9B40AD"/>
    <w:rsid w:val="2BA016C4"/>
    <w:rsid w:val="2BA56CDA"/>
    <w:rsid w:val="2BB05DAB"/>
    <w:rsid w:val="2BB138D1"/>
    <w:rsid w:val="2BC70E40"/>
    <w:rsid w:val="2BC96E6C"/>
    <w:rsid w:val="2BDF21EC"/>
    <w:rsid w:val="2BEB696B"/>
    <w:rsid w:val="2BEF7F55"/>
    <w:rsid w:val="2BF65FA1"/>
    <w:rsid w:val="2BF910B5"/>
    <w:rsid w:val="2C077995"/>
    <w:rsid w:val="2C0C0B07"/>
    <w:rsid w:val="2C1005F7"/>
    <w:rsid w:val="2C106849"/>
    <w:rsid w:val="2C11611D"/>
    <w:rsid w:val="2C1A1476"/>
    <w:rsid w:val="2C262CFF"/>
    <w:rsid w:val="2C2B3683"/>
    <w:rsid w:val="2C2E3173"/>
    <w:rsid w:val="2C335F25"/>
    <w:rsid w:val="2C4237D4"/>
    <w:rsid w:val="2C444745"/>
    <w:rsid w:val="2C4B1CA7"/>
    <w:rsid w:val="2C583D4C"/>
    <w:rsid w:val="2C5D5807"/>
    <w:rsid w:val="2C7072E8"/>
    <w:rsid w:val="2C7A3CC3"/>
    <w:rsid w:val="2C7C7A3B"/>
    <w:rsid w:val="2C7D37B3"/>
    <w:rsid w:val="2C9E3E55"/>
    <w:rsid w:val="2CA64AB8"/>
    <w:rsid w:val="2CBC077F"/>
    <w:rsid w:val="2CC056E2"/>
    <w:rsid w:val="2CC15D95"/>
    <w:rsid w:val="2CC55886"/>
    <w:rsid w:val="2CCC10DC"/>
    <w:rsid w:val="2CCD1583"/>
    <w:rsid w:val="2CCD473A"/>
    <w:rsid w:val="2CCF3D47"/>
    <w:rsid w:val="2CD77367"/>
    <w:rsid w:val="2CDE24A4"/>
    <w:rsid w:val="2CDE333D"/>
    <w:rsid w:val="2CDF7FCA"/>
    <w:rsid w:val="2CE83322"/>
    <w:rsid w:val="2CF00429"/>
    <w:rsid w:val="2CF27CFD"/>
    <w:rsid w:val="2CF7672D"/>
    <w:rsid w:val="2CFE66A2"/>
    <w:rsid w:val="2D072868"/>
    <w:rsid w:val="2D0A3299"/>
    <w:rsid w:val="2D0F2B70"/>
    <w:rsid w:val="2D1660E1"/>
    <w:rsid w:val="2D173E09"/>
    <w:rsid w:val="2D260351"/>
    <w:rsid w:val="2D2B1461"/>
    <w:rsid w:val="2D306A77"/>
    <w:rsid w:val="2D355E3C"/>
    <w:rsid w:val="2D371BB4"/>
    <w:rsid w:val="2D3C541C"/>
    <w:rsid w:val="2D3E1CA3"/>
    <w:rsid w:val="2D3E2F42"/>
    <w:rsid w:val="2D40315E"/>
    <w:rsid w:val="2D480265"/>
    <w:rsid w:val="2D505474"/>
    <w:rsid w:val="2D517119"/>
    <w:rsid w:val="2D522E91"/>
    <w:rsid w:val="2D546C0A"/>
    <w:rsid w:val="2D595FCE"/>
    <w:rsid w:val="2D6751F4"/>
    <w:rsid w:val="2D690E85"/>
    <w:rsid w:val="2D6D7CCB"/>
    <w:rsid w:val="2D7C1CBC"/>
    <w:rsid w:val="2D7E3C87"/>
    <w:rsid w:val="2D7E5A35"/>
    <w:rsid w:val="2D811081"/>
    <w:rsid w:val="2D8A43D9"/>
    <w:rsid w:val="2D8B25AD"/>
    <w:rsid w:val="2D91575E"/>
    <w:rsid w:val="2D986AF6"/>
    <w:rsid w:val="2DA01E4F"/>
    <w:rsid w:val="2DA04C40"/>
    <w:rsid w:val="2DA70097"/>
    <w:rsid w:val="2DA71227"/>
    <w:rsid w:val="2DB31B82"/>
    <w:rsid w:val="2DBE5C85"/>
    <w:rsid w:val="2DC0604D"/>
    <w:rsid w:val="2DC641DE"/>
    <w:rsid w:val="2DCB3D37"/>
    <w:rsid w:val="2DD613CD"/>
    <w:rsid w:val="2DE27D71"/>
    <w:rsid w:val="2DE41D3C"/>
    <w:rsid w:val="2DE53D06"/>
    <w:rsid w:val="2DE65041"/>
    <w:rsid w:val="2DE9627B"/>
    <w:rsid w:val="2DF05F8A"/>
    <w:rsid w:val="2DF126AA"/>
    <w:rsid w:val="2DF301D1"/>
    <w:rsid w:val="2DF31F7F"/>
    <w:rsid w:val="2DF61A6F"/>
    <w:rsid w:val="2DF87595"/>
    <w:rsid w:val="2E026666"/>
    <w:rsid w:val="2E0C3040"/>
    <w:rsid w:val="2E0E500A"/>
    <w:rsid w:val="2E1A39AF"/>
    <w:rsid w:val="2E1B3283"/>
    <w:rsid w:val="2E1D6FFC"/>
    <w:rsid w:val="2E2A34C6"/>
    <w:rsid w:val="2E2C36E3"/>
    <w:rsid w:val="2E2E2FB7"/>
    <w:rsid w:val="2E383E35"/>
    <w:rsid w:val="2E385BE3"/>
    <w:rsid w:val="2E402CEA"/>
    <w:rsid w:val="2E4722CA"/>
    <w:rsid w:val="2E494294"/>
    <w:rsid w:val="2E5549E7"/>
    <w:rsid w:val="2E5642BC"/>
    <w:rsid w:val="2E5D564A"/>
    <w:rsid w:val="2E644049"/>
    <w:rsid w:val="2E690E72"/>
    <w:rsid w:val="2E7110F5"/>
    <w:rsid w:val="2E731311"/>
    <w:rsid w:val="2E823302"/>
    <w:rsid w:val="2E876B6B"/>
    <w:rsid w:val="2E905A1F"/>
    <w:rsid w:val="2E976DAE"/>
    <w:rsid w:val="2EA43279"/>
    <w:rsid w:val="2EA66FF1"/>
    <w:rsid w:val="2EA72D69"/>
    <w:rsid w:val="2EB45032"/>
    <w:rsid w:val="2EB45BB2"/>
    <w:rsid w:val="2EC13E2B"/>
    <w:rsid w:val="2EC244FD"/>
    <w:rsid w:val="2EC97183"/>
    <w:rsid w:val="2ECB2EFB"/>
    <w:rsid w:val="2EDC2A13"/>
    <w:rsid w:val="2EE33AE0"/>
    <w:rsid w:val="2EE43FBD"/>
    <w:rsid w:val="2EE45D6B"/>
    <w:rsid w:val="2EE6563F"/>
    <w:rsid w:val="2EEA5E26"/>
    <w:rsid w:val="2EFF4953"/>
    <w:rsid w:val="2F0401BB"/>
    <w:rsid w:val="2F081A5A"/>
    <w:rsid w:val="2F0957D2"/>
    <w:rsid w:val="2F195A15"/>
    <w:rsid w:val="2F234AE5"/>
    <w:rsid w:val="2F292AD6"/>
    <w:rsid w:val="2F2D326E"/>
    <w:rsid w:val="2F3960B7"/>
    <w:rsid w:val="2F407445"/>
    <w:rsid w:val="2F444CC2"/>
    <w:rsid w:val="2F4B5DEA"/>
    <w:rsid w:val="2F5702EB"/>
    <w:rsid w:val="2F57653D"/>
    <w:rsid w:val="2F601896"/>
    <w:rsid w:val="2F61560E"/>
    <w:rsid w:val="2F6572D3"/>
    <w:rsid w:val="2F6824F8"/>
    <w:rsid w:val="2F6F1AD9"/>
    <w:rsid w:val="2F713AA3"/>
    <w:rsid w:val="2F770941"/>
    <w:rsid w:val="2F835584"/>
    <w:rsid w:val="2F8D6403"/>
    <w:rsid w:val="2F9D048F"/>
    <w:rsid w:val="2FAC4ADB"/>
    <w:rsid w:val="2FAD2601"/>
    <w:rsid w:val="2FAF688A"/>
    <w:rsid w:val="2FB05ED3"/>
    <w:rsid w:val="2FBE036A"/>
    <w:rsid w:val="2FC36AFB"/>
    <w:rsid w:val="2FCC0CD9"/>
    <w:rsid w:val="2FCF4325"/>
    <w:rsid w:val="2FD22068"/>
    <w:rsid w:val="2FD9278D"/>
    <w:rsid w:val="2FD936E5"/>
    <w:rsid w:val="2FDE0A0C"/>
    <w:rsid w:val="2FDE6C5E"/>
    <w:rsid w:val="2FE778C1"/>
    <w:rsid w:val="2FF147E1"/>
    <w:rsid w:val="2FF16992"/>
    <w:rsid w:val="2FF63FA8"/>
    <w:rsid w:val="300761B5"/>
    <w:rsid w:val="300C557A"/>
    <w:rsid w:val="301F34FF"/>
    <w:rsid w:val="3025663B"/>
    <w:rsid w:val="302E3742"/>
    <w:rsid w:val="30450A8C"/>
    <w:rsid w:val="30490EDC"/>
    <w:rsid w:val="305556AB"/>
    <w:rsid w:val="305725D7"/>
    <w:rsid w:val="30590093"/>
    <w:rsid w:val="306E6455"/>
    <w:rsid w:val="306F47D8"/>
    <w:rsid w:val="3086532C"/>
    <w:rsid w:val="308B2942"/>
    <w:rsid w:val="30907F59"/>
    <w:rsid w:val="309232F2"/>
    <w:rsid w:val="30A12166"/>
    <w:rsid w:val="30AD0B0B"/>
    <w:rsid w:val="30B8125D"/>
    <w:rsid w:val="30C10112"/>
    <w:rsid w:val="30C4310E"/>
    <w:rsid w:val="30C61BCC"/>
    <w:rsid w:val="30CB0F91"/>
    <w:rsid w:val="30CF3890"/>
    <w:rsid w:val="30E3634A"/>
    <w:rsid w:val="30E52842"/>
    <w:rsid w:val="30E67334"/>
    <w:rsid w:val="30F7099D"/>
    <w:rsid w:val="30FD4EC2"/>
    <w:rsid w:val="30FF16F4"/>
    <w:rsid w:val="31046251"/>
    <w:rsid w:val="31077AEF"/>
    <w:rsid w:val="31081B13"/>
    <w:rsid w:val="311051A4"/>
    <w:rsid w:val="31124E12"/>
    <w:rsid w:val="311F752F"/>
    <w:rsid w:val="31204BC0"/>
    <w:rsid w:val="31215055"/>
    <w:rsid w:val="31532FD9"/>
    <w:rsid w:val="315A2315"/>
    <w:rsid w:val="31644F41"/>
    <w:rsid w:val="316A4508"/>
    <w:rsid w:val="316D3DF6"/>
    <w:rsid w:val="316F01F6"/>
    <w:rsid w:val="31717D8A"/>
    <w:rsid w:val="3174552B"/>
    <w:rsid w:val="31794E91"/>
    <w:rsid w:val="317E74D5"/>
    <w:rsid w:val="318F3B73"/>
    <w:rsid w:val="31927D00"/>
    <w:rsid w:val="31935A7D"/>
    <w:rsid w:val="31973569"/>
    <w:rsid w:val="31975317"/>
    <w:rsid w:val="319B08B8"/>
    <w:rsid w:val="319B2FCA"/>
    <w:rsid w:val="31A67308"/>
    <w:rsid w:val="31A87524"/>
    <w:rsid w:val="31BF7BF3"/>
    <w:rsid w:val="31CC4FC0"/>
    <w:rsid w:val="31CD6F8B"/>
    <w:rsid w:val="31F12C79"/>
    <w:rsid w:val="31F2079F"/>
    <w:rsid w:val="31F462C5"/>
    <w:rsid w:val="31FB7654"/>
    <w:rsid w:val="31FE0EF2"/>
    <w:rsid w:val="32004C6A"/>
    <w:rsid w:val="320504D2"/>
    <w:rsid w:val="320F75A3"/>
    <w:rsid w:val="32186458"/>
    <w:rsid w:val="321C75CA"/>
    <w:rsid w:val="32382656"/>
    <w:rsid w:val="325133BE"/>
    <w:rsid w:val="32515A09"/>
    <w:rsid w:val="32527231"/>
    <w:rsid w:val="3253123E"/>
    <w:rsid w:val="32537101"/>
    <w:rsid w:val="32584AA6"/>
    <w:rsid w:val="32590313"/>
    <w:rsid w:val="325A081E"/>
    <w:rsid w:val="325E7BE3"/>
    <w:rsid w:val="32687567"/>
    <w:rsid w:val="326E42CA"/>
    <w:rsid w:val="32794AED"/>
    <w:rsid w:val="327A2C6E"/>
    <w:rsid w:val="328C4750"/>
    <w:rsid w:val="329119E9"/>
    <w:rsid w:val="32A93554"/>
    <w:rsid w:val="32B86E31"/>
    <w:rsid w:val="32BF4174"/>
    <w:rsid w:val="32C77752"/>
    <w:rsid w:val="32CB34CA"/>
    <w:rsid w:val="32D103B5"/>
    <w:rsid w:val="32E4458C"/>
    <w:rsid w:val="32E53E60"/>
    <w:rsid w:val="32E9463D"/>
    <w:rsid w:val="33092244"/>
    <w:rsid w:val="330E33B7"/>
    <w:rsid w:val="331C1F78"/>
    <w:rsid w:val="33265597"/>
    <w:rsid w:val="33354DE7"/>
    <w:rsid w:val="33396201"/>
    <w:rsid w:val="334B460B"/>
    <w:rsid w:val="334B5194"/>
    <w:rsid w:val="334D7613"/>
    <w:rsid w:val="335C05C6"/>
    <w:rsid w:val="33615BDC"/>
    <w:rsid w:val="336A2CE3"/>
    <w:rsid w:val="336D4581"/>
    <w:rsid w:val="3374707B"/>
    <w:rsid w:val="33751688"/>
    <w:rsid w:val="337F40B3"/>
    <w:rsid w:val="337F6063"/>
    <w:rsid w:val="33813B89"/>
    <w:rsid w:val="33890C8F"/>
    <w:rsid w:val="338B0EAB"/>
    <w:rsid w:val="338F274A"/>
    <w:rsid w:val="33B77788"/>
    <w:rsid w:val="33BB2CC2"/>
    <w:rsid w:val="33E00490"/>
    <w:rsid w:val="33E12D5E"/>
    <w:rsid w:val="33E32A95"/>
    <w:rsid w:val="33E800AC"/>
    <w:rsid w:val="33EB7D36"/>
    <w:rsid w:val="33EF31E8"/>
    <w:rsid w:val="33F16F60"/>
    <w:rsid w:val="33F47ECB"/>
    <w:rsid w:val="33FB1B8D"/>
    <w:rsid w:val="3416552F"/>
    <w:rsid w:val="342310E4"/>
    <w:rsid w:val="34281218"/>
    <w:rsid w:val="343432F1"/>
    <w:rsid w:val="344722BE"/>
    <w:rsid w:val="344A224D"/>
    <w:rsid w:val="3454129D"/>
    <w:rsid w:val="34584EA4"/>
    <w:rsid w:val="345F027E"/>
    <w:rsid w:val="346103BB"/>
    <w:rsid w:val="346534AA"/>
    <w:rsid w:val="346E6803"/>
    <w:rsid w:val="34750B27"/>
    <w:rsid w:val="34790D04"/>
    <w:rsid w:val="347A51A8"/>
    <w:rsid w:val="3482405C"/>
    <w:rsid w:val="348A5AD7"/>
    <w:rsid w:val="3491604D"/>
    <w:rsid w:val="34930017"/>
    <w:rsid w:val="349873DC"/>
    <w:rsid w:val="349937BF"/>
    <w:rsid w:val="34A43FD3"/>
    <w:rsid w:val="34A73053"/>
    <w:rsid w:val="34B15A2D"/>
    <w:rsid w:val="34B32468"/>
    <w:rsid w:val="34B72215"/>
    <w:rsid w:val="34BF2BBB"/>
    <w:rsid w:val="34C06933"/>
    <w:rsid w:val="34CA77B1"/>
    <w:rsid w:val="34CB32F5"/>
    <w:rsid w:val="34CD748C"/>
    <w:rsid w:val="34CD76C5"/>
    <w:rsid w:val="34CE72A2"/>
    <w:rsid w:val="34D128EE"/>
    <w:rsid w:val="34D517B3"/>
    <w:rsid w:val="34D81ECE"/>
    <w:rsid w:val="34DB551B"/>
    <w:rsid w:val="34DD5737"/>
    <w:rsid w:val="34E6283D"/>
    <w:rsid w:val="34F914AF"/>
    <w:rsid w:val="34FA1E45"/>
    <w:rsid w:val="34FB5BBD"/>
    <w:rsid w:val="350309D6"/>
    <w:rsid w:val="350902DA"/>
    <w:rsid w:val="35132F06"/>
    <w:rsid w:val="3518051D"/>
    <w:rsid w:val="351A51B1"/>
    <w:rsid w:val="3529097C"/>
    <w:rsid w:val="35301D0A"/>
    <w:rsid w:val="35411821"/>
    <w:rsid w:val="354A5B32"/>
    <w:rsid w:val="354E2190"/>
    <w:rsid w:val="355157DD"/>
    <w:rsid w:val="35597AAF"/>
    <w:rsid w:val="355E0166"/>
    <w:rsid w:val="356E638F"/>
    <w:rsid w:val="35812566"/>
    <w:rsid w:val="35847960"/>
    <w:rsid w:val="35973B37"/>
    <w:rsid w:val="359F479A"/>
    <w:rsid w:val="35AD5109"/>
    <w:rsid w:val="35B20971"/>
    <w:rsid w:val="35BC2153"/>
    <w:rsid w:val="35C506A4"/>
    <w:rsid w:val="35C67F79"/>
    <w:rsid w:val="35D501BC"/>
    <w:rsid w:val="35D71A8D"/>
    <w:rsid w:val="35E548A3"/>
    <w:rsid w:val="35EA2A48"/>
    <w:rsid w:val="35FB40C6"/>
    <w:rsid w:val="36093152"/>
    <w:rsid w:val="360A60B7"/>
    <w:rsid w:val="360D204B"/>
    <w:rsid w:val="360F36CE"/>
    <w:rsid w:val="361E1B63"/>
    <w:rsid w:val="365437D6"/>
    <w:rsid w:val="365E28A7"/>
    <w:rsid w:val="3676374D"/>
    <w:rsid w:val="3679323D"/>
    <w:rsid w:val="368A1BC1"/>
    <w:rsid w:val="368F2A60"/>
    <w:rsid w:val="368F689A"/>
    <w:rsid w:val="369D6F2B"/>
    <w:rsid w:val="369E4CD3"/>
    <w:rsid w:val="36A209E6"/>
    <w:rsid w:val="36A71C28"/>
    <w:rsid w:val="36AE1139"/>
    <w:rsid w:val="36BE50F4"/>
    <w:rsid w:val="36C858CE"/>
    <w:rsid w:val="36D064E3"/>
    <w:rsid w:val="36D13079"/>
    <w:rsid w:val="36DA1F2E"/>
    <w:rsid w:val="36DB5CA6"/>
    <w:rsid w:val="36E13A87"/>
    <w:rsid w:val="36EB413B"/>
    <w:rsid w:val="36EF52AD"/>
    <w:rsid w:val="36FD5C1C"/>
    <w:rsid w:val="36FD79CA"/>
    <w:rsid w:val="36FF25F7"/>
    <w:rsid w:val="37052E82"/>
    <w:rsid w:val="370E1BD7"/>
    <w:rsid w:val="37182A56"/>
    <w:rsid w:val="372C6501"/>
    <w:rsid w:val="372E5E1E"/>
    <w:rsid w:val="3733014F"/>
    <w:rsid w:val="374025BE"/>
    <w:rsid w:val="37461371"/>
    <w:rsid w:val="37476E97"/>
    <w:rsid w:val="374B6987"/>
    <w:rsid w:val="37533A8E"/>
    <w:rsid w:val="375D66BB"/>
    <w:rsid w:val="375F2433"/>
    <w:rsid w:val="37643EED"/>
    <w:rsid w:val="376F1E39"/>
    <w:rsid w:val="37712166"/>
    <w:rsid w:val="377759CE"/>
    <w:rsid w:val="378325C5"/>
    <w:rsid w:val="37895702"/>
    <w:rsid w:val="378E2D18"/>
    <w:rsid w:val="379453FA"/>
    <w:rsid w:val="379530C6"/>
    <w:rsid w:val="37971BCD"/>
    <w:rsid w:val="379B616B"/>
    <w:rsid w:val="37B3452D"/>
    <w:rsid w:val="37BF2ED1"/>
    <w:rsid w:val="37C11525"/>
    <w:rsid w:val="37C16C4A"/>
    <w:rsid w:val="37C624B2"/>
    <w:rsid w:val="37C87FD8"/>
    <w:rsid w:val="37C914DF"/>
    <w:rsid w:val="37CB1876"/>
    <w:rsid w:val="37CD1A92"/>
    <w:rsid w:val="37D03331"/>
    <w:rsid w:val="37D93CBA"/>
    <w:rsid w:val="37E1553E"/>
    <w:rsid w:val="37E63176"/>
    <w:rsid w:val="37E961A0"/>
    <w:rsid w:val="37FF7761"/>
    <w:rsid w:val="38000C61"/>
    <w:rsid w:val="38064FA4"/>
    <w:rsid w:val="380B25BB"/>
    <w:rsid w:val="38133004"/>
    <w:rsid w:val="381A338C"/>
    <w:rsid w:val="3832296A"/>
    <w:rsid w:val="383C3A65"/>
    <w:rsid w:val="383E473E"/>
    <w:rsid w:val="38404012"/>
    <w:rsid w:val="38455154"/>
    <w:rsid w:val="384601AA"/>
    <w:rsid w:val="38521F98"/>
    <w:rsid w:val="38563836"/>
    <w:rsid w:val="38593326"/>
    <w:rsid w:val="388C0A7F"/>
    <w:rsid w:val="38905AB8"/>
    <w:rsid w:val="389D76B7"/>
    <w:rsid w:val="38B431C5"/>
    <w:rsid w:val="38B7004D"/>
    <w:rsid w:val="38C83D60"/>
    <w:rsid w:val="38D64977"/>
    <w:rsid w:val="38D8249D"/>
    <w:rsid w:val="38DB1F8D"/>
    <w:rsid w:val="38DB3D3B"/>
    <w:rsid w:val="38E566D6"/>
    <w:rsid w:val="38FA68B7"/>
    <w:rsid w:val="39074B30"/>
    <w:rsid w:val="390C5304"/>
    <w:rsid w:val="3911775D"/>
    <w:rsid w:val="391B4A7F"/>
    <w:rsid w:val="39251AAB"/>
    <w:rsid w:val="392871CC"/>
    <w:rsid w:val="392A5822"/>
    <w:rsid w:val="394904EF"/>
    <w:rsid w:val="394A2C6F"/>
    <w:rsid w:val="394F0285"/>
    <w:rsid w:val="39567597"/>
    <w:rsid w:val="395D6E46"/>
    <w:rsid w:val="39677CC5"/>
    <w:rsid w:val="39700927"/>
    <w:rsid w:val="397A3554"/>
    <w:rsid w:val="398443D3"/>
    <w:rsid w:val="39846181"/>
    <w:rsid w:val="39882115"/>
    <w:rsid w:val="398919E9"/>
    <w:rsid w:val="398A08DA"/>
    <w:rsid w:val="398E6E86"/>
    <w:rsid w:val="39B06F76"/>
    <w:rsid w:val="39B20F40"/>
    <w:rsid w:val="39B41D99"/>
    <w:rsid w:val="39C62C3D"/>
    <w:rsid w:val="39CE564E"/>
    <w:rsid w:val="39D864CC"/>
    <w:rsid w:val="39E60BE9"/>
    <w:rsid w:val="39F50E2C"/>
    <w:rsid w:val="39F710D2"/>
    <w:rsid w:val="39F90DF2"/>
    <w:rsid w:val="3A06128C"/>
    <w:rsid w:val="3A173499"/>
    <w:rsid w:val="3A2F2590"/>
    <w:rsid w:val="3A31501D"/>
    <w:rsid w:val="3A476800"/>
    <w:rsid w:val="3A4D41CA"/>
    <w:rsid w:val="3A4F678F"/>
    <w:rsid w:val="3A523949"/>
    <w:rsid w:val="3A541FF7"/>
    <w:rsid w:val="3A575643"/>
    <w:rsid w:val="3A60099C"/>
    <w:rsid w:val="3A63048C"/>
    <w:rsid w:val="3A6D2DE3"/>
    <w:rsid w:val="3A6E2E78"/>
    <w:rsid w:val="3A6F3C63"/>
    <w:rsid w:val="3A803932"/>
    <w:rsid w:val="3A810912"/>
    <w:rsid w:val="3A8153C2"/>
    <w:rsid w:val="3A826598"/>
    <w:rsid w:val="3A8328DC"/>
    <w:rsid w:val="3A836438"/>
    <w:rsid w:val="3A850402"/>
    <w:rsid w:val="3A881CA1"/>
    <w:rsid w:val="3A977E6F"/>
    <w:rsid w:val="3AA34D2C"/>
    <w:rsid w:val="3AAE4FB5"/>
    <w:rsid w:val="3ABC7B9C"/>
    <w:rsid w:val="3AC102DA"/>
    <w:rsid w:val="3AC70A1B"/>
    <w:rsid w:val="3ACF167E"/>
    <w:rsid w:val="3ADB2718"/>
    <w:rsid w:val="3AE27603"/>
    <w:rsid w:val="3AE315CD"/>
    <w:rsid w:val="3AE74C19"/>
    <w:rsid w:val="3AE76371"/>
    <w:rsid w:val="3AE91A8F"/>
    <w:rsid w:val="3B037579"/>
    <w:rsid w:val="3B0532F1"/>
    <w:rsid w:val="3B0A4DAB"/>
    <w:rsid w:val="3B0E03F8"/>
    <w:rsid w:val="3B1122EA"/>
    <w:rsid w:val="3B11613A"/>
    <w:rsid w:val="3B155156"/>
    <w:rsid w:val="3B182F33"/>
    <w:rsid w:val="3B1E43B3"/>
    <w:rsid w:val="3B255741"/>
    <w:rsid w:val="3B2927FD"/>
    <w:rsid w:val="3B2F65C0"/>
    <w:rsid w:val="3B351E28"/>
    <w:rsid w:val="3B3B4F65"/>
    <w:rsid w:val="3B464036"/>
    <w:rsid w:val="3B4A51A8"/>
    <w:rsid w:val="3B5F0C53"/>
    <w:rsid w:val="3B731B02"/>
    <w:rsid w:val="3B7931B4"/>
    <w:rsid w:val="3B7A3CDF"/>
    <w:rsid w:val="3B81506E"/>
    <w:rsid w:val="3B871F58"/>
    <w:rsid w:val="3B8B7C9A"/>
    <w:rsid w:val="3B8E1539"/>
    <w:rsid w:val="3B931C19"/>
    <w:rsid w:val="3BA1126C"/>
    <w:rsid w:val="3BB32D4D"/>
    <w:rsid w:val="3BBA3572"/>
    <w:rsid w:val="3BC431AC"/>
    <w:rsid w:val="3BC74A4B"/>
    <w:rsid w:val="3BC96A15"/>
    <w:rsid w:val="3BCA3CDA"/>
    <w:rsid w:val="3BD266B1"/>
    <w:rsid w:val="3BE22BA9"/>
    <w:rsid w:val="3BE61375"/>
    <w:rsid w:val="3BE73318"/>
    <w:rsid w:val="3BEB698B"/>
    <w:rsid w:val="3BED15CB"/>
    <w:rsid w:val="3C060232"/>
    <w:rsid w:val="3C0637C5"/>
    <w:rsid w:val="3C116763"/>
    <w:rsid w:val="3C13131B"/>
    <w:rsid w:val="3C131A3E"/>
    <w:rsid w:val="3C1367CF"/>
    <w:rsid w:val="3C177780"/>
    <w:rsid w:val="3C182BAA"/>
    <w:rsid w:val="3C1C6B44"/>
    <w:rsid w:val="3C1D466B"/>
    <w:rsid w:val="3C277297"/>
    <w:rsid w:val="3C2957FF"/>
    <w:rsid w:val="3C335C3C"/>
    <w:rsid w:val="3C357C06"/>
    <w:rsid w:val="3C37397E"/>
    <w:rsid w:val="3C3C0F95"/>
    <w:rsid w:val="3C3F6B4F"/>
    <w:rsid w:val="3C4165AB"/>
    <w:rsid w:val="3C44609B"/>
    <w:rsid w:val="3C492417"/>
    <w:rsid w:val="3C4D13F4"/>
    <w:rsid w:val="3C51183F"/>
    <w:rsid w:val="3C616C4D"/>
    <w:rsid w:val="3C666012"/>
    <w:rsid w:val="3C683B38"/>
    <w:rsid w:val="3C6C192D"/>
    <w:rsid w:val="3C7C08AF"/>
    <w:rsid w:val="3C7C6D3D"/>
    <w:rsid w:val="3C85293C"/>
    <w:rsid w:val="3C88242C"/>
    <w:rsid w:val="3C925059"/>
    <w:rsid w:val="3CA65BA5"/>
    <w:rsid w:val="3CAA23A2"/>
    <w:rsid w:val="3CAD24ED"/>
    <w:rsid w:val="3CBE5E4E"/>
    <w:rsid w:val="3CC82828"/>
    <w:rsid w:val="3CCC056A"/>
    <w:rsid w:val="3CD651F9"/>
    <w:rsid w:val="3CE5162C"/>
    <w:rsid w:val="3CEA09F1"/>
    <w:rsid w:val="3CF03B2D"/>
    <w:rsid w:val="3CFB4907"/>
    <w:rsid w:val="3CFC1059"/>
    <w:rsid w:val="3D0329CE"/>
    <w:rsid w:val="3D0575D8"/>
    <w:rsid w:val="3D08531B"/>
    <w:rsid w:val="3D1B504E"/>
    <w:rsid w:val="3D33121C"/>
    <w:rsid w:val="3D3D3216"/>
    <w:rsid w:val="3D406863"/>
    <w:rsid w:val="3D496740"/>
    <w:rsid w:val="3D566086"/>
    <w:rsid w:val="3D5B544A"/>
    <w:rsid w:val="3D600CB3"/>
    <w:rsid w:val="3D610E5E"/>
    <w:rsid w:val="3D722C4E"/>
    <w:rsid w:val="3D736C38"/>
    <w:rsid w:val="3D803103"/>
    <w:rsid w:val="3D8175A7"/>
    <w:rsid w:val="3D8250CD"/>
    <w:rsid w:val="3D842BF3"/>
    <w:rsid w:val="3D880301"/>
    <w:rsid w:val="3D98044D"/>
    <w:rsid w:val="3DA6527E"/>
    <w:rsid w:val="3DA70690"/>
    <w:rsid w:val="3DAC3EF8"/>
    <w:rsid w:val="3DB039E8"/>
    <w:rsid w:val="3DB208DC"/>
    <w:rsid w:val="3DB64D77"/>
    <w:rsid w:val="3DC41242"/>
    <w:rsid w:val="3DCE20C0"/>
    <w:rsid w:val="3DD376D7"/>
    <w:rsid w:val="3DD60F75"/>
    <w:rsid w:val="3DDC7EF5"/>
    <w:rsid w:val="3DE25B6C"/>
    <w:rsid w:val="3DED6B34"/>
    <w:rsid w:val="3DEE4511"/>
    <w:rsid w:val="3DEE62BF"/>
    <w:rsid w:val="3DF90186"/>
    <w:rsid w:val="3DFB09DB"/>
    <w:rsid w:val="3DFD496C"/>
    <w:rsid w:val="3E057699"/>
    <w:rsid w:val="3E09759C"/>
    <w:rsid w:val="3E0E4BB3"/>
    <w:rsid w:val="3E104487"/>
    <w:rsid w:val="3E155F41"/>
    <w:rsid w:val="3E18158D"/>
    <w:rsid w:val="3E1C72D0"/>
    <w:rsid w:val="3E2148E6"/>
    <w:rsid w:val="3E265A58"/>
    <w:rsid w:val="3E32264F"/>
    <w:rsid w:val="3E391C30"/>
    <w:rsid w:val="3E4203B8"/>
    <w:rsid w:val="3E4A424B"/>
    <w:rsid w:val="3E506F79"/>
    <w:rsid w:val="3E5E1696"/>
    <w:rsid w:val="3E6D7B2B"/>
    <w:rsid w:val="3E720C9E"/>
    <w:rsid w:val="3E742C68"/>
    <w:rsid w:val="3E773D18"/>
    <w:rsid w:val="3E7C7D6E"/>
    <w:rsid w:val="3E88226F"/>
    <w:rsid w:val="3E8B6203"/>
    <w:rsid w:val="3E927592"/>
    <w:rsid w:val="3E9A1FA2"/>
    <w:rsid w:val="3E9B7A1A"/>
    <w:rsid w:val="3E9C3F6D"/>
    <w:rsid w:val="3E9C6B44"/>
    <w:rsid w:val="3EB5502E"/>
    <w:rsid w:val="3EB954B1"/>
    <w:rsid w:val="3EBC460F"/>
    <w:rsid w:val="3EC30DB5"/>
    <w:rsid w:val="3ED454B4"/>
    <w:rsid w:val="3ED855D4"/>
    <w:rsid w:val="3ED951C1"/>
    <w:rsid w:val="3ED96F6F"/>
    <w:rsid w:val="3EEB0A50"/>
    <w:rsid w:val="3EFE69D5"/>
    <w:rsid w:val="3F054964"/>
    <w:rsid w:val="3F1C6E5B"/>
    <w:rsid w:val="3F1F4CA7"/>
    <w:rsid w:val="3F275F2C"/>
    <w:rsid w:val="3F3160DD"/>
    <w:rsid w:val="3F4343E8"/>
    <w:rsid w:val="3F6727CC"/>
    <w:rsid w:val="3F6F1681"/>
    <w:rsid w:val="3F70069E"/>
    <w:rsid w:val="3F7647BE"/>
    <w:rsid w:val="3F7B0026"/>
    <w:rsid w:val="3F86729C"/>
    <w:rsid w:val="3F8B1243"/>
    <w:rsid w:val="3F917849"/>
    <w:rsid w:val="3FA56E51"/>
    <w:rsid w:val="3FB13A48"/>
    <w:rsid w:val="3FB61232"/>
    <w:rsid w:val="3FB86B84"/>
    <w:rsid w:val="3FC01EDD"/>
    <w:rsid w:val="3FC4377B"/>
    <w:rsid w:val="3FC712E3"/>
    <w:rsid w:val="3FD10365"/>
    <w:rsid w:val="3FD17C46"/>
    <w:rsid w:val="3FDC6027"/>
    <w:rsid w:val="3FE931E1"/>
    <w:rsid w:val="3FF00B39"/>
    <w:rsid w:val="3FF322B2"/>
    <w:rsid w:val="3FFC1167"/>
    <w:rsid w:val="40026051"/>
    <w:rsid w:val="40093884"/>
    <w:rsid w:val="40152228"/>
    <w:rsid w:val="401A527D"/>
    <w:rsid w:val="4024246B"/>
    <w:rsid w:val="40275AB8"/>
    <w:rsid w:val="402E5098"/>
    <w:rsid w:val="40302BBE"/>
    <w:rsid w:val="40347952"/>
    <w:rsid w:val="403D52DB"/>
    <w:rsid w:val="40512B35"/>
    <w:rsid w:val="406665E0"/>
    <w:rsid w:val="406805AA"/>
    <w:rsid w:val="406E53A2"/>
    <w:rsid w:val="40756BD0"/>
    <w:rsid w:val="4077360B"/>
    <w:rsid w:val="409D5D7A"/>
    <w:rsid w:val="409E221E"/>
    <w:rsid w:val="40AE7F87"/>
    <w:rsid w:val="40AE7FB5"/>
    <w:rsid w:val="40B57568"/>
    <w:rsid w:val="40B97058"/>
    <w:rsid w:val="40D300F5"/>
    <w:rsid w:val="40D43E92"/>
    <w:rsid w:val="40E24800"/>
    <w:rsid w:val="40F40090"/>
    <w:rsid w:val="40F41E3E"/>
    <w:rsid w:val="40F57964"/>
    <w:rsid w:val="40F956A6"/>
    <w:rsid w:val="4105229D"/>
    <w:rsid w:val="41055DF9"/>
    <w:rsid w:val="41195BFF"/>
    <w:rsid w:val="41395AA3"/>
    <w:rsid w:val="4142704D"/>
    <w:rsid w:val="414B5EEF"/>
    <w:rsid w:val="41594065"/>
    <w:rsid w:val="415954B9"/>
    <w:rsid w:val="415D577B"/>
    <w:rsid w:val="416D36EB"/>
    <w:rsid w:val="417A174A"/>
    <w:rsid w:val="417B430D"/>
    <w:rsid w:val="418238EE"/>
    <w:rsid w:val="419453CF"/>
    <w:rsid w:val="4194717D"/>
    <w:rsid w:val="419F64A6"/>
    <w:rsid w:val="41A924CD"/>
    <w:rsid w:val="41A970CC"/>
    <w:rsid w:val="41AA69E7"/>
    <w:rsid w:val="41AB5D97"/>
    <w:rsid w:val="41AD023F"/>
    <w:rsid w:val="41B67E55"/>
    <w:rsid w:val="41B75F61"/>
    <w:rsid w:val="41BA3087"/>
    <w:rsid w:val="41BA554D"/>
    <w:rsid w:val="41CC5FAC"/>
    <w:rsid w:val="41CE08E1"/>
    <w:rsid w:val="41E2438C"/>
    <w:rsid w:val="41E32A81"/>
    <w:rsid w:val="41E9396D"/>
    <w:rsid w:val="41FF4F3E"/>
    <w:rsid w:val="42246753"/>
    <w:rsid w:val="42310E70"/>
    <w:rsid w:val="423170C2"/>
    <w:rsid w:val="42366A43"/>
    <w:rsid w:val="42383FAC"/>
    <w:rsid w:val="42417305"/>
    <w:rsid w:val="424B6CFD"/>
    <w:rsid w:val="424E37D0"/>
    <w:rsid w:val="425F3C2F"/>
    <w:rsid w:val="42666D6B"/>
    <w:rsid w:val="42672AE3"/>
    <w:rsid w:val="42734FE4"/>
    <w:rsid w:val="42770F78"/>
    <w:rsid w:val="42892A5A"/>
    <w:rsid w:val="428C60A6"/>
    <w:rsid w:val="428E2B11"/>
    <w:rsid w:val="42935686"/>
    <w:rsid w:val="429804EB"/>
    <w:rsid w:val="42A01D64"/>
    <w:rsid w:val="42A33B1C"/>
    <w:rsid w:val="42AE426E"/>
    <w:rsid w:val="42B0448A"/>
    <w:rsid w:val="42CB6BCE"/>
    <w:rsid w:val="42CD2AC9"/>
    <w:rsid w:val="42D63825"/>
    <w:rsid w:val="42D77C69"/>
    <w:rsid w:val="42DE2DA6"/>
    <w:rsid w:val="42EB101F"/>
    <w:rsid w:val="42F05477"/>
    <w:rsid w:val="42F26851"/>
    <w:rsid w:val="42F356A5"/>
    <w:rsid w:val="42F835E5"/>
    <w:rsid w:val="42F8373B"/>
    <w:rsid w:val="42F9198D"/>
    <w:rsid w:val="42FE01EB"/>
    <w:rsid w:val="431869CB"/>
    <w:rsid w:val="43234C5C"/>
    <w:rsid w:val="432A7D99"/>
    <w:rsid w:val="432B58BF"/>
    <w:rsid w:val="43352862"/>
    <w:rsid w:val="434E7D15"/>
    <w:rsid w:val="4357571B"/>
    <w:rsid w:val="43581FBB"/>
    <w:rsid w:val="43646F99"/>
    <w:rsid w:val="437234EE"/>
    <w:rsid w:val="43755ABB"/>
    <w:rsid w:val="437B23A2"/>
    <w:rsid w:val="438A6A89"/>
    <w:rsid w:val="43904600"/>
    <w:rsid w:val="439B0C97"/>
    <w:rsid w:val="439F2310"/>
    <w:rsid w:val="43A062AD"/>
    <w:rsid w:val="43B96287"/>
    <w:rsid w:val="43BE4985"/>
    <w:rsid w:val="43C024AB"/>
    <w:rsid w:val="43C56799"/>
    <w:rsid w:val="43CC3AB9"/>
    <w:rsid w:val="43CD4BC8"/>
    <w:rsid w:val="43E45C91"/>
    <w:rsid w:val="43E47BD9"/>
    <w:rsid w:val="43EE7018"/>
    <w:rsid w:val="43F958FD"/>
    <w:rsid w:val="44006D4C"/>
    <w:rsid w:val="44023F98"/>
    <w:rsid w:val="440A1F47"/>
    <w:rsid w:val="440C749E"/>
    <w:rsid w:val="44112D07"/>
    <w:rsid w:val="441D5B50"/>
    <w:rsid w:val="442073EE"/>
    <w:rsid w:val="44223166"/>
    <w:rsid w:val="442619A5"/>
    <w:rsid w:val="44302CD1"/>
    <w:rsid w:val="44337121"/>
    <w:rsid w:val="4436276D"/>
    <w:rsid w:val="444529B0"/>
    <w:rsid w:val="4447497A"/>
    <w:rsid w:val="444F55DD"/>
    <w:rsid w:val="4455734F"/>
    <w:rsid w:val="445B21D4"/>
    <w:rsid w:val="445D5F4C"/>
    <w:rsid w:val="445D7CFA"/>
    <w:rsid w:val="44623562"/>
    <w:rsid w:val="44703230"/>
    <w:rsid w:val="44782D86"/>
    <w:rsid w:val="447D039C"/>
    <w:rsid w:val="448B0D0B"/>
    <w:rsid w:val="449A2CFC"/>
    <w:rsid w:val="449D459A"/>
    <w:rsid w:val="44A65B45"/>
    <w:rsid w:val="44A9665F"/>
    <w:rsid w:val="44AF0444"/>
    <w:rsid w:val="44B964E9"/>
    <w:rsid w:val="44BE2E8F"/>
    <w:rsid w:val="44BF24D1"/>
    <w:rsid w:val="44C77869"/>
    <w:rsid w:val="44C80078"/>
    <w:rsid w:val="44C935E1"/>
    <w:rsid w:val="44C9538F"/>
    <w:rsid w:val="44D86CA5"/>
    <w:rsid w:val="44DC3315"/>
    <w:rsid w:val="44EA1C70"/>
    <w:rsid w:val="44F2351D"/>
    <w:rsid w:val="44F543D6"/>
    <w:rsid w:val="44FC5765"/>
    <w:rsid w:val="45012D7B"/>
    <w:rsid w:val="45065732"/>
    <w:rsid w:val="450E5498"/>
    <w:rsid w:val="451231DA"/>
    <w:rsid w:val="451505D5"/>
    <w:rsid w:val="45181E73"/>
    <w:rsid w:val="452A3117"/>
    <w:rsid w:val="453018B3"/>
    <w:rsid w:val="453B5410"/>
    <w:rsid w:val="453F3756"/>
    <w:rsid w:val="4541761C"/>
    <w:rsid w:val="45433394"/>
    <w:rsid w:val="454A2974"/>
    <w:rsid w:val="45513D03"/>
    <w:rsid w:val="455E32DA"/>
    <w:rsid w:val="45620382"/>
    <w:rsid w:val="457F3940"/>
    <w:rsid w:val="45907CA0"/>
    <w:rsid w:val="45965BB9"/>
    <w:rsid w:val="459D4546"/>
    <w:rsid w:val="45AC0F39"/>
    <w:rsid w:val="45B52936"/>
    <w:rsid w:val="45B86F57"/>
    <w:rsid w:val="45C34DD1"/>
    <w:rsid w:val="45C83899"/>
    <w:rsid w:val="45CC43BA"/>
    <w:rsid w:val="45DD211B"/>
    <w:rsid w:val="45DE30BD"/>
    <w:rsid w:val="45E904E5"/>
    <w:rsid w:val="45ED50AE"/>
    <w:rsid w:val="460D5750"/>
    <w:rsid w:val="462036D5"/>
    <w:rsid w:val="462431C5"/>
    <w:rsid w:val="46276812"/>
    <w:rsid w:val="46290916"/>
    <w:rsid w:val="462F3918"/>
    <w:rsid w:val="46380E68"/>
    <w:rsid w:val="46405B25"/>
    <w:rsid w:val="4642189D"/>
    <w:rsid w:val="46476EB4"/>
    <w:rsid w:val="464C0026"/>
    <w:rsid w:val="46534369"/>
    <w:rsid w:val="46651AF3"/>
    <w:rsid w:val="466E4440"/>
    <w:rsid w:val="46753A21"/>
    <w:rsid w:val="4689127A"/>
    <w:rsid w:val="469320F9"/>
    <w:rsid w:val="469A3487"/>
    <w:rsid w:val="46AC31BB"/>
    <w:rsid w:val="46B34A20"/>
    <w:rsid w:val="46BA3B31"/>
    <w:rsid w:val="46BD7176"/>
    <w:rsid w:val="46C10A14"/>
    <w:rsid w:val="46C44060"/>
    <w:rsid w:val="46C87FF5"/>
    <w:rsid w:val="46CC1167"/>
    <w:rsid w:val="46D1249B"/>
    <w:rsid w:val="46D87B0C"/>
    <w:rsid w:val="46DC5450"/>
    <w:rsid w:val="46DF70EC"/>
    <w:rsid w:val="46E6047B"/>
    <w:rsid w:val="470628CB"/>
    <w:rsid w:val="470B1C8F"/>
    <w:rsid w:val="4712301E"/>
    <w:rsid w:val="471274C2"/>
    <w:rsid w:val="471548BC"/>
    <w:rsid w:val="47190850"/>
    <w:rsid w:val="47197F94"/>
    <w:rsid w:val="47283A28"/>
    <w:rsid w:val="472B0583"/>
    <w:rsid w:val="472B79BF"/>
    <w:rsid w:val="472D42FC"/>
    <w:rsid w:val="47305383"/>
    <w:rsid w:val="47431429"/>
    <w:rsid w:val="47451645"/>
    <w:rsid w:val="474D04FA"/>
    <w:rsid w:val="47555600"/>
    <w:rsid w:val="475B4E56"/>
    <w:rsid w:val="475F1FDB"/>
    <w:rsid w:val="4760647F"/>
    <w:rsid w:val="47655843"/>
    <w:rsid w:val="476D64A6"/>
    <w:rsid w:val="476E0A00"/>
    <w:rsid w:val="47712A41"/>
    <w:rsid w:val="477348EC"/>
    <w:rsid w:val="478101A3"/>
    <w:rsid w:val="47811F51"/>
    <w:rsid w:val="479E6FA7"/>
    <w:rsid w:val="479F23CA"/>
    <w:rsid w:val="47AA14A8"/>
    <w:rsid w:val="47B57E4D"/>
    <w:rsid w:val="47B73BC5"/>
    <w:rsid w:val="47C3256A"/>
    <w:rsid w:val="47C63E08"/>
    <w:rsid w:val="47C85DD2"/>
    <w:rsid w:val="47CA1B4A"/>
    <w:rsid w:val="47CA56A6"/>
    <w:rsid w:val="47D14C87"/>
    <w:rsid w:val="47E32C0C"/>
    <w:rsid w:val="47F602F8"/>
    <w:rsid w:val="4803505C"/>
    <w:rsid w:val="480706A9"/>
    <w:rsid w:val="48082673"/>
    <w:rsid w:val="480B4420"/>
    <w:rsid w:val="480B7D0A"/>
    <w:rsid w:val="480F7446"/>
    <w:rsid w:val="48194880"/>
    <w:rsid w:val="48360F8E"/>
    <w:rsid w:val="483D40CA"/>
    <w:rsid w:val="48541414"/>
    <w:rsid w:val="485458B8"/>
    <w:rsid w:val="48587156"/>
    <w:rsid w:val="48830B4B"/>
    <w:rsid w:val="489363E0"/>
    <w:rsid w:val="489366AD"/>
    <w:rsid w:val="48A05552"/>
    <w:rsid w:val="48A20889"/>
    <w:rsid w:val="48AB197C"/>
    <w:rsid w:val="48BD345D"/>
    <w:rsid w:val="48BF0F83"/>
    <w:rsid w:val="48BF5427"/>
    <w:rsid w:val="48C20A74"/>
    <w:rsid w:val="48C4659A"/>
    <w:rsid w:val="48CD0F2A"/>
    <w:rsid w:val="48CF1315"/>
    <w:rsid w:val="48D40078"/>
    <w:rsid w:val="48D80297"/>
    <w:rsid w:val="48DA2AB1"/>
    <w:rsid w:val="48EE3617"/>
    <w:rsid w:val="48EF52E1"/>
    <w:rsid w:val="490177EE"/>
    <w:rsid w:val="490948F4"/>
    <w:rsid w:val="49180694"/>
    <w:rsid w:val="491A1BD1"/>
    <w:rsid w:val="4921031A"/>
    <w:rsid w:val="49267254"/>
    <w:rsid w:val="493A4AAE"/>
    <w:rsid w:val="493C25D4"/>
    <w:rsid w:val="493C4382"/>
    <w:rsid w:val="494D658F"/>
    <w:rsid w:val="49507E2D"/>
    <w:rsid w:val="49617862"/>
    <w:rsid w:val="49673BB5"/>
    <w:rsid w:val="496935BB"/>
    <w:rsid w:val="49702AE1"/>
    <w:rsid w:val="4977185E"/>
    <w:rsid w:val="49854854"/>
    <w:rsid w:val="498B355B"/>
    <w:rsid w:val="498D2E30"/>
    <w:rsid w:val="498E6BA8"/>
    <w:rsid w:val="4990798C"/>
    <w:rsid w:val="49956188"/>
    <w:rsid w:val="499E328F"/>
    <w:rsid w:val="49A85EBB"/>
    <w:rsid w:val="49B303BC"/>
    <w:rsid w:val="49B74350"/>
    <w:rsid w:val="49BC2940"/>
    <w:rsid w:val="49CF3448"/>
    <w:rsid w:val="49D46CB0"/>
    <w:rsid w:val="49DC5B65"/>
    <w:rsid w:val="49F509D5"/>
    <w:rsid w:val="49F904C5"/>
    <w:rsid w:val="4A0B3079"/>
    <w:rsid w:val="4A121587"/>
    <w:rsid w:val="4A1277D9"/>
    <w:rsid w:val="4A180C78"/>
    <w:rsid w:val="4A280DAA"/>
    <w:rsid w:val="4A370FED"/>
    <w:rsid w:val="4A3956EE"/>
    <w:rsid w:val="4A431740"/>
    <w:rsid w:val="4A4C4A99"/>
    <w:rsid w:val="4A58168F"/>
    <w:rsid w:val="4A631DE2"/>
    <w:rsid w:val="4A6673AE"/>
    <w:rsid w:val="4A6F4C2B"/>
    <w:rsid w:val="4A743FEF"/>
    <w:rsid w:val="4A757FD0"/>
    <w:rsid w:val="4A7C2069"/>
    <w:rsid w:val="4A8C4BA2"/>
    <w:rsid w:val="4A8E46B7"/>
    <w:rsid w:val="4A8E6E5F"/>
    <w:rsid w:val="4A9326C8"/>
    <w:rsid w:val="4A9B332A"/>
    <w:rsid w:val="4A9B5A20"/>
    <w:rsid w:val="4A9F36BB"/>
    <w:rsid w:val="4AA541A9"/>
    <w:rsid w:val="4AB83EDC"/>
    <w:rsid w:val="4AC00FE3"/>
    <w:rsid w:val="4AC46D25"/>
    <w:rsid w:val="4AC5484B"/>
    <w:rsid w:val="4AD54A8E"/>
    <w:rsid w:val="4AE009B5"/>
    <w:rsid w:val="4AE42F23"/>
    <w:rsid w:val="4AF13C65"/>
    <w:rsid w:val="4AF57CD3"/>
    <w:rsid w:val="4AFC64BF"/>
    <w:rsid w:val="4B0233A9"/>
    <w:rsid w:val="4B0C370C"/>
    <w:rsid w:val="4B1B26BD"/>
    <w:rsid w:val="4B1D7B56"/>
    <w:rsid w:val="4B1F21AD"/>
    <w:rsid w:val="4B26683C"/>
    <w:rsid w:val="4B2772B4"/>
    <w:rsid w:val="4B3774F7"/>
    <w:rsid w:val="4B3D0885"/>
    <w:rsid w:val="4B4A5F4D"/>
    <w:rsid w:val="4B4B4D50"/>
    <w:rsid w:val="4B4E65EF"/>
    <w:rsid w:val="4B5005B9"/>
    <w:rsid w:val="4B5F25AA"/>
    <w:rsid w:val="4B6202EC"/>
    <w:rsid w:val="4B6978CC"/>
    <w:rsid w:val="4B72052F"/>
    <w:rsid w:val="4B775B0D"/>
    <w:rsid w:val="4B8D5369"/>
    <w:rsid w:val="4B8E3CF3"/>
    <w:rsid w:val="4B977F95"/>
    <w:rsid w:val="4B983D0E"/>
    <w:rsid w:val="4B9A5CD8"/>
    <w:rsid w:val="4BA12BC2"/>
    <w:rsid w:val="4BA91A77"/>
    <w:rsid w:val="4BB26B7D"/>
    <w:rsid w:val="4BBE22D0"/>
    <w:rsid w:val="4BD25472"/>
    <w:rsid w:val="4BE62CCB"/>
    <w:rsid w:val="4BEA4569"/>
    <w:rsid w:val="4BEF7DD1"/>
    <w:rsid w:val="4C082C41"/>
    <w:rsid w:val="4C0B0C49"/>
    <w:rsid w:val="4C126AE2"/>
    <w:rsid w:val="4C247D3C"/>
    <w:rsid w:val="4C2555A1"/>
    <w:rsid w:val="4C28128E"/>
    <w:rsid w:val="4C361B10"/>
    <w:rsid w:val="4C39104D"/>
    <w:rsid w:val="4C465B56"/>
    <w:rsid w:val="4C55038A"/>
    <w:rsid w:val="4C610ACC"/>
    <w:rsid w:val="4C6562E6"/>
    <w:rsid w:val="4C696A2E"/>
    <w:rsid w:val="4C6D519A"/>
    <w:rsid w:val="4C6F0F12"/>
    <w:rsid w:val="4C775873"/>
    <w:rsid w:val="4C8147A2"/>
    <w:rsid w:val="4C833329"/>
    <w:rsid w:val="4C8524E4"/>
    <w:rsid w:val="4C856040"/>
    <w:rsid w:val="4C883D82"/>
    <w:rsid w:val="4C8F5111"/>
    <w:rsid w:val="4CAF57B3"/>
    <w:rsid w:val="4CB66B41"/>
    <w:rsid w:val="4CC052CA"/>
    <w:rsid w:val="4CCC1EC1"/>
    <w:rsid w:val="4CD92382"/>
    <w:rsid w:val="4CDB65A8"/>
    <w:rsid w:val="4CDE39A2"/>
    <w:rsid w:val="4CE0596C"/>
    <w:rsid w:val="4CEA4AA4"/>
    <w:rsid w:val="4CEE62DB"/>
    <w:rsid w:val="4D001B6A"/>
    <w:rsid w:val="4D070E32"/>
    <w:rsid w:val="4D090A1F"/>
    <w:rsid w:val="4D0E2D62"/>
    <w:rsid w:val="4D12566C"/>
    <w:rsid w:val="4D166448"/>
    <w:rsid w:val="4D1864DD"/>
    <w:rsid w:val="4D1A49A5"/>
    <w:rsid w:val="4D1E35C1"/>
    <w:rsid w:val="4D2E492A"/>
    <w:rsid w:val="4D333B30"/>
    <w:rsid w:val="4D40640B"/>
    <w:rsid w:val="4D422183"/>
    <w:rsid w:val="4D4C64AE"/>
    <w:rsid w:val="4D4E0B28"/>
    <w:rsid w:val="4D5D520F"/>
    <w:rsid w:val="4D616AAD"/>
    <w:rsid w:val="4D6367B9"/>
    <w:rsid w:val="4D695843"/>
    <w:rsid w:val="4D695962"/>
    <w:rsid w:val="4D761E2D"/>
    <w:rsid w:val="4D875DE8"/>
    <w:rsid w:val="4D973C81"/>
    <w:rsid w:val="4D994499"/>
    <w:rsid w:val="4D9A1FBF"/>
    <w:rsid w:val="4D9F3131"/>
    <w:rsid w:val="4DA44BEC"/>
    <w:rsid w:val="4DA60964"/>
    <w:rsid w:val="4DA8648A"/>
    <w:rsid w:val="4DB43081"/>
    <w:rsid w:val="4DBA440F"/>
    <w:rsid w:val="4DC025D3"/>
    <w:rsid w:val="4DC332C4"/>
    <w:rsid w:val="4DC4528E"/>
    <w:rsid w:val="4DC808DA"/>
    <w:rsid w:val="4DCD7C9F"/>
    <w:rsid w:val="4DD915EC"/>
    <w:rsid w:val="4DDD05A6"/>
    <w:rsid w:val="4DE00A03"/>
    <w:rsid w:val="4DF711BF"/>
    <w:rsid w:val="4E0B6A19"/>
    <w:rsid w:val="4E21623C"/>
    <w:rsid w:val="4E3075D0"/>
    <w:rsid w:val="4E3221F7"/>
    <w:rsid w:val="4E347D1E"/>
    <w:rsid w:val="4E3604E5"/>
    <w:rsid w:val="4E395334"/>
    <w:rsid w:val="4E4168DE"/>
    <w:rsid w:val="4E4D0DDF"/>
    <w:rsid w:val="4E5864F2"/>
    <w:rsid w:val="4E5E682D"/>
    <w:rsid w:val="4E7F1CC2"/>
    <w:rsid w:val="4E8D161D"/>
    <w:rsid w:val="4E933315"/>
    <w:rsid w:val="4E960E86"/>
    <w:rsid w:val="4EAA6232"/>
    <w:rsid w:val="4EBF75B3"/>
    <w:rsid w:val="4ED17C62"/>
    <w:rsid w:val="4ED7257A"/>
    <w:rsid w:val="4EE51018"/>
    <w:rsid w:val="4EEE65B6"/>
    <w:rsid w:val="4EEF0F22"/>
    <w:rsid w:val="4EF50234"/>
    <w:rsid w:val="4EF676C9"/>
    <w:rsid w:val="4EFA0F67"/>
    <w:rsid w:val="4EFB083B"/>
    <w:rsid w:val="4EFD3390"/>
    <w:rsid w:val="4F043B94"/>
    <w:rsid w:val="4F135B85"/>
    <w:rsid w:val="4F1B0EDE"/>
    <w:rsid w:val="4F1C0F61"/>
    <w:rsid w:val="4F1F277C"/>
    <w:rsid w:val="4F2002A2"/>
    <w:rsid w:val="4F2064F4"/>
    <w:rsid w:val="4F2A06BF"/>
    <w:rsid w:val="4F2D7040"/>
    <w:rsid w:val="4F337FD5"/>
    <w:rsid w:val="4F377446"/>
    <w:rsid w:val="4F4A7C2E"/>
    <w:rsid w:val="4F4C6D65"/>
    <w:rsid w:val="4F515D29"/>
    <w:rsid w:val="4F55619D"/>
    <w:rsid w:val="4F606A3E"/>
    <w:rsid w:val="4F714FA1"/>
    <w:rsid w:val="4F756840"/>
    <w:rsid w:val="4F771576"/>
    <w:rsid w:val="4F894099"/>
    <w:rsid w:val="4F933A0C"/>
    <w:rsid w:val="4F9B49DB"/>
    <w:rsid w:val="4FA72771"/>
    <w:rsid w:val="4FB629B4"/>
    <w:rsid w:val="4FBB7FCB"/>
    <w:rsid w:val="4FC1484C"/>
    <w:rsid w:val="4FC450D1"/>
    <w:rsid w:val="4FCD2F50"/>
    <w:rsid w:val="4FD55530"/>
    <w:rsid w:val="4FE614EB"/>
    <w:rsid w:val="4FEE214E"/>
    <w:rsid w:val="4FF27E90"/>
    <w:rsid w:val="4FF97471"/>
    <w:rsid w:val="5006393C"/>
    <w:rsid w:val="5007625F"/>
    <w:rsid w:val="50165D78"/>
    <w:rsid w:val="5019366F"/>
    <w:rsid w:val="501A2F43"/>
    <w:rsid w:val="501E4248"/>
    <w:rsid w:val="50257296"/>
    <w:rsid w:val="50354221"/>
    <w:rsid w:val="5038174A"/>
    <w:rsid w:val="50426735"/>
    <w:rsid w:val="5043249A"/>
    <w:rsid w:val="50463D38"/>
    <w:rsid w:val="50483F54"/>
    <w:rsid w:val="504949D9"/>
    <w:rsid w:val="505333D6"/>
    <w:rsid w:val="505B3C87"/>
    <w:rsid w:val="506A211C"/>
    <w:rsid w:val="50770396"/>
    <w:rsid w:val="507E03A4"/>
    <w:rsid w:val="50836D3A"/>
    <w:rsid w:val="508A306F"/>
    <w:rsid w:val="50927DD9"/>
    <w:rsid w:val="50942CF5"/>
    <w:rsid w:val="509C604E"/>
    <w:rsid w:val="50A078EC"/>
    <w:rsid w:val="50A15412"/>
    <w:rsid w:val="50A52C7D"/>
    <w:rsid w:val="50A849F3"/>
    <w:rsid w:val="50B23B23"/>
    <w:rsid w:val="50B43398"/>
    <w:rsid w:val="50B67110"/>
    <w:rsid w:val="50BD51E9"/>
    <w:rsid w:val="50D25FF9"/>
    <w:rsid w:val="50D47596"/>
    <w:rsid w:val="50D852D8"/>
    <w:rsid w:val="50E33C7D"/>
    <w:rsid w:val="50E579F5"/>
    <w:rsid w:val="50E83041"/>
    <w:rsid w:val="50EA500B"/>
    <w:rsid w:val="50EA5EA6"/>
    <w:rsid w:val="50F11EF6"/>
    <w:rsid w:val="50F46E15"/>
    <w:rsid w:val="51077F62"/>
    <w:rsid w:val="510936E3"/>
    <w:rsid w:val="510D4856"/>
    <w:rsid w:val="511E4CB5"/>
    <w:rsid w:val="512A365A"/>
    <w:rsid w:val="512C73D2"/>
    <w:rsid w:val="513F5357"/>
    <w:rsid w:val="51501312"/>
    <w:rsid w:val="51532BB1"/>
    <w:rsid w:val="515E2EC4"/>
    <w:rsid w:val="517529E3"/>
    <w:rsid w:val="51786173"/>
    <w:rsid w:val="51825244"/>
    <w:rsid w:val="51874608"/>
    <w:rsid w:val="51895F8F"/>
    <w:rsid w:val="51915487"/>
    <w:rsid w:val="51932FAD"/>
    <w:rsid w:val="51954F77"/>
    <w:rsid w:val="519A433C"/>
    <w:rsid w:val="51A0391C"/>
    <w:rsid w:val="51A258E6"/>
    <w:rsid w:val="51A4340C"/>
    <w:rsid w:val="51A46F68"/>
    <w:rsid w:val="51AE6039"/>
    <w:rsid w:val="51BD627C"/>
    <w:rsid w:val="51C07B1A"/>
    <w:rsid w:val="51C615D4"/>
    <w:rsid w:val="51C70EA9"/>
    <w:rsid w:val="51E1640E"/>
    <w:rsid w:val="51E657D3"/>
    <w:rsid w:val="51E90E1F"/>
    <w:rsid w:val="51FF4AE6"/>
    <w:rsid w:val="52036385"/>
    <w:rsid w:val="52081BED"/>
    <w:rsid w:val="5217598C"/>
    <w:rsid w:val="52263E21"/>
    <w:rsid w:val="522E717A"/>
    <w:rsid w:val="52304CA0"/>
    <w:rsid w:val="523E6EB2"/>
    <w:rsid w:val="52500E9E"/>
    <w:rsid w:val="5257222D"/>
    <w:rsid w:val="525B4B70"/>
    <w:rsid w:val="52765240"/>
    <w:rsid w:val="5281374D"/>
    <w:rsid w:val="528B637A"/>
    <w:rsid w:val="52974D1F"/>
    <w:rsid w:val="529848F0"/>
    <w:rsid w:val="52AF15F9"/>
    <w:rsid w:val="52B96A43"/>
    <w:rsid w:val="52BB6B33"/>
    <w:rsid w:val="52C71B78"/>
    <w:rsid w:val="52CD24EF"/>
    <w:rsid w:val="52CD3957"/>
    <w:rsid w:val="52D63A99"/>
    <w:rsid w:val="52D95337"/>
    <w:rsid w:val="52D970E6"/>
    <w:rsid w:val="52DF7BF7"/>
    <w:rsid w:val="52ED493F"/>
    <w:rsid w:val="52F33BF2"/>
    <w:rsid w:val="52F537F4"/>
    <w:rsid w:val="52F61A46"/>
    <w:rsid w:val="52F66134"/>
    <w:rsid w:val="53020B78"/>
    <w:rsid w:val="53024F4F"/>
    <w:rsid w:val="53061E85"/>
    <w:rsid w:val="530C1269"/>
    <w:rsid w:val="531243A6"/>
    <w:rsid w:val="53230361"/>
    <w:rsid w:val="532365B3"/>
    <w:rsid w:val="532B497C"/>
    <w:rsid w:val="532D3DB9"/>
    <w:rsid w:val="533267F6"/>
    <w:rsid w:val="534A3B3F"/>
    <w:rsid w:val="535455F6"/>
    <w:rsid w:val="53591FD4"/>
    <w:rsid w:val="536B70CD"/>
    <w:rsid w:val="53762B86"/>
    <w:rsid w:val="53784B50"/>
    <w:rsid w:val="538232D9"/>
    <w:rsid w:val="538476F6"/>
    <w:rsid w:val="538C23AA"/>
    <w:rsid w:val="5391176E"/>
    <w:rsid w:val="5394300C"/>
    <w:rsid w:val="53AA070D"/>
    <w:rsid w:val="53B025A8"/>
    <w:rsid w:val="53BA5711"/>
    <w:rsid w:val="53C102A5"/>
    <w:rsid w:val="53CC43C2"/>
    <w:rsid w:val="53DD2C05"/>
    <w:rsid w:val="53DF697E"/>
    <w:rsid w:val="53E41B10"/>
    <w:rsid w:val="53E43F94"/>
    <w:rsid w:val="53E93358"/>
    <w:rsid w:val="540F204F"/>
    <w:rsid w:val="541505F1"/>
    <w:rsid w:val="541B1551"/>
    <w:rsid w:val="541D3002"/>
    <w:rsid w:val="54212AF2"/>
    <w:rsid w:val="54347F25"/>
    <w:rsid w:val="543A1E06"/>
    <w:rsid w:val="543F566E"/>
    <w:rsid w:val="54420DB4"/>
    <w:rsid w:val="544746BE"/>
    <w:rsid w:val="5449029B"/>
    <w:rsid w:val="54492049"/>
    <w:rsid w:val="544F05B1"/>
    <w:rsid w:val="54501629"/>
    <w:rsid w:val="54613836"/>
    <w:rsid w:val="546155E5"/>
    <w:rsid w:val="54624EB9"/>
    <w:rsid w:val="546649A9"/>
    <w:rsid w:val="546B6463"/>
    <w:rsid w:val="54780193"/>
    <w:rsid w:val="5479652B"/>
    <w:rsid w:val="54843BB7"/>
    <w:rsid w:val="5488491F"/>
    <w:rsid w:val="548C6258"/>
    <w:rsid w:val="548F2152"/>
    <w:rsid w:val="54921C42"/>
    <w:rsid w:val="54931516"/>
    <w:rsid w:val="54A159E1"/>
    <w:rsid w:val="54A656ED"/>
    <w:rsid w:val="54B0031A"/>
    <w:rsid w:val="54B650C8"/>
    <w:rsid w:val="54CB0CB0"/>
    <w:rsid w:val="54E735DF"/>
    <w:rsid w:val="54F2623D"/>
    <w:rsid w:val="54F9581D"/>
    <w:rsid w:val="54FE0148"/>
    <w:rsid w:val="550348EE"/>
    <w:rsid w:val="5504725A"/>
    <w:rsid w:val="5507618C"/>
    <w:rsid w:val="55083CB2"/>
    <w:rsid w:val="550979AB"/>
    <w:rsid w:val="550D751A"/>
    <w:rsid w:val="5520724E"/>
    <w:rsid w:val="552A05A0"/>
    <w:rsid w:val="552F56E3"/>
    <w:rsid w:val="55306D65"/>
    <w:rsid w:val="55342CF9"/>
    <w:rsid w:val="553D1BAE"/>
    <w:rsid w:val="554C0043"/>
    <w:rsid w:val="5552317F"/>
    <w:rsid w:val="55560EC1"/>
    <w:rsid w:val="555962BC"/>
    <w:rsid w:val="555B64D8"/>
    <w:rsid w:val="555E27DC"/>
    <w:rsid w:val="557F21C6"/>
    <w:rsid w:val="55886BA1"/>
    <w:rsid w:val="55A03041"/>
    <w:rsid w:val="55A25EB5"/>
    <w:rsid w:val="55A75279"/>
    <w:rsid w:val="55AD225A"/>
    <w:rsid w:val="55AD7F3B"/>
    <w:rsid w:val="55AE2AAB"/>
    <w:rsid w:val="55B81234"/>
    <w:rsid w:val="55BF0815"/>
    <w:rsid w:val="55C24738"/>
    <w:rsid w:val="55CB540B"/>
    <w:rsid w:val="55CE6EB2"/>
    <w:rsid w:val="55D1679A"/>
    <w:rsid w:val="55D3606E"/>
    <w:rsid w:val="55D41647"/>
    <w:rsid w:val="55DD6EED"/>
    <w:rsid w:val="55DF0EB7"/>
    <w:rsid w:val="55E738C7"/>
    <w:rsid w:val="56041DBB"/>
    <w:rsid w:val="560B3FC7"/>
    <w:rsid w:val="56187F25"/>
    <w:rsid w:val="5621327D"/>
    <w:rsid w:val="56352885"/>
    <w:rsid w:val="56396002"/>
    <w:rsid w:val="563E5EBA"/>
    <w:rsid w:val="563F54B2"/>
    <w:rsid w:val="564178E0"/>
    <w:rsid w:val="56430BF0"/>
    <w:rsid w:val="564E3947"/>
    <w:rsid w:val="56574EF1"/>
    <w:rsid w:val="5661367A"/>
    <w:rsid w:val="566D5C9F"/>
    <w:rsid w:val="567710EF"/>
    <w:rsid w:val="567B2EC2"/>
    <w:rsid w:val="567C6706"/>
    <w:rsid w:val="5683680D"/>
    <w:rsid w:val="56905D0D"/>
    <w:rsid w:val="56921A85"/>
    <w:rsid w:val="56955BB5"/>
    <w:rsid w:val="569E667C"/>
    <w:rsid w:val="569F23F4"/>
    <w:rsid w:val="56AC069C"/>
    <w:rsid w:val="56B07EAF"/>
    <w:rsid w:val="56B37C4E"/>
    <w:rsid w:val="56B440F1"/>
    <w:rsid w:val="56C02A96"/>
    <w:rsid w:val="56CF5FB2"/>
    <w:rsid w:val="56D46F8A"/>
    <w:rsid w:val="56DD21CC"/>
    <w:rsid w:val="56EF78FD"/>
    <w:rsid w:val="56F00EA2"/>
    <w:rsid w:val="56F049FE"/>
    <w:rsid w:val="56F269C8"/>
    <w:rsid w:val="570701C8"/>
    <w:rsid w:val="57087F99"/>
    <w:rsid w:val="570F1857"/>
    <w:rsid w:val="571701DC"/>
    <w:rsid w:val="571B1A95"/>
    <w:rsid w:val="57405985"/>
    <w:rsid w:val="57454D4A"/>
    <w:rsid w:val="574865E8"/>
    <w:rsid w:val="5753191E"/>
    <w:rsid w:val="57550741"/>
    <w:rsid w:val="57560D05"/>
    <w:rsid w:val="57563930"/>
    <w:rsid w:val="575C7842"/>
    <w:rsid w:val="575E22AF"/>
    <w:rsid w:val="576C677A"/>
    <w:rsid w:val="577B69BD"/>
    <w:rsid w:val="57831068"/>
    <w:rsid w:val="57832F33"/>
    <w:rsid w:val="57842C6E"/>
    <w:rsid w:val="57852D3D"/>
    <w:rsid w:val="578D68C8"/>
    <w:rsid w:val="57A525D0"/>
    <w:rsid w:val="57A75A04"/>
    <w:rsid w:val="57AC301B"/>
    <w:rsid w:val="57B95737"/>
    <w:rsid w:val="57BB655C"/>
    <w:rsid w:val="57C06AC6"/>
    <w:rsid w:val="57C2639A"/>
    <w:rsid w:val="57C87729"/>
    <w:rsid w:val="57D91936"/>
    <w:rsid w:val="57DA7B88"/>
    <w:rsid w:val="57E9601D"/>
    <w:rsid w:val="57F347A6"/>
    <w:rsid w:val="57F36788"/>
    <w:rsid w:val="57F64296"/>
    <w:rsid w:val="57FF75EE"/>
    <w:rsid w:val="58011A7D"/>
    <w:rsid w:val="58020E8D"/>
    <w:rsid w:val="582B2191"/>
    <w:rsid w:val="582C415B"/>
    <w:rsid w:val="58311772"/>
    <w:rsid w:val="58450D79"/>
    <w:rsid w:val="5851771E"/>
    <w:rsid w:val="58594C0D"/>
    <w:rsid w:val="585A4825"/>
    <w:rsid w:val="58615EC5"/>
    <w:rsid w:val="58647451"/>
    <w:rsid w:val="588418A2"/>
    <w:rsid w:val="588875E4"/>
    <w:rsid w:val="5893377F"/>
    <w:rsid w:val="58A0199F"/>
    <w:rsid w:val="58A43CF2"/>
    <w:rsid w:val="58A522E4"/>
    <w:rsid w:val="58A957AC"/>
    <w:rsid w:val="58B029C7"/>
    <w:rsid w:val="58B20E3C"/>
    <w:rsid w:val="58B32187"/>
    <w:rsid w:val="58BE1257"/>
    <w:rsid w:val="58BF3EED"/>
    <w:rsid w:val="58C47EF0"/>
    <w:rsid w:val="58C67595"/>
    <w:rsid w:val="58DA5965"/>
    <w:rsid w:val="58E0068D"/>
    <w:rsid w:val="58EE1C65"/>
    <w:rsid w:val="58F702C5"/>
    <w:rsid w:val="58FF53CC"/>
    <w:rsid w:val="59080725"/>
    <w:rsid w:val="59086C0F"/>
    <w:rsid w:val="59091DA7"/>
    <w:rsid w:val="590A624B"/>
    <w:rsid w:val="59140E77"/>
    <w:rsid w:val="591A45A6"/>
    <w:rsid w:val="591F15CA"/>
    <w:rsid w:val="59266BE1"/>
    <w:rsid w:val="592866D1"/>
    <w:rsid w:val="59292C21"/>
    <w:rsid w:val="59367040"/>
    <w:rsid w:val="593E17CC"/>
    <w:rsid w:val="594378C6"/>
    <w:rsid w:val="59445A94"/>
    <w:rsid w:val="59457283"/>
    <w:rsid w:val="594F3C5E"/>
    <w:rsid w:val="59527BF2"/>
    <w:rsid w:val="59554E3B"/>
    <w:rsid w:val="595F5DB1"/>
    <w:rsid w:val="596831CE"/>
    <w:rsid w:val="59781A92"/>
    <w:rsid w:val="5980475F"/>
    <w:rsid w:val="5980496A"/>
    <w:rsid w:val="5987789B"/>
    <w:rsid w:val="59910946"/>
    <w:rsid w:val="599D70BF"/>
    <w:rsid w:val="59A3044D"/>
    <w:rsid w:val="59B14918"/>
    <w:rsid w:val="59BE5287"/>
    <w:rsid w:val="59C503C4"/>
    <w:rsid w:val="59CC4163"/>
    <w:rsid w:val="59D46859"/>
    <w:rsid w:val="59D979CB"/>
    <w:rsid w:val="59E36A9C"/>
    <w:rsid w:val="59E720E8"/>
    <w:rsid w:val="59EA607C"/>
    <w:rsid w:val="59EC25F4"/>
    <w:rsid w:val="59F82547"/>
    <w:rsid w:val="5A0057BD"/>
    <w:rsid w:val="5A0F121B"/>
    <w:rsid w:val="5A1218E8"/>
    <w:rsid w:val="5A13386E"/>
    <w:rsid w:val="5A156B40"/>
    <w:rsid w:val="5A1D0200"/>
    <w:rsid w:val="5A1D3D5C"/>
    <w:rsid w:val="5A3115B5"/>
    <w:rsid w:val="5A36306F"/>
    <w:rsid w:val="5A45526D"/>
    <w:rsid w:val="5A56162A"/>
    <w:rsid w:val="5A6776CD"/>
    <w:rsid w:val="5A695B69"/>
    <w:rsid w:val="5A81078E"/>
    <w:rsid w:val="5A845B89"/>
    <w:rsid w:val="5A867B53"/>
    <w:rsid w:val="5A871B1D"/>
    <w:rsid w:val="5A897643"/>
    <w:rsid w:val="5A9075BE"/>
    <w:rsid w:val="5A971D60"/>
    <w:rsid w:val="5A9B203B"/>
    <w:rsid w:val="5AA569F2"/>
    <w:rsid w:val="5AA62E48"/>
    <w:rsid w:val="5AAA3BFD"/>
    <w:rsid w:val="5AAB580B"/>
    <w:rsid w:val="5ABB5323"/>
    <w:rsid w:val="5AC73CC7"/>
    <w:rsid w:val="5ACB0EAD"/>
    <w:rsid w:val="5AD2661F"/>
    <w:rsid w:val="5AD308BE"/>
    <w:rsid w:val="5ADC5E04"/>
    <w:rsid w:val="5AE96334"/>
    <w:rsid w:val="5AF2412D"/>
    <w:rsid w:val="5AF26F96"/>
    <w:rsid w:val="5AFA5E4B"/>
    <w:rsid w:val="5B0311A3"/>
    <w:rsid w:val="5B09351B"/>
    <w:rsid w:val="5B10566E"/>
    <w:rsid w:val="5B123195"/>
    <w:rsid w:val="5B1C2265"/>
    <w:rsid w:val="5B242EC8"/>
    <w:rsid w:val="5B2D7FCE"/>
    <w:rsid w:val="5B445F59"/>
    <w:rsid w:val="5B4D68C3"/>
    <w:rsid w:val="5B547C51"/>
    <w:rsid w:val="5B5E4948"/>
    <w:rsid w:val="5B7E082A"/>
    <w:rsid w:val="5B83126C"/>
    <w:rsid w:val="5B86208E"/>
    <w:rsid w:val="5B9C33A6"/>
    <w:rsid w:val="5BA34735"/>
    <w:rsid w:val="5BA36BAA"/>
    <w:rsid w:val="5BA8207E"/>
    <w:rsid w:val="5BB029AE"/>
    <w:rsid w:val="5BB74E83"/>
    <w:rsid w:val="5BC528FD"/>
    <w:rsid w:val="5BCE3130"/>
    <w:rsid w:val="5BD90156"/>
    <w:rsid w:val="5BE3082B"/>
    <w:rsid w:val="5BE30FD5"/>
    <w:rsid w:val="5BEC7E8A"/>
    <w:rsid w:val="5BF40AEC"/>
    <w:rsid w:val="5BF96FCD"/>
    <w:rsid w:val="5BFF0A01"/>
    <w:rsid w:val="5C076A71"/>
    <w:rsid w:val="5C1C655D"/>
    <w:rsid w:val="5C2525A3"/>
    <w:rsid w:val="5C270EC2"/>
    <w:rsid w:val="5C2C64D8"/>
    <w:rsid w:val="5C2F5FC8"/>
    <w:rsid w:val="5C321F7A"/>
    <w:rsid w:val="5C3B6D80"/>
    <w:rsid w:val="5C4F54BC"/>
    <w:rsid w:val="5C5C4A25"/>
    <w:rsid w:val="5C6A7000"/>
    <w:rsid w:val="5C7560D1"/>
    <w:rsid w:val="5C7A54B2"/>
    <w:rsid w:val="5C7F0CFE"/>
    <w:rsid w:val="5C7F304E"/>
    <w:rsid w:val="5C8005D2"/>
    <w:rsid w:val="5C853E3A"/>
    <w:rsid w:val="5C86208C"/>
    <w:rsid w:val="5C967DF5"/>
    <w:rsid w:val="5C9A7129"/>
    <w:rsid w:val="5C9F4EFC"/>
    <w:rsid w:val="5CA16EC6"/>
    <w:rsid w:val="5CA73DB1"/>
    <w:rsid w:val="5CB22FDE"/>
    <w:rsid w:val="5CB8091F"/>
    <w:rsid w:val="5CBB1351"/>
    <w:rsid w:val="5CCC1A69"/>
    <w:rsid w:val="5CDA23D8"/>
    <w:rsid w:val="5CDD3C76"/>
    <w:rsid w:val="5CDF512A"/>
    <w:rsid w:val="5CF05758"/>
    <w:rsid w:val="5D041203"/>
    <w:rsid w:val="5D121B72"/>
    <w:rsid w:val="5D2A1793"/>
    <w:rsid w:val="5D333896"/>
    <w:rsid w:val="5D38785B"/>
    <w:rsid w:val="5D395350"/>
    <w:rsid w:val="5D3C5E4A"/>
    <w:rsid w:val="5D3E2B37"/>
    <w:rsid w:val="5D3F66DF"/>
    <w:rsid w:val="5D414205"/>
    <w:rsid w:val="5D445AA3"/>
    <w:rsid w:val="5D556258"/>
    <w:rsid w:val="5D5C759E"/>
    <w:rsid w:val="5D6B74D4"/>
    <w:rsid w:val="5D6D4FFA"/>
    <w:rsid w:val="5D852344"/>
    <w:rsid w:val="5D8B722E"/>
    <w:rsid w:val="5D92680F"/>
    <w:rsid w:val="5D9C143B"/>
    <w:rsid w:val="5DA87DE0"/>
    <w:rsid w:val="5DBA7B13"/>
    <w:rsid w:val="5DC015CE"/>
    <w:rsid w:val="5DC02336"/>
    <w:rsid w:val="5DD5494D"/>
    <w:rsid w:val="5DD8314A"/>
    <w:rsid w:val="5DDA4A2B"/>
    <w:rsid w:val="5DDC1A11"/>
    <w:rsid w:val="5DE20CE4"/>
    <w:rsid w:val="5DE73FE0"/>
    <w:rsid w:val="5DF8205F"/>
    <w:rsid w:val="5E056FE1"/>
    <w:rsid w:val="5E111E29"/>
    <w:rsid w:val="5E127950"/>
    <w:rsid w:val="5E1436C8"/>
    <w:rsid w:val="5E1840D4"/>
    <w:rsid w:val="5E284F0C"/>
    <w:rsid w:val="5E4E6BDA"/>
    <w:rsid w:val="5E512226"/>
    <w:rsid w:val="5E541B75"/>
    <w:rsid w:val="5E6277BB"/>
    <w:rsid w:val="5E6301AB"/>
    <w:rsid w:val="5E6521DB"/>
    <w:rsid w:val="5E653F23"/>
    <w:rsid w:val="5E767EDE"/>
    <w:rsid w:val="5E7D48DC"/>
    <w:rsid w:val="5E8425FB"/>
    <w:rsid w:val="5E850121"/>
    <w:rsid w:val="5E88169C"/>
    <w:rsid w:val="5E907BBF"/>
    <w:rsid w:val="5EA24DAB"/>
    <w:rsid w:val="5EA44A4C"/>
    <w:rsid w:val="5EA507C4"/>
    <w:rsid w:val="5EA96363"/>
    <w:rsid w:val="5EBA601D"/>
    <w:rsid w:val="5EC450EE"/>
    <w:rsid w:val="5ED66BCF"/>
    <w:rsid w:val="5EDB5F93"/>
    <w:rsid w:val="5EF84D55"/>
    <w:rsid w:val="5EFD0600"/>
    <w:rsid w:val="5EFF7ED4"/>
    <w:rsid w:val="5F044FFD"/>
    <w:rsid w:val="5F096700"/>
    <w:rsid w:val="5F17346F"/>
    <w:rsid w:val="5F180F96"/>
    <w:rsid w:val="5F337B7D"/>
    <w:rsid w:val="5F390417"/>
    <w:rsid w:val="5F4038F2"/>
    <w:rsid w:val="5F473629"/>
    <w:rsid w:val="5F48187B"/>
    <w:rsid w:val="5F4B4EC7"/>
    <w:rsid w:val="5F4E6765"/>
    <w:rsid w:val="5F553F98"/>
    <w:rsid w:val="5F562317"/>
    <w:rsid w:val="5F577D10"/>
    <w:rsid w:val="5F593A88"/>
    <w:rsid w:val="5F5E109E"/>
    <w:rsid w:val="5F64242D"/>
    <w:rsid w:val="5F662494"/>
    <w:rsid w:val="5F667F53"/>
    <w:rsid w:val="5F7428D4"/>
    <w:rsid w:val="5F761901"/>
    <w:rsid w:val="5F827C77"/>
    <w:rsid w:val="5F870054"/>
    <w:rsid w:val="5F906D7E"/>
    <w:rsid w:val="5F9134FF"/>
    <w:rsid w:val="5F944AC0"/>
    <w:rsid w:val="5F9745B0"/>
    <w:rsid w:val="5FA62A45"/>
    <w:rsid w:val="5FAA42E4"/>
    <w:rsid w:val="5FAB511D"/>
    <w:rsid w:val="5FB62FE8"/>
    <w:rsid w:val="5FB7301A"/>
    <w:rsid w:val="5FBF2E48"/>
    <w:rsid w:val="5FC058B5"/>
    <w:rsid w:val="5FCB1F0B"/>
    <w:rsid w:val="5FEA125D"/>
    <w:rsid w:val="5FEB0458"/>
    <w:rsid w:val="5FEE3E15"/>
    <w:rsid w:val="5FF13CC0"/>
    <w:rsid w:val="5FF612D7"/>
    <w:rsid w:val="60002155"/>
    <w:rsid w:val="600532C8"/>
    <w:rsid w:val="600901D0"/>
    <w:rsid w:val="600C0AFA"/>
    <w:rsid w:val="601A4ECF"/>
    <w:rsid w:val="601F5293"/>
    <w:rsid w:val="60273373"/>
    <w:rsid w:val="60337991"/>
    <w:rsid w:val="60381C67"/>
    <w:rsid w:val="603B318E"/>
    <w:rsid w:val="60602BF4"/>
    <w:rsid w:val="60634492"/>
    <w:rsid w:val="606C3347"/>
    <w:rsid w:val="60730B79"/>
    <w:rsid w:val="607B17DC"/>
    <w:rsid w:val="607E0AD0"/>
    <w:rsid w:val="60820DBC"/>
    <w:rsid w:val="60892971"/>
    <w:rsid w:val="60960D56"/>
    <w:rsid w:val="6098716E"/>
    <w:rsid w:val="60995949"/>
    <w:rsid w:val="60996106"/>
    <w:rsid w:val="60997EB4"/>
    <w:rsid w:val="60A07495"/>
    <w:rsid w:val="60B11CF9"/>
    <w:rsid w:val="60B92304"/>
    <w:rsid w:val="60BD0047"/>
    <w:rsid w:val="60C56EFB"/>
    <w:rsid w:val="60CD57E4"/>
    <w:rsid w:val="60D07D7A"/>
    <w:rsid w:val="60E47381"/>
    <w:rsid w:val="60ED4026"/>
    <w:rsid w:val="60F04EA3"/>
    <w:rsid w:val="60F11A9E"/>
    <w:rsid w:val="60F5158E"/>
    <w:rsid w:val="60F8107F"/>
    <w:rsid w:val="60FD6695"/>
    <w:rsid w:val="60FF065F"/>
    <w:rsid w:val="61053DED"/>
    <w:rsid w:val="610B0D6E"/>
    <w:rsid w:val="61112140"/>
    <w:rsid w:val="611E1FFD"/>
    <w:rsid w:val="61355E2F"/>
    <w:rsid w:val="613D1187"/>
    <w:rsid w:val="614C1586"/>
    <w:rsid w:val="615611FE"/>
    <w:rsid w:val="61581B1D"/>
    <w:rsid w:val="61671D60"/>
    <w:rsid w:val="616B35FF"/>
    <w:rsid w:val="616E1341"/>
    <w:rsid w:val="616F26F5"/>
    <w:rsid w:val="61761FA3"/>
    <w:rsid w:val="6186668A"/>
    <w:rsid w:val="61926DDD"/>
    <w:rsid w:val="61A84853"/>
    <w:rsid w:val="61AD1F0C"/>
    <w:rsid w:val="61C436FA"/>
    <w:rsid w:val="61DE64C6"/>
    <w:rsid w:val="61EB77C6"/>
    <w:rsid w:val="61F93300"/>
    <w:rsid w:val="61FE0491"/>
    <w:rsid w:val="61FE4473"/>
    <w:rsid w:val="62101BF9"/>
    <w:rsid w:val="621517BC"/>
    <w:rsid w:val="6220263B"/>
    <w:rsid w:val="62205443"/>
    <w:rsid w:val="62361E5F"/>
    <w:rsid w:val="62374CCB"/>
    <w:rsid w:val="62375BD7"/>
    <w:rsid w:val="623B7475"/>
    <w:rsid w:val="624125B1"/>
    <w:rsid w:val="62446593"/>
    <w:rsid w:val="624F1172"/>
    <w:rsid w:val="62514EEA"/>
    <w:rsid w:val="625422E5"/>
    <w:rsid w:val="625935EA"/>
    <w:rsid w:val="625B3673"/>
    <w:rsid w:val="6260512D"/>
    <w:rsid w:val="6263146E"/>
    <w:rsid w:val="626369CC"/>
    <w:rsid w:val="62687CD3"/>
    <w:rsid w:val="62712E97"/>
    <w:rsid w:val="62832BCA"/>
    <w:rsid w:val="62917095"/>
    <w:rsid w:val="629372B1"/>
    <w:rsid w:val="62944DD7"/>
    <w:rsid w:val="6297631E"/>
    <w:rsid w:val="62B17737"/>
    <w:rsid w:val="62B2525D"/>
    <w:rsid w:val="62B4751F"/>
    <w:rsid w:val="62C31218"/>
    <w:rsid w:val="62C51434"/>
    <w:rsid w:val="62C531E2"/>
    <w:rsid w:val="62CE653B"/>
    <w:rsid w:val="62DB0C58"/>
    <w:rsid w:val="62E21FE6"/>
    <w:rsid w:val="62E9550E"/>
    <w:rsid w:val="62F615EE"/>
    <w:rsid w:val="62FA2FA7"/>
    <w:rsid w:val="63002C97"/>
    <w:rsid w:val="630221F0"/>
    <w:rsid w:val="63096C3F"/>
    <w:rsid w:val="630C2BBF"/>
    <w:rsid w:val="6312684A"/>
    <w:rsid w:val="631F0B45"/>
    <w:rsid w:val="632B573B"/>
    <w:rsid w:val="632C5F23"/>
    <w:rsid w:val="63352116"/>
    <w:rsid w:val="633F2F95"/>
    <w:rsid w:val="63462575"/>
    <w:rsid w:val="634D3C76"/>
    <w:rsid w:val="6353259C"/>
    <w:rsid w:val="635D78BF"/>
    <w:rsid w:val="63604CB9"/>
    <w:rsid w:val="6361115D"/>
    <w:rsid w:val="63732C3E"/>
    <w:rsid w:val="639130C5"/>
    <w:rsid w:val="639332E1"/>
    <w:rsid w:val="63936E3D"/>
    <w:rsid w:val="63963057"/>
    <w:rsid w:val="63972DD1"/>
    <w:rsid w:val="63A1155A"/>
    <w:rsid w:val="63C03109"/>
    <w:rsid w:val="63C11BFC"/>
    <w:rsid w:val="63CC234F"/>
    <w:rsid w:val="63D27965"/>
    <w:rsid w:val="63D538F9"/>
    <w:rsid w:val="63D74F7B"/>
    <w:rsid w:val="63D95197"/>
    <w:rsid w:val="63E43B3C"/>
    <w:rsid w:val="63E853DA"/>
    <w:rsid w:val="63F975E8"/>
    <w:rsid w:val="63FB490E"/>
    <w:rsid w:val="6401024A"/>
    <w:rsid w:val="640B2E77"/>
    <w:rsid w:val="6416019A"/>
    <w:rsid w:val="64295AAF"/>
    <w:rsid w:val="642A59F3"/>
    <w:rsid w:val="642B176B"/>
    <w:rsid w:val="642E6B65"/>
    <w:rsid w:val="642F4DB7"/>
    <w:rsid w:val="64421F9E"/>
    <w:rsid w:val="644A7E43"/>
    <w:rsid w:val="644B4050"/>
    <w:rsid w:val="646A5DEF"/>
    <w:rsid w:val="646B2BE6"/>
    <w:rsid w:val="647C5576"/>
    <w:rsid w:val="64897A59"/>
    <w:rsid w:val="649524E9"/>
    <w:rsid w:val="64963088"/>
    <w:rsid w:val="64AA08E2"/>
    <w:rsid w:val="64B4350F"/>
    <w:rsid w:val="64B43A8C"/>
    <w:rsid w:val="64B87B19"/>
    <w:rsid w:val="64B96D77"/>
    <w:rsid w:val="64BD75EA"/>
    <w:rsid w:val="64C05AAE"/>
    <w:rsid w:val="64CA4AE0"/>
    <w:rsid w:val="64CF20F6"/>
    <w:rsid w:val="64CF22F7"/>
    <w:rsid w:val="64D15E6F"/>
    <w:rsid w:val="64D616D7"/>
    <w:rsid w:val="64D771FD"/>
    <w:rsid w:val="64E04E09"/>
    <w:rsid w:val="64E262CE"/>
    <w:rsid w:val="64F93617"/>
    <w:rsid w:val="64FB738F"/>
    <w:rsid w:val="65017D92"/>
    <w:rsid w:val="65051FBC"/>
    <w:rsid w:val="65094F15"/>
    <w:rsid w:val="650F4BE9"/>
    <w:rsid w:val="65183A9D"/>
    <w:rsid w:val="651F5231"/>
    <w:rsid w:val="652A1A23"/>
    <w:rsid w:val="6534738E"/>
    <w:rsid w:val="653F54CE"/>
    <w:rsid w:val="655507AF"/>
    <w:rsid w:val="6562740E"/>
    <w:rsid w:val="65670581"/>
    <w:rsid w:val="656B62C3"/>
    <w:rsid w:val="65725CAE"/>
    <w:rsid w:val="65750EF0"/>
    <w:rsid w:val="657F58CB"/>
    <w:rsid w:val="658148B7"/>
    <w:rsid w:val="659375C8"/>
    <w:rsid w:val="65937CAF"/>
    <w:rsid w:val="65A43583"/>
    <w:rsid w:val="65A45331"/>
    <w:rsid w:val="65AD68DC"/>
    <w:rsid w:val="65B03CD6"/>
    <w:rsid w:val="65B32B30"/>
    <w:rsid w:val="65C43C25"/>
    <w:rsid w:val="65C50EF1"/>
    <w:rsid w:val="65C61510"/>
    <w:rsid w:val="65C634F9"/>
    <w:rsid w:val="65C9123C"/>
    <w:rsid w:val="65D54824"/>
    <w:rsid w:val="65D9682D"/>
    <w:rsid w:val="65E41BD1"/>
    <w:rsid w:val="65E6594A"/>
    <w:rsid w:val="65EE2446"/>
    <w:rsid w:val="65F8567D"/>
    <w:rsid w:val="661E1587"/>
    <w:rsid w:val="66291CDA"/>
    <w:rsid w:val="66303069"/>
    <w:rsid w:val="663A3EE7"/>
    <w:rsid w:val="66495ED8"/>
    <w:rsid w:val="664B7EA3"/>
    <w:rsid w:val="66540B05"/>
    <w:rsid w:val="665A00E6"/>
    <w:rsid w:val="665F74AA"/>
    <w:rsid w:val="66666A8A"/>
    <w:rsid w:val="666B22F3"/>
    <w:rsid w:val="666D7E19"/>
    <w:rsid w:val="666F3B91"/>
    <w:rsid w:val="667016B7"/>
    <w:rsid w:val="6686712D"/>
    <w:rsid w:val="66886845"/>
    <w:rsid w:val="66A650D9"/>
    <w:rsid w:val="66B858A3"/>
    <w:rsid w:val="66BB5028"/>
    <w:rsid w:val="66BB6DD6"/>
    <w:rsid w:val="66BE2423"/>
    <w:rsid w:val="66C0619B"/>
    <w:rsid w:val="66C245C1"/>
    <w:rsid w:val="66D439F4"/>
    <w:rsid w:val="66D954AE"/>
    <w:rsid w:val="66DB3C53"/>
    <w:rsid w:val="66E16111"/>
    <w:rsid w:val="66E63877"/>
    <w:rsid w:val="66EF52E6"/>
    <w:rsid w:val="66F45E44"/>
    <w:rsid w:val="66F978FF"/>
    <w:rsid w:val="66FD20A4"/>
    <w:rsid w:val="670342B7"/>
    <w:rsid w:val="670978C6"/>
    <w:rsid w:val="670D5158"/>
    <w:rsid w:val="670E33AA"/>
    <w:rsid w:val="670F0ED0"/>
    <w:rsid w:val="67101EFA"/>
    <w:rsid w:val="67112E9A"/>
    <w:rsid w:val="6716225F"/>
    <w:rsid w:val="672506F4"/>
    <w:rsid w:val="672776BF"/>
    <w:rsid w:val="672F50CE"/>
    <w:rsid w:val="673226C3"/>
    <w:rsid w:val="673D3C8F"/>
    <w:rsid w:val="674212A6"/>
    <w:rsid w:val="67423054"/>
    <w:rsid w:val="674548F2"/>
    <w:rsid w:val="674F47BC"/>
    <w:rsid w:val="674F5770"/>
    <w:rsid w:val="6753313D"/>
    <w:rsid w:val="67564D51"/>
    <w:rsid w:val="675A65EF"/>
    <w:rsid w:val="675B4115"/>
    <w:rsid w:val="67616F84"/>
    <w:rsid w:val="676629B9"/>
    <w:rsid w:val="676660B5"/>
    <w:rsid w:val="676C679E"/>
    <w:rsid w:val="67760F82"/>
    <w:rsid w:val="67874F0A"/>
    <w:rsid w:val="678C0773"/>
    <w:rsid w:val="6796514D"/>
    <w:rsid w:val="67966EFB"/>
    <w:rsid w:val="679D64DC"/>
    <w:rsid w:val="67A4786A"/>
    <w:rsid w:val="67A930D3"/>
    <w:rsid w:val="67AB5824"/>
    <w:rsid w:val="67AD0415"/>
    <w:rsid w:val="67E4752E"/>
    <w:rsid w:val="67E73BFB"/>
    <w:rsid w:val="67EE0AE5"/>
    <w:rsid w:val="67F26828"/>
    <w:rsid w:val="67FA392E"/>
    <w:rsid w:val="67FB06AE"/>
    <w:rsid w:val="67FB4C6E"/>
    <w:rsid w:val="680307B0"/>
    <w:rsid w:val="68093B71"/>
    <w:rsid w:val="68206422"/>
    <w:rsid w:val="682252EC"/>
    <w:rsid w:val="682A45E0"/>
    <w:rsid w:val="682C50D3"/>
    <w:rsid w:val="683B0772"/>
    <w:rsid w:val="684455AA"/>
    <w:rsid w:val="68467D69"/>
    <w:rsid w:val="684B5F38"/>
    <w:rsid w:val="684E5A28"/>
    <w:rsid w:val="68556DB7"/>
    <w:rsid w:val="685968A7"/>
    <w:rsid w:val="685A43CD"/>
    <w:rsid w:val="685E210F"/>
    <w:rsid w:val="68684D3C"/>
    <w:rsid w:val="687731D1"/>
    <w:rsid w:val="687A681D"/>
    <w:rsid w:val="688356D2"/>
    <w:rsid w:val="68906041"/>
    <w:rsid w:val="689C2C37"/>
    <w:rsid w:val="689D724E"/>
    <w:rsid w:val="68AA0EB0"/>
    <w:rsid w:val="68B63CF9"/>
    <w:rsid w:val="68BA3B98"/>
    <w:rsid w:val="68CA1553"/>
    <w:rsid w:val="68D4417F"/>
    <w:rsid w:val="68D95263"/>
    <w:rsid w:val="68E36170"/>
    <w:rsid w:val="68E56F2D"/>
    <w:rsid w:val="68E87824"/>
    <w:rsid w:val="68F95994"/>
    <w:rsid w:val="68FB4E91"/>
    <w:rsid w:val="68FE0428"/>
    <w:rsid w:val="68FE11FC"/>
    <w:rsid w:val="69026F3E"/>
    <w:rsid w:val="69140A20"/>
    <w:rsid w:val="69190D6C"/>
    <w:rsid w:val="692C5D69"/>
    <w:rsid w:val="693B41FE"/>
    <w:rsid w:val="694A2693"/>
    <w:rsid w:val="694C1F68"/>
    <w:rsid w:val="694C640B"/>
    <w:rsid w:val="694D4F50"/>
    <w:rsid w:val="69562DE6"/>
    <w:rsid w:val="69754427"/>
    <w:rsid w:val="697D701E"/>
    <w:rsid w:val="69801C11"/>
    <w:rsid w:val="698177A2"/>
    <w:rsid w:val="698931BC"/>
    <w:rsid w:val="698C2CAC"/>
    <w:rsid w:val="698F62F8"/>
    <w:rsid w:val="69935DE8"/>
    <w:rsid w:val="69966816"/>
    <w:rsid w:val="699D0A15"/>
    <w:rsid w:val="69A057DD"/>
    <w:rsid w:val="69A262CD"/>
    <w:rsid w:val="69A47FF6"/>
    <w:rsid w:val="69AA3132"/>
    <w:rsid w:val="69B33D95"/>
    <w:rsid w:val="69BB70ED"/>
    <w:rsid w:val="69C248E1"/>
    <w:rsid w:val="69C54E05"/>
    <w:rsid w:val="69CE6E20"/>
    <w:rsid w:val="69D16911"/>
    <w:rsid w:val="69D63F27"/>
    <w:rsid w:val="69E91EAC"/>
    <w:rsid w:val="69EE1271"/>
    <w:rsid w:val="69F10D61"/>
    <w:rsid w:val="69F50773"/>
    <w:rsid w:val="69F745C9"/>
    <w:rsid w:val="69FC1BE0"/>
    <w:rsid w:val="6A050368"/>
    <w:rsid w:val="6A06480C"/>
    <w:rsid w:val="6A0A48DD"/>
    <w:rsid w:val="6A1D1B56"/>
    <w:rsid w:val="6A2133F4"/>
    <w:rsid w:val="6A220F1A"/>
    <w:rsid w:val="6A2D7FEB"/>
    <w:rsid w:val="6A2E78BF"/>
    <w:rsid w:val="6A415844"/>
    <w:rsid w:val="6A521800"/>
    <w:rsid w:val="6A6D0526"/>
    <w:rsid w:val="6A75729C"/>
    <w:rsid w:val="6A7E25F5"/>
    <w:rsid w:val="6A837C0B"/>
    <w:rsid w:val="6A927E4E"/>
    <w:rsid w:val="6AA02886"/>
    <w:rsid w:val="6AA162E3"/>
    <w:rsid w:val="6AA656A7"/>
    <w:rsid w:val="6AA81032"/>
    <w:rsid w:val="6AAD4C88"/>
    <w:rsid w:val="6AB22341"/>
    <w:rsid w:val="6AB97AD1"/>
    <w:rsid w:val="6ABC2BAC"/>
    <w:rsid w:val="6ABE6E95"/>
    <w:rsid w:val="6AC21A01"/>
    <w:rsid w:val="6AC50223"/>
    <w:rsid w:val="6ACB2DF8"/>
    <w:rsid w:val="6ACD0E86"/>
    <w:rsid w:val="6AD62431"/>
    <w:rsid w:val="6AE10D9A"/>
    <w:rsid w:val="6AE43901"/>
    <w:rsid w:val="6AE45F3A"/>
    <w:rsid w:val="6AF208ED"/>
    <w:rsid w:val="6AF91C7B"/>
    <w:rsid w:val="6AFA59F3"/>
    <w:rsid w:val="6B003ACA"/>
    <w:rsid w:val="6B0C7295"/>
    <w:rsid w:val="6B0F149F"/>
    <w:rsid w:val="6B144D07"/>
    <w:rsid w:val="6B15282D"/>
    <w:rsid w:val="6B16601B"/>
    <w:rsid w:val="6B234F4A"/>
    <w:rsid w:val="6B256F14"/>
    <w:rsid w:val="6B2A0087"/>
    <w:rsid w:val="6B2C2051"/>
    <w:rsid w:val="6B3C25B5"/>
    <w:rsid w:val="6B3D425E"/>
    <w:rsid w:val="6B3E7FD6"/>
    <w:rsid w:val="6B4355EC"/>
    <w:rsid w:val="6B43739A"/>
    <w:rsid w:val="6B4A0729"/>
    <w:rsid w:val="6B4A24D7"/>
    <w:rsid w:val="6B511AB7"/>
    <w:rsid w:val="6B517D09"/>
    <w:rsid w:val="6B5275DD"/>
    <w:rsid w:val="6B5415A7"/>
    <w:rsid w:val="6B560E7C"/>
    <w:rsid w:val="6B5E2426"/>
    <w:rsid w:val="6B6C68F1"/>
    <w:rsid w:val="6B721A2E"/>
    <w:rsid w:val="6B7B1AB7"/>
    <w:rsid w:val="6B7D28AC"/>
    <w:rsid w:val="6B8E43DF"/>
    <w:rsid w:val="6B945E48"/>
    <w:rsid w:val="6B96396E"/>
    <w:rsid w:val="6B9877CF"/>
    <w:rsid w:val="6B9C3A0A"/>
    <w:rsid w:val="6BA240C1"/>
    <w:rsid w:val="6BA918F3"/>
    <w:rsid w:val="6BB102CD"/>
    <w:rsid w:val="6BB31853"/>
    <w:rsid w:val="6BB34520"/>
    <w:rsid w:val="6BBB1626"/>
    <w:rsid w:val="6BC229B5"/>
    <w:rsid w:val="6BCF2467"/>
    <w:rsid w:val="6BD050D2"/>
    <w:rsid w:val="6BD30A98"/>
    <w:rsid w:val="6BD64940"/>
    <w:rsid w:val="6BD85D34"/>
    <w:rsid w:val="6BD91AAD"/>
    <w:rsid w:val="6BEC0455"/>
    <w:rsid w:val="6C0134DD"/>
    <w:rsid w:val="6C054650"/>
    <w:rsid w:val="6C111246"/>
    <w:rsid w:val="6C16437D"/>
    <w:rsid w:val="6C1D5E3D"/>
    <w:rsid w:val="6C1F5711"/>
    <w:rsid w:val="6C21592D"/>
    <w:rsid w:val="6C2A44EE"/>
    <w:rsid w:val="6C3118E9"/>
    <w:rsid w:val="6C360CAD"/>
    <w:rsid w:val="6C3C4515"/>
    <w:rsid w:val="6C3D203B"/>
    <w:rsid w:val="6C423AF6"/>
    <w:rsid w:val="6C4433CA"/>
    <w:rsid w:val="6C6475C8"/>
    <w:rsid w:val="6C6972D4"/>
    <w:rsid w:val="6C702411"/>
    <w:rsid w:val="6C757A27"/>
    <w:rsid w:val="6C7A3290"/>
    <w:rsid w:val="6C8726F7"/>
    <w:rsid w:val="6C895281"/>
    <w:rsid w:val="6C8B2DA7"/>
    <w:rsid w:val="6CA54645"/>
    <w:rsid w:val="6CB57C5C"/>
    <w:rsid w:val="6CC4275D"/>
    <w:rsid w:val="6CC86E1B"/>
    <w:rsid w:val="6CCC40C7"/>
    <w:rsid w:val="6CCE0EE6"/>
    <w:rsid w:val="6CD01102"/>
    <w:rsid w:val="6CE07597"/>
    <w:rsid w:val="6CEA21C3"/>
    <w:rsid w:val="6CEF1588"/>
    <w:rsid w:val="6CF22E26"/>
    <w:rsid w:val="6CF44DF0"/>
    <w:rsid w:val="6D036096"/>
    <w:rsid w:val="6D082649"/>
    <w:rsid w:val="6D087F43"/>
    <w:rsid w:val="6D0B1D5B"/>
    <w:rsid w:val="6D252CF4"/>
    <w:rsid w:val="6D325918"/>
    <w:rsid w:val="6D390A55"/>
    <w:rsid w:val="6D3B2F45"/>
    <w:rsid w:val="6D4E063C"/>
    <w:rsid w:val="6D4F0278"/>
    <w:rsid w:val="6D595AC5"/>
    <w:rsid w:val="6D7221B9"/>
    <w:rsid w:val="6D780FF7"/>
    <w:rsid w:val="6D7C6B93"/>
    <w:rsid w:val="6D91187F"/>
    <w:rsid w:val="6D92569C"/>
    <w:rsid w:val="6DC63340"/>
    <w:rsid w:val="6DC70952"/>
    <w:rsid w:val="6DCE2CAA"/>
    <w:rsid w:val="6DCE3893"/>
    <w:rsid w:val="6DCF13B9"/>
    <w:rsid w:val="6DD26688"/>
    <w:rsid w:val="6DD864C0"/>
    <w:rsid w:val="6DF17581"/>
    <w:rsid w:val="6DF57072"/>
    <w:rsid w:val="6DFA2F17"/>
    <w:rsid w:val="6DFE57FA"/>
    <w:rsid w:val="6DFF3A4C"/>
    <w:rsid w:val="6E0077C5"/>
    <w:rsid w:val="6E070B53"/>
    <w:rsid w:val="6E0A38CB"/>
    <w:rsid w:val="6E0C5AD4"/>
    <w:rsid w:val="6E191F3C"/>
    <w:rsid w:val="6E1F7C4B"/>
    <w:rsid w:val="6E215FC2"/>
    <w:rsid w:val="6E2434B3"/>
    <w:rsid w:val="6E2B4D4E"/>
    <w:rsid w:val="6E382CBF"/>
    <w:rsid w:val="6E38345A"/>
    <w:rsid w:val="6E3D2A73"/>
    <w:rsid w:val="6E405E13"/>
    <w:rsid w:val="6E443B55"/>
    <w:rsid w:val="6E4476B1"/>
    <w:rsid w:val="6E4E346F"/>
    <w:rsid w:val="6E5042A8"/>
    <w:rsid w:val="6E526272"/>
    <w:rsid w:val="6E5A0F19"/>
    <w:rsid w:val="6E5A5127"/>
    <w:rsid w:val="6E600263"/>
    <w:rsid w:val="6E6164B5"/>
    <w:rsid w:val="6E6344C0"/>
    <w:rsid w:val="6E653A07"/>
    <w:rsid w:val="6E66587A"/>
    <w:rsid w:val="6E6C4E5A"/>
    <w:rsid w:val="6E6E2980"/>
    <w:rsid w:val="6E7A7577"/>
    <w:rsid w:val="6E7D7067"/>
    <w:rsid w:val="6E8E4FBF"/>
    <w:rsid w:val="6E9176D7"/>
    <w:rsid w:val="6EB74327"/>
    <w:rsid w:val="6EBC193D"/>
    <w:rsid w:val="6EBD1212"/>
    <w:rsid w:val="6EBE3907"/>
    <w:rsid w:val="6EC16F54"/>
    <w:rsid w:val="6EC55FA7"/>
    <w:rsid w:val="6ECB025A"/>
    <w:rsid w:val="6EF235B1"/>
    <w:rsid w:val="6EF8049C"/>
    <w:rsid w:val="6EFB284D"/>
    <w:rsid w:val="6F156FA4"/>
    <w:rsid w:val="6F1E7F02"/>
    <w:rsid w:val="6F217F12"/>
    <w:rsid w:val="6F2B0871"/>
    <w:rsid w:val="6F40431D"/>
    <w:rsid w:val="6F437969"/>
    <w:rsid w:val="6F4436E1"/>
    <w:rsid w:val="6F6B5112"/>
    <w:rsid w:val="6F6D70DC"/>
    <w:rsid w:val="6F6F075E"/>
    <w:rsid w:val="6F7D157F"/>
    <w:rsid w:val="6F7D6FD7"/>
    <w:rsid w:val="6FA957CD"/>
    <w:rsid w:val="6FAD1286"/>
    <w:rsid w:val="6FBA38B6"/>
    <w:rsid w:val="6FBB1410"/>
    <w:rsid w:val="6FBB43B1"/>
    <w:rsid w:val="6FBD3BBF"/>
    <w:rsid w:val="6FCD14BC"/>
    <w:rsid w:val="6FCE2827"/>
    <w:rsid w:val="6FD44A65"/>
    <w:rsid w:val="6FDB4045"/>
    <w:rsid w:val="6FDD600F"/>
    <w:rsid w:val="6FDE3B35"/>
    <w:rsid w:val="6FE729EA"/>
    <w:rsid w:val="6FFB46E7"/>
    <w:rsid w:val="6FFD220E"/>
    <w:rsid w:val="6FFE01C5"/>
    <w:rsid w:val="6FFE397B"/>
    <w:rsid w:val="7000585A"/>
    <w:rsid w:val="700D7F77"/>
    <w:rsid w:val="700E441B"/>
    <w:rsid w:val="70143741"/>
    <w:rsid w:val="701B0935"/>
    <w:rsid w:val="701D01BA"/>
    <w:rsid w:val="702A3ECB"/>
    <w:rsid w:val="703379DD"/>
    <w:rsid w:val="703B0F88"/>
    <w:rsid w:val="70433998"/>
    <w:rsid w:val="704B68A8"/>
    <w:rsid w:val="704F2FE6"/>
    <w:rsid w:val="70611A1E"/>
    <w:rsid w:val="707B75D6"/>
    <w:rsid w:val="707D334E"/>
    <w:rsid w:val="70823195"/>
    <w:rsid w:val="70933E0B"/>
    <w:rsid w:val="70A64653"/>
    <w:rsid w:val="70AE175A"/>
    <w:rsid w:val="70C1148D"/>
    <w:rsid w:val="70C40E9D"/>
    <w:rsid w:val="70C44AD9"/>
    <w:rsid w:val="70D90415"/>
    <w:rsid w:val="70DC1E23"/>
    <w:rsid w:val="70E45FF0"/>
    <w:rsid w:val="70E63DE0"/>
    <w:rsid w:val="710604FF"/>
    <w:rsid w:val="71066EA0"/>
    <w:rsid w:val="71105F71"/>
    <w:rsid w:val="71145A61"/>
    <w:rsid w:val="711C2B67"/>
    <w:rsid w:val="71280E79"/>
    <w:rsid w:val="71333A0D"/>
    <w:rsid w:val="71347EB1"/>
    <w:rsid w:val="713E488C"/>
    <w:rsid w:val="71542301"/>
    <w:rsid w:val="715C11B6"/>
    <w:rsid w:val="716601DB"/>
    <w:rsid w:val="717149FA"/>
    <w:rsid w:val="71770E5B"/>
    <w:rsid w:val="71883D59"/>
    <w:rsid w:val="71AD37BF"/>
    <w:rsid w:val="71B05423"/>
    <w:rsid w:val="71B903B6"/>
    <w:rsid w:val="71BC1C54"/>
    <w:rsid w:val="71C42D2E"/>
    <w:rsid w:val="71CD79BE"/>
    <w:rsid w:val="71EA0570"/>
    <w:rsid w:val="71F17B50"/>
    <w:rsid w:val="71F92EA9"/>
    <w:rsid w:val="71FC02A3"/>
    <w:rsid w:val="72141A90"/>
    <w:rsid w:val="721E646B"/>
    <w:rsid w:val="72275320"/>
    <w:rsid w:val="722F68CA"/>
    <w:rsid w:val="7231619E"/>
    <w:rsid w:val="724D2F50"/>
    <w:rsid w:val="72516841"/>
    <w:rsid w:val="725A329A"/>
    <w:rsid w:val="725F0F5E"/>
    <w:rsid w:val="725F4D24"/>
    <w:rsid w:val="726B5B54"/>
    <w:rsid w:val="726F3D4B"/>
    <w:rsid w:val="726F3D60"/>
    <w:rsid w:val="727047CE"/>
    <w:rsid w:val="727A41BA"/>
    <w:rsid w:val="72895FDA"/>
    <w:rsid w:val="72976792"/>
    <w:rsid w:val="72987FCC"/>
    <w:rsid w:val="72A738B6"/>
    <w:rsid w:val="72AA18A6"/>
    <w:rsid w:val="72C62D8B"/>
    <w:rsid w:val="72CD7951"/>
    <w:rsid w:val="72D1172F"/>
    <w:rsid w:val="72D1706D"/>
    <w:rsid w:val="72D57472"/>
    <w:rsid w:val="72DB610A"/>
    <w:rsid w:val="72DF209E"/>
    <w:rsid w:val="72E945B0"/>
    <w:rsid w:val="72F0605A"/>
    <w:rsid w:val="72FD2525"/>
    <w:rsid w:val="73005B71"/>
    <w:rsid w:val="73013DC3"/>
    <w:rsid w:val="730833A3"/>
    <w:rsid w:val="73090EC9"/>
    <w:rsid w:val="7326366C"/>
    <w:rsid w:val="732823CA"/>
    <w:rsid w:val="73291E52"/>
    <w:rsid w:val="732D2E0A"/>
    <w:rsid w:val="73306E7F"/>
    <w:rsid w:val="7346211D"/>
    <w:rsid w:val="734927BA"/>
    <w:rsid w:val="734D7008"/>
    <w:rsid w:val="735E1215"/>
    <w:rsid w:val="735E7467"/>
    <w:rsid w:val="73636FEB"/>
    <w:rsid w:val="73644352"/>
    <w:rsid w:val="73685BF0"/>
    <w:rsid w:val="737419A2"/>
    <w:rsid w:val="737F4EE8"/>
    <w:rsid w:val="738642C8"/>
    <w:rsid w:val="73980266"/>
    <w:rsid w:val="73A11102"/>
    <w:rsid w:val="73AD5CF9"/>
    <w:rsid w:val="73AD7AA7"/>
    <w:rsid w:val="73BF77DA"/>
    <w:rsid w:val="73C92407"/>
    <w:rsid w:val="73CD16C1"/>
    <w:rsid w:val="73E410C3"/>
    <w:rsid w:val="73E6120B"/>
    <w:rsid w:val="73E73949"/>
    <w:rsid w:val="73E7645A"/>
    <w:rsid w:val="73EF7A4D"/>
    <w:rsid w:val="73F02A23"/>
    <w:rsid w:val="74031DBD"/>
    <w:rsid w:val="7406140F"/>
    <w:rsid w:val="7416564C"/>
    <w:rsid w:val="74212243"/>
    <w:rsid w:val="74251D33"/>
    <w:rsid w:val="7428537F"/>
    <w:rsid w:val="742B5985"/>
    <w:rsid w:val="742B66A8"/>
    <w:rsid w:val="742C4E6F"/>
    <w:rsid w:val="747D56CB"/>
    <w:rsid w:val="748227F1"/>
    <w:rsid w:val="74934EEE"/>
    <w:rsid w:val="749E3893"/>
    <w:rsid w:val="749E7397"/>
    <w:rsid w:val="74AE1D28"/>
    <w:rsid w:val="74AF5AA0"/>
    <w:rsid w:val="74AF726F"/>
    <w:rsid w:val="74AF7363"/>
    <w:rsid w:val="74B530B7"/>
    <w:rsid w:val="74B62489"/>
    <w:rsid w:val="74BB2697"/>
    <w:rsid w:val="74C407DE"/>
    <w:rsid w:val="74C633DD"/>
    <w:rsid w:val="74C7103C"/>
    <w:rsid w:val="74CA4688"/>
    <w:rsid w:val="74CD402D"/>
    <w:rsid w:val="74D13C69"/>
    <w:rsid w:val="74D735C0"/>
    <w:rsid w:val="74DD0860"/>
    <w:rsid w:val="74E4399C"/>
    <w:rsid w:val="74FE35BE"/>
    <w:rsid w:val="74FF1CBD"/>
    <w:rsid w:val="75047B9A"/>
    <w:rsid w:val="75087C24"/>
    <w:rsid w:val="7521699E"/>
    <w:rsid w:val="753541F8"/>
    <w:rsid w:val="753B2656"/>
    <w:rsid w:val="75430BBD"/>
    <w:rsid w:val="75436915"/>
    <w:rsid w:val="754601B3"/>
    <w:rsid w:val="75461F61"/>
    <w:rsid w:val="754C32EF"/>
    <w:rsid w:val="754E0E15"/>
    <w:rsid w:val="75610B49"/>
    <w:rsid w:val="75623E93"/>
    <w:rsid w:val="756B4568"/>
    <w:rsid w:val="757545F4"/>
    <w:rsid w:val="75824101"/>
    <w:rsid w:val="758D193E"/>
    <w:rsid w:val="758D4034"/>
    <w:rsid w:val="75925B77"/>
    <w:rsid w:val="75B0387E"/>
    <w:rsid w:val="75B44BC4"/>
    <w:rsid w:val="75B50E95"/>
    <w:rsid w:val="75B91A18"/>
    <w:rsid w:val="75BA294F"/>
    <w:rsid w:val="75BE243F"/>
    <w:rsid w:val="75C612F4"/>
    <w:rsid w:val="75CB68CD"/>
    <w:rsid w:val="75CD2828"/>
    <w:rsid w:val="75CE2CD1"/>
    <w:rsid w:val="75D27D9A"/>
    <w:rsid w:val="75D64F48"/>
    <w:rsid w:val="75DB4D9F"/>
    <w:rsid w:val="75DC0B17"/>
    <w:rsid w:val="75DC7DEF"/>
    <w:rsid w:val="75E8126A"/>
    <w:rsid w:val="75E86F7D"/>
    <w:rsid w:val="75FC6AC3"/>
    <w:rsid w:val="7601057E"/>
    <w:rsid w:val="7601232C"/>
    <w:rsid w:val="76045978"/>
    <w:rsid w:val="76051E1C"/>
    <w:rsid w:val="761B49FD"/>
    <w:rsid w:val="761E337E"/>
    <w:rsid w:val="762229CE"/>
    <w:rsid w:val="762829BF"/>
    <w:rsid w:val="762A7AD4"/>
    <w:rsid w:val="762F092F"/>
    <w:rsid w:val="763D42B8"/>
    <w:rsid w:val="763E4217"/>
    <w:rsid w:val="764010A6"/>
    <w:rsid w:val="76560B46"/>
    <w:rsid w:val="76562678"/>
    <w:rsid w:val="765E7ABA"/>
    <w:rsid w:val="7662101C"/>
    <w:rsid w:val="766823AB"/>
    <w:rsid w:val="7671125F"/>
    <w:rsid w:val="76760624"/>
    <w:rsid w:val="76835EFD"/>
    <w:rsid w:val="76886CE0"/>
    <w:rsid w:val="768A1662"/>
    <w:rsid w:val="768D21E0"/>
    <w:rsid w:val="7692290F"/>
    <w:rsid w:val="76962737"/>
    <w:rsid w:val="769715A4"/>
    <w:rsid w:val="769A6A08"/>
    <w:rsid w:val="76A21419"/>
    <w:rsid w:val="76A74C81"/>
    <w:rsid w:val="76AC2297"/>
    <w:rsid w:val="76BA0E58"/>
    <w:rsid w:val="76BD6253"/>
    <w:rsid w:val="76BE75A2"/>
    <w:rsid w:val="76C45833"/>
    <w:rsid w:val="76C70E7F"/>
    <w:rsid w:val="76D35A76"/>
    <w:rsid w:val="76DD06A3"/>
    <w:rsid w:val="76E14CAF"/>
    <w:rsid w:val="76EC08E6"/>
    <w:rsid w:val="76FF4ABD"/>
    <w:rsid w:val="77040325"/>
    <w:rsid w:val="770519A8"/>
    <w:rsid w:val="77112A42"/>
    <w:rsid w:val="771542E1"/>
    <w:rsid w:val="771F0CBB"/>
    <w:rsid w:val="77244524"/>
    <w:rsid w:val="77304C77"/>
    <w:rsid w:val="773109EF"/>
    <w:rsid w:val="773163E4"/>
    <w:rsid w:val="773A0865"/>
    <w:rsid w:val="773A0A2A"/>
    <w:rsid w:val="773C4658"/>
    <w:rsid w:val="7746449A"/>
    <w:rsid w:val="775070C7"/>
    <w:rsid w:val="7762504C"/>
    <w:rsid w:val="7772528F"/>
    <w:rsid w:val="77731007"/>
    <w:rsid w:val="77764653"/>
    <w:rsid w:val="777A4144"/>
    <w:rsid w:val="777D7350"/>
    <w:rsid w:val="778154D2"/>
    <w:rsid w:val="7782124A"/>
    <w:rsid w:val="77822FF8"/>
    <w:rsid w:val="778D327B"/>
    <w:rsid w:val="77950F7E"/>
    <w:rsid w:val="77A14BA4"/>
    <w:rsid w:val="77A173C2"/>
    <w:rsid w:val="77A25449"/>
    <w:rsid w:val="77A32051"/>
    <w:rsid w:val="77AD4519"/>
    <w:rsid w:val="77B05DB7"/>
    <w:rsid w:val="77D53A70"/>
    <w:rsid w:val="77D67BBF"/>
    <w:rsid w:val="77E01528"/>
    <w:rsid w:val="77E141C3"/>
    <w:rsid w:val="77E26E00"/>
    <w:rsid w:val="77F42148"/>
    <w:rsid w:val="780D4FB8"/>
    <w:rsid w:val="78116ACE"/>
    <w:rsid w:val="78197E01"/>
    <w:rsid w:val="781E0CC6"/>
    <w:rsid w:val="78202F3D"/>
    <w:rsid w:val="78245C46"/>
    <w:rsid w:val="7826607A"/>
    <w:rsid w:val="782C2F3F"/>
    <w:rsid w:val="7831514A"/>
    <w:rsid w:val="78363FA9"/>
    <w:rsid w:val="78485FF0"/>
    <w:rsid w:val="784C3D32"/>
    <w:rsid w:val="785250C1"/>
    <w:rsid w:val="78540E39"/>
    <w:rsid w:val="7859644F"/>
    <w:rsid w:val="785B3F75"/>
    <w:rsid w:val="787D038F"/>
    <w:rsid w:val="787D77EC"/>
    <w:rsid w:val="7882388A"/>
    <w:rsid w:val="78880AE2"/>
    <w:rsid w:val="789D458E"/>
    <w:rsid w:val="78A0407E"/>
    <w:rsid w:val="78A551F0"/>
    <w:rsid w:val="78A5756F"/>
    <w:rsid w:val="78BF3D82"/>
    <w:rsid w:val="78CF4963"/>
    <w:rsid w:val="78D64904"/>
    <w:rsid w:val="78D83818"/>
    <w:rsid w:val="78FF0DA4"/>
    <w:rsid w:val="791D56CF"/>
    <w:rsid w:val="792425B9"/>
    <w:rsid w:val="79282772"/>
    <w:rsid w:val="793A20EA"/>
    <w:rsid w:val="793A6280"/>
    <w:rsid w:val="794703FD"/>
    <w:rsid w:val="79495384"/>
    <w:rsid w:val="79497463"/>
    <w:rsid w:val="794C1A18"/>
    <w:rsid w:val="795A422D"/>
    <w:rsid w:val="795C46F3"/>
    <w:rsid w:val="79607369"/>
    <w:rsid w:val="79671E70"/>
    <w:rsid w:val="79694470"/>
    <w:rsid w:val="796A3FF1"/>
    <w:rsid w:val="796E1A86"/>
    <w:rsid w:val="796E2824"/>
    <w:rsid w:val="79733540"/>
    <w:rsid w:val="797C0647"/>
    <w:rsid w:val="797D43BF"/>
    <w:rsid w:val="798C015E"/>
    <w:rsid w:val="79927E6B"/>
    <w:rsid w:val="799E25DC"/>
    <w:rsid w:val="799F4335"/>
    <w:rsid w:val="799F7E92"/>
    <w:rsid w:val="79B1119F"/>
    <w:rsid w:val="79BF22E2"/>
    <w:rsid w:val="79C913B2"/>
    <w:rsid w:val="79DD09BA"/>
    <w:rsid w:val="79E816C0"/>
    <w:rsid w:val="79E85CDC"/>
    <w:rsid w:val="79EB30D7"/>
    <w:rsid w:val="79F71A7C"/>
    <w:rsid w:val="79FF6B82"/>
    <w:rsid w:val="7A005F0B"/>
    <w:rsid w:val="7A044199"/>
    <w:rsid w:val="7A0D5743"/>
    <w:rsid w:val="7A1F261B"/>
    <w:rsid w:val="7A344A7E"/>
    <w:rsid w:val="7A3A405E"/>
    <w:rsid w:val="7A431165"/>
    <w:rsid w:val="7A513882"/>
    <w:rsid w:val="7A537099"/>
    <w:rsid w:val="7A5C5D83"/>
    <w:rsid w:val="7A6D61E2"/>
    <w:rsid w:val="7A7366DE"/>
    <w:rsid w:val="7A770E0E"/>
    <w:rsid w:val="7A7A445B"/>
    <w:rsid w:val="7A85177D"/>
    <w:rsid w:val="7A8A7D42"/>
    <w:rsid w:val="7A910122"/>
    <w:rsid w:val="7A9674E6"/>
    <w:rsid w:val="7AAA65E8"/>
    <w:rsid w:val="7AB20098"/>
    <w:rsid w:val="7AB43E11"/>
    <w:rsid w:val="7AB510DD"/>
    <w:rsid w:val="7ABD2CC5"/>
    <w:rsid w:val="7AC8166A"/>
    <w:rsid w:val="7AD16771"/>
    <w:rsid w:val="7AD33DF5"/>
    <w:rsid w:val="7AD95625"/>
    <w:rsid w:val="7AE5221C"/>
    <w:rsid w:val="7AE86066"/>
    <w:rsid w:val="7AEF37D5"/>
    <w:rsid w:val="7B022DCE"/>
    <w:rsid w:val="7B036A19"/>
    <w:rsid w:val="7B067B0C"/>
    <w:rsid w:val="7B0A0FB5"/>
    <w:rsid w:val="7B0A3A31"/>
    <w:rsid w:val="7B0E0034"/>
    <w:rsid w:val="7B217717"/>
    <w:rsid w:val="7B2A7C2F"/>
    <w:rsid w:val="7B315B6D"/>
    <w:rsid w:val="7B3D7962"/>
    <w:rsid w:val="7B4C229B"/>
    <w:rsid w:val="7B4C5DF7"/>
    <w:rsid w:val="7B594570"/>
    <w:rsid w:val="7B65510B"/>
    <w:rsid w:val="7B66335D"/>
    <w:rsid w:val="7B6C5B4E"/>
    <w:rsid w:val="7B705F89"/>
    <w:rsid w:val="7B812353"/>
    <w:rsid w:val="7B8537E5"/>
    <w:rsid w:val="7B9A7C95"/>
    <w:rsid w:val="7B9E14FD"/>
    <w:rsid w:val="7BA619AB"/>
    <w:rsid w:val="7BA93249"/>
    <w:rsid w:val="7BAB7C19"/>
    <w:rsid w:val="7BB67714"/>
    <w:rsid w:val="7BC6204D"/>
    <w:rsid w:val="7BDA3403"/>
    <w:rsid w:val="7BDF338E"/>
    <w:rsid w:val="7BE44282"/>
    <w:rsid w:val="7BE81A4F"/>
    <w:rsid w:val="7BE97AEA"/>
    <w:rsid w:val="7BF312DF"/>
    <w:rsid w:val="7BF73FB5"/>
    <w:rsid w:val="7BFC5A6F"/>
    <w:rsid w:val="7C02295A"/>
    <w:rsid w:val="7C031876"/>
    <w:rsid w:val="7C043AFC"/>
    <w:rsid w:val="7C06069C"/>
    <w:rsid w:val="7C0B5CB2"/>
    <w:rsid w:val="7C136915"/>
    <w:rsid w:val="7C1E192D"/>
    <w:rsid w:val="7C29438A"/>
    <w:rsid w:val="7C2D3E7B"/>
    <w:rsid w:val="7C3A20F4"/>
    <w:rsid w:val="7C3F595C"/>
    <w:rsid w:val="7C4B60AF"/>
    <w:rsid w:val="7C7F2FD3"/>
    <w:rsid w:val="7C8021FC"/>
    <w:rsid w:val="7C857822"/>
    <w:rsid w:val="7C8719B4"/>
    <w:rsid w:val="7C877315"/>
    <w:rsid w:val="7C887617"/>
    <w:rsid w:val="7C921F30"/>
    <w:rsid w:val="7CA22526"/>
    <w:rsid w:val="7CAA7279"/>
    <w:rsid w:val="7CB225D2"/>
    <w:rsid w:val="7CB46147"/>
    <w:rsid w:val="7CB9570E"/>
    <w:rsid w:val="7CB97D5E"/>
    <w:rsid w:val="7CBB3234"/>
    <w:rsid w:val="7CCC5441"/>
    <w:rsid w:val="7CD12A58"/>
    <w:rsid w:val="7CD662C0"/>
    <w:rsid w:val="7CD9366D"/>
    <w:rsid w:val="7CDE33C7"/>
    <w:rsid w:val="7CE04A49"/>
    <w:rsid w:val="7CEF40A5"/>
    <w:rsid w:val="7CF14EA8"/>
    <w:rsid w:val="7D071250"/>
    <w:rsid w:val="7D1A26FE"/>
    <w:rsid w:val="7D1B3750"/>
    <w:rsid w:val="7D20753B"/>
    <w:rsid w:val="7D254B52"/>
    <w:rsid w:val="7D2C7C8E"/>
    <w:rsid w:val="7D384885"/>
    <w:rsid w:val="7D39553A"/>
    <w:rsid w:val="7D3A343A"/>
    <w:rsid w:val="7D496A92"/>
    <w:rsid w:val="7D5A0C9F"/>
    <w:rsid w:val="7D5B1A70"/>
    <w:rsid w:val="7D5E1E12"/>
    <w:rsid w:val="7D61389A"/>
    <w:rsid w:val="7D6D5999"/>
    <w:rsid w:val="7D7864E4"/>
    <w:rsid w:val="7D7962C4"/>
    <w:rsid w:val="7D8221C5"/>
    <w:rsid w:val="7D913F95"/>
    <w:rsid w:val="7D9D6DDE"/>
    <w:rsid w:val="7DB303AF"/>
    <w:rsid w:val="7DBF384A"/>
    <w:rsid w:val="7DC10D1E"/>
    <w:rsid w:val="7DC61F21"/>
    <w:rsid w:val="7DC91981"/>
    <w:rsid w:val="7DCA74A7"/>
    <w:rsid w:val="7DCB56F9"/>
    <w:rsid w:val="7DCD29FF"/>
    <w:rsid w:val="7DCF4ABD"/>
    <w:rsid w:val="7DDF2F52"/>
    <w:rsid w:val="7DE87237"/>
    <w:rsid w:val="7DF2712A"/>
    <w:rsid w:val="7DF52776"/>
    <w:rsid w:val="7DFD5ACF"/>
    <w:rsid w:val="7DFD787D"/>
    <w:rsid w:val="7E0B1F99"/>
    <w:rsid w:val="7E1370A0"/>
    <w:rsid w:val="7E1626EC"/>
    <w:rsid w:val="7E1C5F55"/>
    <w:rsid w:val="7E1D1CCD"/>
    <w:rsid w:val="7E2117BD"/>
    <w:rsid w:val="7E2D46AC"/>
    <w:rsid w:val="7E2D63B4"/>
    <w:rsid w:val="7E2E5C88"/>
    <w:rsid w:val="7E3037AE"/>
    <w:rsid w:val="7E325778"/>
    <w:rsid w:val="7E3A287F"/>
    <w:rsid w:val="7E4B41E2"/>
    <w:rsid w:val="7E4C6A89"/>
    <w:rsid w:val="7E5020A2"/>
    <w:rsid w:val="7E5A4CCF"/>
    <w:rsid w:val="7E5A6A7D"/>
    <w:rsid w:val="7E5B7CEE"/>
    <w:rsid w:val="7E611BB9"/>
    <w:rsid w:val="7E6967D9"/>
    <w:rsid w:val="7E6B47E6"/>
    <w:rsid w:val="7E70004F"/>
    <w:rsid w:val="7E7B0D07"/>
    <w:rsid w:val="7E811FC2"/>
    <w:rsid w:val="7E81400A"/>
    <w:rsid w:val="7E843AFA"/>
    <w:rsid w:val="7EA1645A"/>
    <w:rsid w:val="7EAB5965"/>
    <w:rsid w:val="7EB4618D"/>
    <w:rsid w:val="7EB75C7D"/>
    <w:rsid w:val="7EBA751C"/>
    <w:rsid w:val="7EBE525E"/>
    <w:rsid w:val="7ECB34D7"/>
    <w:rsid w:val="7ECF1219"/>
    <w:rsid w:val="7ED66BEF"/>
    <w:rsid w:val="7EE57BDF"/>
    <w:rsid w:val="7EFF4463"/>
    <w:rsid w:val="7F074323"/>
    <w:rsid w:val="7F0D1D41"/>
    <w:rsid w:val="7F1906E6"/>
    <w:rsid w:val="7F1E3F4E"/>
    <w:rsid w:val="7F225747"/>
    <w:rsid w:val="7F2A28F3"/>
    <w:rsid w:val="7F3F72C8"/>
    <w:rsid w:val="7F493C65"/>
    <w:rsid w:val="7F5636E8"/>
    <w:rsid w:val="7F6A0F42"/>
    <w:rsid w:val="7F6C6A68"/>
    <w:rsid w:val="7F6F6558"/>
    <w:rsid w:val="7F8059CB"/>
    <w:rsid w:val="7F8C2C66"/>
    <w:rsid w:val="7F9164CE"/>
    <w:rsid w:val="7F937E38"/>
    <w:rsid w:val="7F9B734D"/>
    <w:rsid w:val="7FA77AA0"/>
    <w:rsid w:val="7FA85DDB"/>
    <w:rsid w:val="7FB34697"/>
    <w:rsid w:val="7FBE2315"/>
    <w:rsid w:val="7FC836FF"/>
    <w:rsid w:val="7FC949D2"/>
    <w:rsid w:val="7FCB3081"/>
    <w:rsid w:val="7FE53205"/>
    <w:rsid w:val="7FE9455C"/>
    <w:rsid w:val="7FEC7BA9"/>
    <w:rsid w:val="7FF51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57" w:lineRule="atLeast"/>
      <w:jc w:val="both"/>
      <w:textAlignment w:val="baseline"/>
    </w:pPr>
    <w:rPr>
      <w:rFonts w:ascii="Times New Roman" w:hAnsi="Times New Roman" w:eastAsia="宋体" w:cs="Times New Roman"/>
      <w:color w:val="000000"/>
      <w:sz w:val="28"/>
      <w:u w:val="none" w:color="000000"/>
      <w:lang w:val="en-US" w:eastAsia="zh-CN" w:bidi="ar-SA"/>
    </w:rPr>
  </w:style>
  <w:style w:type="paragraph" w:styleId="3">
    <w:name w:val="heading 1"/>
    <w:basedOn w:val="1"/>
    <w:next w:val="1"/>
    <w:link w:val="45"/>
    <w:qFormat/>
    <w:uiPriority w:val="0"/>
    <w:pPr>
      <w:keepNext/>
      <w:keepLines/>
      <w:spacing w:before="240" w:beforeLines="0" w:beforeAutospacing="0" w:after="240" w:afterLines="0" w:afterAutospacing="0" w:line="240" w:lineRule="auto"/>
      <w:jc w:val="center"/>
      <w:outlineLvl w:val="0"/>
    </w:pPr>
    <w:rPr>
      <w:rFonts w:ascii="Calibri" w:hAnsi="Calibri" w:eastAsia="宋体" w:cs="Times New Roman"/>
      <w:b/>
      <w:kern w:val="44"/>
      <w:sz w:val="36"/>
      <w:szCs w:val="22"/>
    </w:rPr>
  </w:style>
  <w:style w:type="paragraph" w:styleId="4">
    <w:name w:val="heading 2"/>
    <w:basedOn w:val="1"/>
    <w:next w:val="1"/>
    <w:link w:val="41"/>
    <w:qFormat/>
    <w:uiPriority w:val="0"/>
    <w:pPr>
      <w:keepNext/>
      <w:keepLines/>
      <w:widowControl w:val="0"/>
      <w:numPr>
        <w:ilvl w:val="1"/>
        <w:numId w:val="0"/>
      </w:numPr>
      <w:adjustRightInd w:val="0"/>
      <w:spacing w:line="360" w:lineRule="auto"/>
      <w:jc w:val="center"/>
      <w:outlineLvl w:val="1"/>
    </w:pPr>
    <w:rPr>
      <w:rFonts w:ascii="Times New Roman" w:hAnsi="Times New Roman" w:eastAsia="宋体"/>
      <w:b/>
      <w:color w:val="auto"/>
      <w:sz w:val="30"/>
    </w:rPr>
  </w:style>
  <w:style w:type="paragraph" w:styleId="5">
    <w:name w:val="heading 3"/>
    <w:basedOn w:val="1"/>
    <w:next w:val="1"/>
    <w:link w:val="46"/>
    <w:qFormat/>
    <w:uiPriority w:val="0"/>
    <w:pPr>
      <w:keepNext/>
      <w:keepLines/>
      <w:spacing w:before="20" w:after="20" w:line="240" w:lineRule="auto"/>
      <w:jc w:val="center"/>
      <w:outlineLvl w:val="2"/>
    </w:pPr>
    <w:rPr>
      <w:rFonts w:ascii="Times New Roman" w:hAnsi="Times New Roman" w:eastAsia="宋体"/>
      <w:b/>
      <w:bCs/>
      <w:sz w:val="28"/>
      <w:szCs w:val="3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snapToGrid w:val="0"/>
      <w:spacing w:line="360" w:lineRule="auto"/>
    </w:pPr>
    <w:rPr>
      <w:rFonts w:ascii="Arial" w:hAnsi="Arial" w:eastAsia="FangSong_GB2312"/>
      <w:sz w:val="31"/>
    </w:rPr>
  </w:style>
  <w:style w:type="paragraph" w:styleId="7">
    <w:name w:val="table of authorities"/>
    <w:basedOn w:val="1"/>
    <w:next w:val="1"/>
    <w:unhideWhenUsed/>
    <w:qFormat/>
    <w:uiPriority w:val="99"/>
    <w:pPr>
      <w:ind w:left="420" w:leftChars="200"/>
    </w:pPr>
  </w:style>
  <w:style w:type="paragraph" w:styleId="8">
    <w:name w:val="Normal Indent"/>
    <w:basedOn w:val="1"/>
    <w:next w:val="1"/>
    <w:qFormat/>
    <w:uiPriority w:val="0"/>
    <w:pPr>
      <w:widowControl w:val="0"/>
      <w:adjustRightInd w:val="0"/>
      <w:spacing w:line="360" w:lineRule="atLeast"/>
      <w:ind w:firstLine="482"/>
    </w:pPr>
    <w:rPr>
      <w:color w:val="auto"/>
      <w:sz w:val="24"/>
      <w:u w:val="none" w:color="auto"/>
    </w:rPr>
  </w:style>
  <w:style w:type="paragraph" w:styleId="9">
    <w:name w:val="annotation text"/>
    <w:basedOn w:val="1"/>
    <w:qFormat/>
    <w:uiPriority w:val="0"/>
    <w:pPr>
      <w:jc w:val="left"/>
    </w:pPr>
  </w:style>
  <w:style w:type="paragraph" w:styleId="10">
    <w:name w:val="Body Text Indent"/>
    <w:basedOn w:val="1"/>
    <w:next w:val="11"/>
    <w:qFormat/>
    <w:uiPriority w:val="0"/>
    <w:pPr>
      <w:ind w:left="420" w:leftChars="200"/>
    </w:pPr>
  </w:style>
  <w:style w:type="paragraph" w:styleId="11">
    <w:name w:val="envelope return"/>
    <w:basedOn w:val="1"/>
    <w:qFormat/>
    <w:uiPriority w:val="0"/>
    <w:pPr>
      <w:snapToGrid w:val="0"/>
    </w:pPr>
    <w:rPr>
      <w:rFonts w:ascii="Arial" w:hAnsi="Arial" w:eastAsia="宋体" w:cs="Times New Roman"/>
      <w:lang w:bidi="ar-SA"/>
    </w:rPr>
  </w:style>
  <w:style w:type="paragraph" w:styleId="12">
    <w:name w:val="toc 3"/>
    <w:basedOn w:val="1"/>
    <w:next w:val="1"/>
    <w:qFormat/>
    <w:uiPriority w:val="0"/>
    <w:pPr>
      <w:ind w:left="840" w:leftChars="400"/>
    </w:pPr>
  </w:style>
  <w:style w:type="paragraph" w:styleId="13">
    <w:name w:val="Plain Text"/>
    <w:basedOn w:val="1"/>
    <w:qFormat/>
    <w:uiPriority w:val="0"/>
    <w:pPr>
      <w:widowControl w:val="0"/>
      <w:spacing w:line="240" w:lineRule="auto"/>
      <w:textAlignment w:val="auto"/>
    </w:pPr>
    <w:rPr>
      <w:rFonts w:ascii="宋体" w:hAnsi="Courier New"/>
      <w:color w:val="auto"/>
      <w:kern w:val="2"/>
      <w:u w:val="none" w:color="auto"/>
    </w:rPr>
  </w:style>
  <w:style w:type="paragraph" w:styleId="14">
    <w:name w:val="Date"/>
    <w:basedOn w:val="1"/>
    <w:next w:val="1"/>
    <w:qFormat/>
    <w:uiPriority w:val="0"/>
    <w:pPr>
      <w:widowControl w:val="0"/>
      <w:spacing w:line="240" w:lineRule="auto"/>
      <w:textAlignment w:val="auto"/>
    </w:pPr>
    <w:rPr>
      <w:rFonts w:ascii="Arial" w:hAnsi="Arial" w:eastAsia="FangSong_GB2312"/>
      <w:color w:val="auto"/>
      <w:kern w:val="2"/>
      <w:sz w:val="32"/>
      <w:u w:val="none" w:color="auto"/>
    </w:rPr>
  </w:style>
  <w:style w:type="paragraph" w:styleId="15">
    <w:name w:val="footer"/>
    <w:basedOn w:val="1"/>
    <w:next w:val="2"/>
    <w:qFormat/>
    <w:uiPriority w:val="99"/>
    <w:pPr>
      <w:tabs>
        <w:tab w:val="center" w:pos="4153"/>
        <w:tab w:val="right" w:pos="8306"/>
      </w:tabs>
      <w:snapToGrid w:val="0"/>
      <w:spacing w:line="240" w:lineRule="atLeast"/>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7">
    <w:name w:val="toc 1"/>
    <w:basedOn w:val="1"/>
    <w:next w:val="1"/>
    <w:qFormat/>
    <w:uiPriority w:val="39"/>
  </w:style>
  <w:style w:type="paragraph" w:styleId="18">
    <w:name w:val="toc 4"/>
    <w:basedOn w:val="1"/>
    <w:next w:val="1"/>
    <w:unhideWhenUsed/>
    <w:qFormat/>
    <w:uiPriority w:val="39"/>
    <w:pPr>
      <w:ind w:left="1260" w:leftChars="600"/>
    </w:pPr>
  </w:style>
  <w:style w:type="paragraph" w:styleId="19">
    <w:name w:val="toc 2"/>
    <w:basedOn w:val="1"/>
    <w:next w:val="1"/>
    <w:qFormat/>
    <w:uiPriority w:val="0"/>
    <w:pPr>
      <w:ind w:left="420" w:leftChars="200"/>
    </w:pPr>
  </w:style>
  <w:style w:type="paragraph" w:styleId="20">
    <w:name w:val="Body Text 2"/>
    <w:basedOn w:val="1"/>
    <w:qFormat/>
    <w:uiPriority w:val="99"/>
    <w:rPr>
      <w:sz w:val="28"/>
    </w:rPr>
  </w:style>
  <w:style w:type="paragraph" w:styleId="2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2">
    <w:name w:val="Normal (Web)"/>
    <w:basedOn w:val="1"/>
    <w:qFormat/>
    <w:uiPriority w:val="0"/>
    <w:pPr>
      <w:spacing w:before="100" w:beforeAutospacing="1" w:after="100" w:afterAutospacing="1" w:line="240" w:lineRule="auto"/>
      <w:jc w:val="left"/>
      <w:textAlignment w:val="auto"/>
    </w:pPr>
    <w:rPr>
      <w:rFonts w:ascii="宋体" w:hAnsi="宋体" w:cs="宋体"/>
      <w:color w:val="auto"/>
      <w:sz w:val="24"/>
      <w:szCs w:val="24"/>
      <w:u w:val="none" w:color="auto"/>
    </w:rPr>
  </w:style>
  <w:style w:type="paragraph" w:styleId="23">
    <w:name w:val="Body Text First Indent"/>
    <w:basedOn w:val="2"/>
    <w:next w:val="24"/>
    <w:qFormat/>
    <w:uiPriority w:val="0"/>
    <w:pPr>
      <w:spacing w:line="240" w:lineRule="auto"/>
      <w:ind w:firstLine="420" w:firstLineChars="100"/>
    </w:pPr>
    <w:rPr>
      <w:rFonts w:ascii="Calibri" w:hAnsi="Calibri"/>
      <w:color w:val="auto"/>
      <w:sz w:val="18"/>
      <w:szCs w:val="18"/>
    </w:rPr>
  </w:style>
  <w:style w:type="paragraph" w:styleId="24">
    <w:name w:val="Body Text First Indent 2"/>
    <w:basedOn w:val="10"/>
    <w:next w:val="23"/>
    <w:qFormat/>
    <w:uiPriority w:val="0"/>
    <w:pPr>
      <w:ind w:firstLine="420" w:firstLineChars="200"/>
    </w:pPr>
  </w:style>
  <w:style w:type="table" w:styleId="26">
    <w:name w:val="Table Grid"/>
    <w:basedOn w:val="25"/>
    <w:qFormat/>
    <w:uiPriority w:val="59"/>
    <w:pPr>
      <w:spacing w:line="357"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page number"/>
    <w:basedOn w:val="27"/>
    <w:qFormat/>
    <w:uiPriority w:val="0"/>
  </w:style>
  <w:style w:type="character" w:styleId="30">
    <w:name w:val="FollowedHyperlink"/>
    <w:basedOn w:val="27"/>
    <w:qFormat/>
    <w:uiPriority w:val="0"/>
    <w:rPr>
      <w:color w:val="333333"/>
      <w:u w:val="none"/>
    </w:rPr>
  </w:style>
  <w:style w:type="character" w:styleId="31">
    <w:name w:val="Emphasis"/>
    <w:basedOn w:val="27"/>
    <w:qFormat/>
    <w:uiPriority w:val="0"/>
  </w:style>
  <w:style w:type="character" w:styleId="32">
    <w:name w:val="HTML Definition"/>
    <w:basedOn w:val="27"/>
    <w:qFormat/>
    <w:uiPriority w:val="0"/>
    <w:rPr>
      <w:i/>
      <w:shd w:val="clear" w:fill="FFFFFF"/>
    </w:rPr>
  </w:style>
  <w:style w:type="character" w:styleId="33">
    <w:name w:val="HTML Typewriter"/>
    <w:basedOn w:val="27"/>
    <w:qFormat/>
    <w:uiPriority w:val="0"/>
    <w:rPr>
      <w:rFonts w:ascii="monospace" w:hAnsi="monospace" w:eastAsia="monospace" w:cs="monospace"/>
      <w:sz w:val="20"/>
    </w:rPr>
  </w:style>
  <w:style w:type="character" w:styleId="34">
    <w:name w:val="HTML Acronym"/>
    <w:basedOn w:val="27"/>
    <w:qFormat/>
    <w:uiPriority w:val="0"/>
    <w:rPr>
      <w:bdr w:val="none" w:color="auto" w:sz="0" w:space="0"/>
    </w:rPr>
  </w:style>
  <w:style w:type="character" w:styleId="35">
    <w:name w:val="HTML Variable"/>
    <w:basedOn w:val="27"/>
    <w:qFormat/>
    <w:uiPriority w:val="0"/>
  </w:style>
  <w:style w:type="character" w:styleId="36">
    <w:name w:val="Hyperlink"/>
    <w:basedOn w:val="27"/>
    <w:qFormat/>
    <w:uiPriority w:val="0"/>
    <w:rPr>
      <w:rFonts w:ascii="等线" w:hAnsi="等线" w:eastAsia="STSong"/>
      <w:color w:val="0000FF"/>
      <w:u w:val="single"/>
    </w:rPr>
  </w:style>
  <w:style w:type="character" w:styleId="37">
    <w:name w:val="HTML Code"/>
    <w:basedOn w:val="27"/>
    <w:qFormat/>
    <w:uiPriority w:val="0"/>
    <w:rPr>
      <w:rFonts w:hint="default" w:ascii="Consolas" w:hAnsi="Consolas" w:eastAsia="Consolas" w:cs="Consolas"/>
      <w:color w:val="C7254E"/>
      <w:sz w:val="21"/>
      <w:szCs w:val="21"/>
      <w:shd w:val="clear" w:fill="F9F2F4"/>
    </w:rPr>
  </w:style>
  <w:style w:type="character" w:styleId="38">
    <w:name w:val="HTML Cite"/>
    <w:basedOn w:val="27"/>
    <w:qFormat/>
    <w:uiPriority w:val="0"/>
  </w:style>
  <w:style w:type="character" w:styleId="39">
    <w:name w:val="HTML Keyboard"/>
    <w:basedOn w:val="27"/>
    <w:qFormat/>
    <w:uiPriority w:val="0"/>
    <w:rPr>
      <w:rFonts w:hint="default" w:ascii="Consolas" w:hAnsi="Consolas" w:eastAsia="Consolas" w:cs="Consolas"/>
      <w:color w:val="FFFFFF"/>
      <w:sz w:val="21"/>
      <w:szCs w:val="21"/>
      <w:shd w:val="clear" w:fill="333333"/>
    </w:rPr>
  </w:style>
  <w:style w:type="character" w:styleId="40">
    <w:name w:val="HTML Sample"/>
    <w:basedOn w:val="27"/>
    <w:qFormat/>
    <w:uiPriority w:val="0"/>
    <w:rPr>
      <w:rFonts w:ascii="Consolas" w:hAnsi="Consolas" w:eastAsia="Consolas" w:cs="Consolas"/>
      <w:sz w:val="21"/>
      <w:szCs w:val="21"/>
    </w:rPr>
  </w:style>
  <w:style w:type="character" w:customStyle="1" w:styleId="41">
    <w:name w:val="标题 2 Char"/>
    <w:link w:val="4"/>
    <w:qFormat/>
    <w:uiPriority w:val="0"/>
    <w:rPr>
      <w:rFonts w:ascii="Times New Roman" w:hAnsi="Times New Roman" w:eastAsia="宋体"/>
      <w:b/>
      <w:color w:val="auto"/>
      <w:sz w:val="30"/>
    </w:rPr>
  </w:style>
  <w:style w:type="paragraph" w:customStyle="1" w:styleId="42">
    <w:name w:val="列出段落1"/>
    <w:basedOn w:val="1"/>
    <w:qFormat/>
    <w:uiPriority w:val="34"/>
    <w:pPr>
      <w:ind w:firstLine="420" w:firstLineChars="200"/>
    </w:pPr>
    <w:rPr>
      <w:szCs w:val="20"/>
    </w:rPr>
  </w:style>
  <w:style w:type="paragraph" w:customStyle="1" w:styleId="4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Default"/>
    <w:next w:val="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5">
    <w:name w:val="标题 1 Char"/>
    <w:link w:val="3"/>
    <w:qFormat/>
    <w:uiPriority w:val="0"/>
    <w:rPr>
      <w:rFonts w:ascii="Calibri" w:hAnsi="Calibri" w:eastAsia="宋体" w:cs="Times New Roman"/>
      <w:b/>
      <w:kern w:val="44"/>
      <w:sz w:val="36"/>
      <w:szCs w:val="22"/>
    </w:rPr>
  </w:style>
  <w:style w:type="character" w:customStyle="1" w:styleId="46">
    <w:name w:val="标题 3 Char"/>
    <w:link w:val="5"/>
    <w:qFormat/>
    <w:uiPriority w:val="0"/>
    <w:rPr>
      <w:rFonts w:ascii="Times New Roman" w:hAnsi="Times New Roman" w:eastAsia="宋体"/>
      <w:b/>
      <w:bCs/>
      <w:sz w:val="28"/>
      <w:szCs w:val="32"/>
    </w:rPr>
  </w:style>
  <w:style w:type="paragraph" w:customStyle="1" w:styleId="47">
    <w:name w:val="BodyText"/>
    <w:basedOn w:val="1"/>
    <w:next w:val="48"/>
    <w:qFormat/>
    <w:uiPriority w:val="0"/>
    <w:pPr>
      <w:spacing w:line="240" w:lineRule="auto"/>
      <w:jc w:val="left"/>
      <w:textAlignment w:val="baseline"/>
    </w:pPr>
    <w:rPr>
      <w:rFonts w:ascii="Calibri" w:hAnsi="Calibri" w:eastAsia="宋体"/>
      <w:b/>
      <w:kern w:val="2"/>
      <w:sz w:val="21"/>
      <w:szCs w:val="24"/>
      <w:lang w:val="en-US" w:eastAsia="zh-CN" w:bidi="ar-SA"/>
    </w:rPr>
  </w:style>
  <w:style w:type="paragraph" w:customStyle="1" w:styleId="48">
    <w:name w:val="UserStyle_1"/>
    <w:basedOn w:val="1"/>
    <w:next w:val="1"/>
    <w:qFormat/>
    <w:uiPriority w:val="0"/>
    <w:pPr>
      <w:spacing w:line="240" w:lineRule="auto"/>
      <w:ind w:left="0" w:leftChars="0"/>
      <w:jc w:val="left"/>
      <w:textAlignment w:val="baseline"/>
    </w:pPr>
  </w:style>
  <w:style w:type="paragraph" w:customStyle="1" w:styleId="49">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50">
    <w:name w:val="_Style 7"/>
    <w:basedOn w:val="3"/>
    <w:next w:val="1"/>
    <w:qFormat/>
    <w:uiPriority w:val="39"/>
    <w:pPr>
      <w:spacing w:before="480" w:after="0" w:line="276" w:lineRule="auto"/>
      <w:jc w:val="left"/>
      <w:textAlignment w:val="auto"/>
      <w:outlineLvl w:val="9"/>
    </w:pPr>
    <w:rPr>
      <w:rFonts w:ascii="Cambria" w:hAnsi="Cambria" w:eastAsia="宋体" w:cs="Times New Roman"/>
      <w:color w:val="365F91"/>
      <w:kern w:val="0"/>
      <w:sz w:val="28"/>
      <w:szCs w:val="28"/>
      <w:u w:val="none" w:color="auto"/>
    </w:rPr>
  </w:style>
  <w:style w:type="paragraph" w:customStyle="1" w:styleId="51">
    <w:name w:val="正文文字2"/>
    <w:basedOn w:val="2"/>
    <w:qFormat/>
    <w:uiPriority w:val="0"/>
    <w:pPr>
      <w:adjustRightInd w:val="0"/>
      <w:spacing w:after="60" w:line="360" w:lineRule="atLeast"/>
      <w:ind w:left="72" w:leftChars="30" w:right="72" w:rightChars="30"/>
      <w:jc w:val="center"/>
    </w:pPr>
    <w:rPr>
      <w:rFonts w:eastAsia="黑体"/>
      <w:sz w:val="21"/>
    </w:rPr>
  </w:style>
  <w:style w:type="paragraph" w:customStyle="1" w:styleId="52">
    <w:name w:val="reader-word-layer reader-word-s36-69 reader-word-s36-96"/>
    <w:basedOn w:val="1"/>
    <w:qFormat/>
    <w:uiPriority w:val="0"/>
    <w:pPr>
      <w:spacing w:before="100" w:beforeAutospacing="1" w:after="100" w:afterAutospacing="1" w:line="240" w:lineRule="auto"/>
      <w:jc w:val="left"/>
    </w:pPr>
    <w:rPr>
      <w:rFonts w:ascii="宋体" w:hAnsi="宋体" w:cs="宋体"/>
      <w:sz w:val="24"/>
      <w:szCs w:val="24"/>
    </w:rPr>
  </w:style>
  <w:style w:type="paragraph" w:customStyle="1" w:styleId="53">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54">
    <w:name w:val="WPSOffice手动目录 1"/>
    <w:qFormat/>
    <w:uiPriority w:val="0"/>
    <w:pPr>
      <w:ind w:leftChars="0"/>
    </w:pPr>
    <w:rPr>
      <w:rFonts w:ascii="Times New Roman" w:hAnsi="Times New Roman" w:eastAsia="宋体" w:cs="Times New Roman"/>
      <w:sz w:val="20"/>
      <w:szCs w:val="20"/>
    </w:rPr>
  </w:style>
  <w:style w:type="character" w:customStyle="1" w:styleId="55">
    <w:name w:val="hour_pm"/>
    <w:basedOn w:val="27"/>
    <w:qFormat/>
    <w:uiPriority w:val="0"/>
  </w:style>
  <w:style w:type="character" w:customStyle="1" w:styleId="56">
    <w:name w:val="hover3"/>
    <w:basedOn w:val="27"/>
    <w:qFormat/>
    <w:uiPriority w:val="0"/>
    <w:rPr>
      <w:shd w:val="clear" w:fill="EEEEEE"/>
    </w:rPr>
  </w:style>
  <w:style w:type="character" w:customStyle="1" w:styleId="57">
    <w:name w:val="old"/>
    <w:basedOn w:val="27"/>
    <w:qFormat/>
    <w:uiPriority w:val="0"/>
    <w:rPr>
      <w:color w:val="999999"/>
    </w:rPr>
  </w:style>
  <w:style w:type="character" w:customStyle="1" w:styleId="58">
    <w:name w:val="glyphicon4"/>
    <w:basedOn w:val="27"/>
    <w:qFormat/>
    <w:uiPriority w:val="0"/>
  </w:style>
  <w:style w:type="character" w:customStyle="1" w:styleId="59">
    <w:name w:val="hour_am"/>
    <w:basedOn w:val="27"/>
    <w:qFormat/>
    <w:uiPriority w:val="0"/>
  </w:style>
  <w:style w:type="character" w:customStyle="1" w:styleId="60">
    <w:name w:val="indent"/>
    <w:basedOn w:val="27"/>
    <w:qFormat/>
    <w:uiPriority w:val="0"/>
  </w:style>
  <w:style w:type="character" w:customStyle="1" w:styleId="61">
    <w:name w:val="button"/>
    <w:basedOn w:val="27"/>
    <w:qFormat/>
    <w:uiPriority w:val="0"/>
  </w:style>
  <w:style w:type="character" w:customStyle="1" w:styleId="62">
    <w:name w:val="tmpztreemove_arrow"/>
    <w:basedOn w:val="27"/>
    <w:qFormat/>
    <w:uiPriority w:val="0"/>
    <w:rPr>
      <w:shd w:val="clear" w:fill="FFFFFF"/>
    </w:rPr>
  </w:style>
  <w:style w:type="character" w:customStyle="1" w:styleId="63">
    <w:name w:val="glyphicon"/>
    <w:basedOn w:val="27"/>
    <w:qFormat/>
    <w:uiPriority w:val="0"/>
  </w:style>
  <w:style w:type="paragraph" w:customStyle="1" w:styleId="64">
    <w:name w:val="title12"/>
    <w:basedOn w:val="1"/>
    <w:qFormat/>
    <w:uiPriority w:val="0"/>
    <w:pPr>
      <w:spacing w:before="120" w:beforeAutospacing="0" w:after="0" w:afterAutospacing="0"/>
      <w:ind w:left="0" w:right="0" w:firstLine="0"/>
      <w:jc w:val="left"/>
    </w:pPr>
    <w:rPr>
      <w:b/>
      <w:kern w:val="0"/>
      <w:sz w:val="18"/>
      <w:szCs w:val="18"/>
      <w:lang w:val="en-US" w:eastAsia="zh-CN" w:bidi="ar"/>
    </w:rPr>
  </w:style>
  <w:style w:type="paragraph" w:customStyle="1" w:styleId="65">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6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67">
    <w:name w:val="表格文字中"/>
    <w:basedOn w:val="1"/>
    <w:qFormat/>
    <w:uiPriority w:val="0"/>
    <w:pPr>
      <w:adjustRightInd w:val="0"/>
      <w:snapToGrid w:val="0"/>
      <w:ind w:left="22" w:leftChars="8"/>
      <w:jc w:val="center"/>
    </w:pPr>
    <w:rPr>
      <w:szCs w:val="24"/>
    </w:rPr>
  </w:style>
  <w:style w:type="paragraph" w:customStyle="1" w:styleId="6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69">
    <w:name w:val="表格标题"/>
    <w:basedOn w:val="1"/>
    <w:qFormat/>
    <w:uiPriority w:val="0"/>
    <w:pPr>
      <w:adjustRightInd w:val="0"/>
      <w:snapToGrid w:val="0"/>
      <w:spacing w:before="50" w:beforeLines="50" w:after="50" w:afterLines="50"/>
      <w:ind w:left="22" w:leftChars="8"/>
      <w:jc w:val="center"/>
    </w:pPr>
    <w:rPr>
      <w:b/>
      <w:bCs/>
      <w:color w:val="000000"/>
      <w:sz w:val="32"/>
      <w:szCs w:val="32"/>
    </w:rPr>
  </w:style>
  <w:style w:type="paragraph" w:customStyle="1" w:styleId="70">
    <w:name w:val="正文 New"/>
    <w:qFormat/>
    <w:uiPriority w:val="0"/>
    <w:pPr>
      <w:widowControl w:val="0"/>
      <w:jc w:val="both"/>
    </w:pPr>
    <w:rPr>
      <w:rFonts w:ascii="Calibri" w:hAnsi="Calibri" w:eastAsia="宋体" w:cs="Times New Roman"/>
      <w:lang w:val="en-US" w:eastAsia="zh-CN" w:bidi="ar-SA"/>
    </w:rPr>
  </w:style>
  <w:style w:type="character" w:customStyle="1" w:styleId="71">
    <w:name w:val="phone"/>
    <w:basedOn w:val="27"/>
    <w:qFormat/>
    <w:uiPriority w:val="0"/>
    <w:rPr>
      <w:color w:val="FF8833"/>
      <w:sz w:val="18"/>
      <w:szCs w:val="18"/>
    </w:rPr>
  </w:style>
  <w:style w:type="paragraph" w:customStyle="1" w:styleId="72">
    <w:name w:val="title11"/>
    <w:basedOn w:val="1"/>
    <w:qFormat/>
    <w:uiPriority w:val="0"/>
    <w:pPr>
      <w:spacing w:before="150" w:beforeAutospacing="0" w:after="0" w:afterAutospacing="0"/>
      <w:ind w:left="0" w:right="0" w:firstLine="0"/>
      <w:jc w:val="left"/>
    </w:pPr>
    <w:rPr>
      <w:b/>
      <w:bCs/>
      <w:kern w:val="0"/>
      <w:sz w:val="22"/>
      <w:szCs w:val="22"/>
      <w:lang w:val="en-US" w:eastAsia="zh-CN" w:bidi="ar"/>
    </w:rPr>
  </w:style>
  <w:style w:type="paragraph" w:customStyle="1" w:styleId="73">
    <w:name w:val="title13"/>
    <w:basedOn w:val="1"/>
    <w:qFormat/>
    <w:uiPriority w:val="0"/>
    <w:pPr>
      <w:spacing w:before="150" w:beforeAutospacing="0" w:after="0" w:afterAutospacing="0"/>
      <w:ind w:left="0" w:right="0" w:firstLine="0"/>
      <w:jc w:val="left"/>
    </w:pPr>
    <w:rPr>
      <w:b/>
      <w:bCs/>
      <w:kern w:val="0"/>
      <w:sz w:val="22"/>
      <w:szCs w:val="22"/>
      <w:lang w:val="en-US" w:eastAsia="zh-CN" w:bidi="ar"/>
    </w:rPr>
  </w:style>
  <w:style w:type="character" w:customStyle="1" w:styleId="74">
    <w:name w:val="number"/>
    <w:basedOn w:val="27"/>
    <w:qFormat/>
    <w:uiPriority w:val="0"/>
    <w:rPr>
      <w:color w:val="FF8833"/>
      <w:sz w:val="18"/>
      <w:szCs w:val="18"/>
    </w:rPr>
  </w:style>
  <w:style w:type="character" w:customStyle="1" w:styleId="75">
    <w:name w:val="proollist"/>
    <w:basedOn w:val="27"/>
    <w:qFormat/>
    <w:uiPriority w:val="0"/>
  </w:style>
  <w:style w:type="character" w:customStyle="1" w:styleId="76">
    <w:name w:val="beforeinfotext"/>
    <w:basedOn w:val="27"/>
    <w:qFormat/>
    <w:uiPriority w:val="0"/>
    <w:rPr>
      <w:color w:val="666666"/>
    </w:rPr>
  </w:style>
  <w:style w:type="character" w:customStyle="1" w:styleId="77">
    <w:name w:val="stclosebtn"/>
    <w:basedOn w:val="27"/>
    <w:qFormat/>
    <w:uiPriority w:val="0"/>
  </w:style>
  <w:style w:type="paragraph" w:styleId="78">
    <w:name w:val="List Paragraph"/>
    <w:basedOn w:val="1"/>
    <w:qFormat/>
    <w:uiPriority w:val="99"/>
    <w:pPr>
      <w:ind w:firstLine="420" w:firstLineChars="200"/>
    </w:pPr>
    <w:rPr>
      <w:szCs w:val="20"/>
    </w:rPr>
  </w:style>
  <w:style w:type="character" w:customStyle="1" w:styleId="79">
    <w:name w:val="HTML Markup"/>
    <w:qFormat/>
    <w:uiPriority w:val="0"/>
    <w:rPr>
      <w:vanish/>
      <w:color w:val="FF0000"/>
    </w:rPr>
  </w:style>
  <w:style w:type="paragraph" w:customStyle="1" w:styleId="80">
    <w:name w:val="Definition Term"/>
    <w:basedOn w:val="1"/>
    <w:next w:val="1"/>
    <w:qFormat/>
    <w:uiPriority w:val="0"/>
  </w:style>
  <w:style w:type="paragraph" w:customStyle="1" w:styleId="81">
    <w:name w:val="Definition List"/>
    <w:basedOn w:val="1"/>
    <w:next w:val="80"/>
    <w:qFormat/>
    <w:uiPriority w:val="0"/>
    <w:pPr>
      <w:ind w:left="360"/>
    </w:pPr>
  </w:style>
  <w:style w:type="paragraph" w:customStyle="1" w:styleId="82">
    <w:name w:val="p15"/>
    <w:qFormat/>
    <w:uiPriority w:val="99"/>
    <w:pPr>
      <w:jc w:val="both"/>
    </w:pPr>
    <w:rPr>
      <w:rFonts w:ascii="Calibri" w:hAnsi="Calibri" w:cs="Times New Roman" w:eastAsiaTheme="minorEastAsia"/>
      <w:kern w:val="1"/>
      <w:sz w:val="21"/>
      <w:szCs w:val="21"/>
      <w:lang w:val="en-US" w:eastAsia="zh-CN" w:bidi="ar-SA"/>
    </w:rPr>
  </w:style>
  <w:style w:type="paragraph" w:customStyle="1" w:styleId="83">
    <w:name w:val="09正文_wh"/>
    <w:qFormat/>
    <w:uiPriority w:val="0"/>
    <w:pPr>
      <w:spacing w:line="300" w:lineRule="auto"/>
      <w:ind w:firstLine="200"/>
      <w:jc w:val="both"/>
    </w:pPr>
    <w:rPr>
      <w:rFonts w:ascii="Times New Roman" w:hAnsi="Times New Roman" w:eastAsia="宋体" w:cs="Times New Roman"/>
      <w:sz w:val="28"/>
      <w:szCs w:val="22"/>
      <w:lang w:val="en-US" w:eastAsia="zh-CN" w:bidi="ar-SA"/>
    </w:rPr>
  </w:style>
  <w:style w:type="paragraph" w:customStyle="1" w:styleId="84">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mini-outputtext1"/>
    <w:basedOn w:val="27"/>
    <w:qFormat/>
    <w:uiPriority w:val="0"/>
  </w:style>
  <w:style w:type="character" w:customStyle="1" w:styleId="86">
    <w:name w:val="font11"/>
    <w:basedOn w:val="27"/>
    <w:qFormat/>
    <w:uiPriority w:val="0"/>
    <w:rPr>
      <w:rFonts w:hint="eastAsia" w:ascii="新宋体" w:hAnsi="新宋体" w:eastAsia="新宋体" w:cs="新宋体"/>
      <w:color w:val="000000"/>
      <w:sz w:val="23"/>
      <w:szCs w:val="23"/>
      <w:u w:val="none"/>
    </w:rPr>
  </w:style>
  <w:style w:type="character" w:customStyle="1" w:styleId="87">
    <w:name w:val="font21"/>
    <w:basedOn w:val="27"/>
    <w:qFormat/>
    <w:uiPriority w:val="0"/>
    <w:rPr>
      <w:rFonts w:hint="eastAsia" w:ascii="宋体" w:hAnsi="宋体" w:eastAsia="宋体" w:cs="宋体"/>
      <w:color w:val="000000"/>
      <w:sz w:val="21"/>
      <w:szCs w:val="21"/>
      <w:u w:val="none"/>
    </w:rPr>
  </w:style>
  <w:style w:type="character" w:customStyle="1" w:styleId="88">
    <w:name w:val="font31"/>
    <w:basedOn w:val="27"/>
    <w:qFormat/>
    <w:uiPriority w:val="0"/>
    <w:rPr>
      <w:rFonts w:ascii="Arial" w:hAnsi="Arial" w:cs="Arial"/>
      <w:color w:val="000000"/>
      <w:sz w:val="21"/>
      <w:szCs w:val="21"/>
      <w:u w:val="none"/>
    </w:rPr>
  </w:style>
  <w:style w:type="paragraph" w:customStyle="1" w:styleId="89">
    <w:name w:val="批注文字1"/>
    <w:qFormat/>
    <w:uiPriority w:val="0"/>
    <w:pPr>
      <w:widowControl w:val="0"/>
    </w:pPr>
    <w:rPr>
      <w:rFonts w:ascii="Calibri" w:hAnsi="Calibri" w:cs="Times New Roman" w:eastAsiaTheme="minorEastAsia"/>
      <w:kern w:val="1"/>
      <w:sz w:val="21"/>
      <w:szCs w:val="22"/>
      <w:lang w:val="en-US" w:eastAsia="zh-CN" w:bidi="ar-SA"/>
    </w:rPr>
  </w:style>
  <w:style w:type="paragraph" w:customStyle="1" w:styleId="90">
    <w:name w:val="样式"/>
    <w:qFormat/>
    <w:uiPriority w:val="0"/>
    <w:pPr>
      <w:widowControl w:val="0"/>
      <w:autoSpaceDE w:val="0"/>
      <w:autoSpaceDN w:val="0"/>
      <w:adjustRightInd w:val="0"/>
    </w:pPr>
    <w:rPr>
      <w:rFonts w:ascii="宋体" w:hAnsi="Calibri" w:eastAsia="宋体" w:cs="宋体"/>
      <w:sz w:val="24"/>
      <w:szCs w:val="24"/>
      <w:lang w:val="en-US" w:eastAsia="zh-CN" w:bidi="ar-SA"/>
    </w:rPr>
  </w:style>
  <w:style w:type="paragraph" w:customStyle="1" w:styleId="91">
    <w:name w:val="WPSOffice手动目录 2"/>
    <w:qFormat/>
    <w:uiPriority w:val="0"/>
    <w:pPr>
      <w:ind w:leftChars="200"/>
    </w:pPr>
    <w:rPr>
      <w:rFonts w:ascii="Times New Roman" w:hAnsi="Times New Roman" w:eastAsia="宋体" w:cs="Times New Roman"/>
      <w:sz w:val="20"/>
      <w:szCs w:val="20"/>
    </w:rPr>
  </w:style>
  <w:style w:type="paragraph" w:customStyle="1" w:styleId="92">
    <w:name w:val="WPSOffice手动目录 3"/>
    <w:qFormat/>
    <w:uiPriority w:val="0"/>
    <w:pPr>
      <w:ind w:leftChars="400"/>
    </w:pPr>
    <w:rPr>
      <w:rFonts w:ascii="Times New Roman" w:hAnsi="Times New Roman" w:eastAsia="宋体" w:cs="Times New Roman"/>
      <w:sz w:val="20"/>
      <w:szCs w:val="20"/>
    </w:rPr>
  </w:style>
  <w:style w:type="character" w:customStyle="1" w:styleId="93">
    <w:name w:val="font61"/>
    <w:basedOn w:val="27"/>
    <w:qFormat/>
    <w:uiPriority w:val="0"/>
    <w:rPr>
      <w:rFonts w:hint="default" w:ascii="Calibri" w:hAnsi="Calibri" w:cs="Calibri"/>
      <w:b/>
      <w:bCs/>
      <w:color w:val="000000"/>
      <w:sz w:val="28"/>
      <w:szCs w:val="28"/>
      <w:u w:val="none"/>
    </w:rPr>
  </w:style>
  <w:style w:type="character" w:customStyle="1" w:styleId="94">
    <w:name w:val="font91"/>
    <w:basedOn w:val="27"/>
    <w:qFormat/>
    <w:uiPriority w:val="0"/>
    <w:rPr>
      <w:rFonts w:hint="default" w:ascii="Calibri" w:hAnsi="Calibri" w:cs="Calibri"/>
      <w:b/>
      <w:bCs/>
      <w:color w:val="000000"/>
      <w:sz w:val="28"/>
      <w:szCs w:val="28"/>
      <w:u w:val="none"/>
    </w:rPr>
  </w:style>
  <w:style w:type="character" w:customStyle="1" w:styleId="95">
    <w:name w:val="font51"/>
    <w:basedOn w:val="27"/>
    <w:qFormat/>
    <w:uiPriority w:val="0"/>
    <w:rPr>
      <w:rFonts w:hint="eastAsia" w:ascii="宋体" w:hAnsi="宋体" w:eastAsia="宋体" w:cs="宋体"/>
      <w:b/>
      <w:bCs/>
      <w:color w:val="000000"/>
      <w:sz w:val="28"/>
      <w:szCs w:val="28"/>
      <w:u w:val="none"/>
    </w:rPr>
  </w:style>
  <w:style w:type="paragraph" w:customStyle="1" w:styleId="96">
    <w:name w:val="样式 首行缩进:  2 字符"/>
    <w:basedOn w:val="1"/>
    <w:qFormat/>
    <w:uiPriority w:val="0"/>
    <w:pPr>
      <w:spacing w:line="400" w:lineRule="exact"/>
      <w:ind w:firstLine="200" w:firstLineChars="200"/>
    </w:pPr>
    <w:rPr>
      <w:rFonts w:ascii="Times New Roman" w:hAnsi="Times New Roman" w:eastAsia="宋体" w:cs="宋体"/>
      <w:sz w:val="24"/>
    </w:rPr>
  </w:style>
  <w:style w:type="paragraph" w:customStyle="1" w:styleId="97">
    <w:name w:val="Table Paragraph"/>
    <w:basedOn w:val="1"/>
    <w:qFormat/>
    <w:uiPriority w:val="0"/>
    <w:pPr>
      <w:autoSpaceDE w:val="0"/>
      <w:autoSpaceDN w:val="0"/>
      <w:adjustRightInd w:val="0"/>
      <w:jc w:val="left"/>
    </w:pPr>
    <w:rPr>
      <w:rFonts w:ascii="Times New Roman" w:hAnsi="Times New Roman" w:eastAsia="宋体" w:cs="Times New Roman"/>
      <w:kern w:val="0"/>
      <w:sz w:val="24"/>
      <w:szCs w:val="24"/>
    </w:rPr>
  </w:style>
  <w:style w:type="paragraph" w:customStyle="1" w:styleId="98">
    <w:name w:val="Table Text"/>
    <w:basedOn w:val="1"/>
    <w:semiHidden/>
    <w:qFormat/>
    <w:uiPriority w:val="0"/>
    <w:rPr>
      <w:rFonts w:ascii="宋体" w:hAnsi="宋体" w:eastAsia="宋体" w:cs="宋体"/>
      <w:sz w:val="22"/>
      <w:szCs w:val="22"/>
      <w:lang w:val="en-US" w:eastAsia="en-US" w:bidi="ar-SA"/>
    </w:rPr>
  </w:style>
  <w:style w:type="table" w:customStyle="1" w:styleId="99">
    <w:name w:val="Table Normal"/>
    <w:semiHidden/>
    <w:unhideWhenUsed/>
    <w:qFormat/>
    <w:uiPriority w:val="0"/>
    <w:tblPr>
      <w:tblCellMar>
        <w:top w:w="0" w:type="dxa"/>
        <w:left w:w="0" w:type="dxa"/>
        <w:bottom w:w="0" w:type="dxa"/>
        <w:right w:w="0" w:type="dxa"/>
      </w:tblCellMar>
    </w:tblPr>
  </w:style>
  <w:style w:type="paragraph" w:customStyle="1" w:styleId="100">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theme" Target="theme/theme1.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25818</Words>
  <Characters>27148</Characters>
  <Lines>0</Lines>
  <Paragraphs>0</Paragraphs>
  <TotalTime>0</TotalTime>
  <ScaleCrop>false</ScaleCrop>
  <LinksUpToDate>false</LinksUpToDate>
  <CharactersWithSpaces>43195</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2019-08-30T06:02:00Z</dcterms:created>
  <dc:creator>Administrator</dc:creator>
  <cp:lastModifiedBy>peng</cp:lastModifiedBy>
  <cp:lastPrinted>2023-07-12T06:43:00Z</cp:lastPrinted>
  <dcterms:modified xsi:type="dcterms:W3CDTF">2026-08-13T01:52:16Z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EAFF3058DAA04720907101AD9D846D1D_13</vt:lpwstr>
  </property>
  <property fmtid="{D5CDD505-2E9C-101B-9397-08002B2CF9AE}" pid="4" name="KSOTemplateDocerSaveRecord">
    <vt:lpwstr>eyJoZGlkIjoiYjI5NTk2NjM2NmVhNzJkMTBmMTMzN2U2MGZhYjA0ZDciLCJ1c2VySWQiOiI1MjI5MDA1NjAifQ==</vt:lpwstr>
  </property>
</Properties>
</file>