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CBB03">
      <w:pPr>
        <w:adjustRightInd w:val="0"/>
        <w:snapToGrid w:val="0"/>
        <w:spacing w:line="360" w:lineRule="auto"/>
        <w:jc w:val="right"/>
        <w:rPr>
          <w:rFonts w:ascii="宋体" w:cs="Times New Roman"/>
          <w:b/>
          <w:bCs/>
          <w:color w:val="auto"/>
          <w:sz w:val="30"/>
          <w:szCs w:val="30"/>
        </w:rPr>
      </w:pPr>
      <w:bookmarkStart w:id="0" w:name="OLE_LINK9"/>
      <w:bookmarkStart w:id="114" w:name="_GoBack"/>
      <w:bookmarkEnd w:id="114"/>
      <w:r>
        <w:rPr>
          <w:rFonts w:hint="eastAsia" w:ascii="宋体" w:hAnsi="宋体" w:cs="宋体"/>
          <w:b/>
          <w:bCs/>
          <w:color w:val="auto"/>
          <w:sz w:val="30"/>
          <w:szCs w:val="30"/>
        </w:rPr>
        <w:t>政府采购项目</w:t>
      </w:r>
    </w:p>
    <w:p w14:paraId="6A4CAE50">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2"/>
          <w:szCs w:val="32"/>
          <w:lang w:eastAsia="zh-CN"/>
        </w:rPr>
        <w:t>项目编号：AKSH2026-ZCS-086</w:t>
      </w:r>
      <w:r>
        <w:rPr>
          <w:rFonts w:hint="eastAsia" w:ascii="宋体" w:cs="Times New Roman"/>
          <w:b/>
          <w:bCs/>
          <w:color w:val="auto"/>
          <w:sz w:val="44"/>
          <w:szCs w:val="44"/>
        </w:rPr>
        <w:tab/>
      </w:r>
    </w:p>
    <w:p w14:paraId="6F47915C">
      <w:pPr>
        <w:pStyle w:val="11"/>
        <w:rPr>
          <w:color w:val="auto"/>
        </w:rPr>
      </w:pPr>
    </w:p>
    <w:p w14:paraId="37A32AF2">
      <w:pPr>
        <w:pStyle w:val="11"/>
        <w:rPr>
          <w:color w:val="auto"/>
        </w:rPr>
      </w:pPr>
    </w:p>
    <w:p w14:paraId="79903E40">
      <w:pPr>
        <w:pStyle w:val="20"/>
        <w:keepNext w:val="0"/>
        <w:keepLines w:val="0"/>
        <w:pageBreakBefore w:val="0"/>
        <w:widowControl w:val="0"/>
        <w:kinsoku/>
        <w:wordWrap/>
        <w:overflowPunct/>
        <w:topLinePunct w:val="0"/>
        <w:autoSpaceDE/>
        <w:autoSpaceDN/>
        <w:bidi w:val="0"/>
        <w:adjustRightInd/>
        <w:snapToGrid w:val="0"/>
        <w:spacing w:before="268" w:beforeLines="80" w:line="700" w:lineRule="exact"/>
        <w:jc w:val="center"/>
        <w:textAlignment w:val="auto"/>
        <w:rPr>
          <w:rFonts w:hint="default" w:ascii="宋体" w:hAnsi="宋体" w:eastAsia="宋体" w:cs="宋体"/>
          <w:b/>
          <w:bCs/>
          <w:color w:val="auto"/>
          <w:kern w:val="2"/>
          <w:sz w:val="56"/>
          <w:szCs w:val="56"/>
          <w:lang w:val="en-US" w:eastAsia="zh-CN" w:bidi="ar-SA"/>
        </w:rPr>
      </w:pPr>
      <w:r>
        <w:rPr>
          <w:rFonts w:hint="default" w:ascii="宋体" w:hAnsi="宋体" w:eastAsia="宋体" w:cs="宋体"/>
          <w:b/>
          <w:bCs/>
          <w:color w:val="auto"/>
          <w:kern w:val="2"/>
          <w:sz w:val="56"/>
          <w:szCs w:val="56"/>
          <w:lang w:val="en-US" w:eastAsia="zh-CN" w:bidi="ar-SA"/>
        </w:rPr>
        <w:t>陕西省 2026 职业技能大赛安康市展馆展示和技能表演（绝技绝活）项目</w:t>
      </w:r>
    </w:p>
    <w:p w14:paraId="3DEBAA8A">
      <w:pPr>
        <w:pStyle w:val="20"/>
        <w:jc w:val="center"/>
        <w:rPr>
          <w:rFonts w:hint="default"/>
          <w:color w:val="auto"/>
          <w:lang w:val="en-US"/>
        </w:rPr>
      </w:pPr>
    </w:p>
    <w:p w14:paraId="0F5EC295">
      <w:pPr>
        <w:pStyle w:val="20"/>
        <w:rPr>
          <w:color w:val="auto"/>
        </w:rPr>
      </w:pPr>
    </w:p>
    <w:p w14:paraId="28137793">
      <w:pPr>
        <w:pStyle w:val="20"/>
        <w:rPr>
          <w:color w:val="auto"/>
        </w:rPr>
      </w:pPr>
    </w:p>
    <w:p w14:paraId="4634BCB9">
      <w:pPr>
        <w:pStyle w:val="20"/>
        <w:rPr>
          <w:color w:val="auto"/>
        </w:rPr>
      </w:pPr>
    </w:p>
    <w:p w14:paraId="73B1E329">
      <w:pPr>
        <w:pStyle w:val="20"/>
        <w:rPr>
          <w:color w:val="auto"/>
        </w:rPr>
      </w:pPr>
    </w:p>
    <w:p w14:paraId="1B5769BB">
      <w:pPr>
        <w:pStyle w:val="20"/>
        <w:rPr>
          <w:color w:val="auto"/>
        </w:rPr>
      </w:pPr>
    </w:p>
    <w:p w14:paraId="7CD931C9">
      <w:pPr>
        <w:pStyle w:val="20"/>
        <w:rPr>
          <w:color w:val="auto"/>
        </w:rPr>
      </w:pPr>
    </w:p>
    <w:p w14:paraId="4AB04932">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599474" cy="1157901"/>
                    </a:xfrm>
                    <a:prstGeom prst="rect">
                      <a:avLst/>
                    </a:prstGeom>
                  </pic:spPr>
                </pic:pic>
              </a:graphicData>
            </a:graphic>
          </wp:anchor>
        </w:drawing>
      </w:r>
      <w:r>
        <w:rPr>
          <w:rFonts w:hint="eastAsia" w:ascii="宋体" w:cs="Times New Roman"/>
          <w:b/>
          <w:bCs/>
          <w:color w:val="auto"/>
          <w:sz w:val="52"/>
          <w:szCs w:val="52"/>
        </w:rPr>
        <w:t xml:space="preserve"> </w:t>
      </w:r>
    </w:p>
    <w:p w14:paraId="7BA40A56">
      <w:pPr>
        <w:adjustRightInd w:val="0"/>
        <w:snapToGrid w:val="0"/>
        <w:spacing w:line="360" w:lineRule="auto"/>
        <w:jc w:val="left"/>
        <w:rPr>
          <w:rFonts w:hint="eastAsia" w:ascii="宋体" w:cs="Times New Roman"/>
          <w:b/>
          <w:bCs/>
          <w:color w:val="auto"/>
          <w:sz w:val="52"/>
          <w:szCs w:val="52"/>
        </w:rPr>
      </w:pPr>
      <w:r>
        <w:rPr>
          <w:rFonts w:hint="eastAsia" w:ascii="宋体" w:cs="Times New Roman"/>
          <w:b/>
          <w:bCs/>
          <w:color w:val="auto"/>
          <w:sz w:val="52"/>
          <w:szCs w:val="52"/>
        </w:rPr>
        <w:t xml:space="preserve">          </w:t>
      </w:r>
    </w:p>
    <w:p w14:paraId="0A9798BC">
      <w:pPr>
        <w:pStyle w:val="11"/>
        <w:rPr>
          <w:color w:val="auto"/>
        </w:rPr>
      </w:pPr>
    </w:p>
    <w:p w14:paraId="62BE3946">
      <w:pPr>
        <w:tabs>
          <w:tab w:val="left" w:pos="0"/>
        </w:tabs>
        <w:adjustRightInd w:val="0"/>
        <w:snapToGrid w:val="0"/>
        <w:spacing w:line="360" w:lineRule="auto"/>
        <w:ind w:firstLine="2811" w:firstLineChars="500"/>
        <w:rPr>
          <w:rFonts w:hint="eastAsia" w:ascii="宋体" w:hAnsi="宋体" w:cs="宋体"/>
          <w:b/>
          <w:bCs/>
          <w:color w:val="auto"/>
          <w:sz w:val="56"/>
          <w:szCs w:val="56"/>
        </w:rPr>
      </w:pPr>
    </w:p>
    <w:p w14:paraId="5ABB4DDD">
      <w:pPr>
        <w:tabs>
          <w:tab w:val="left" w:pos="0"/>
        </w:tabs>
        <w:adjustRightInd w:val="0"/>
        <w:snapToGrid w:val="0"/>
        <w:spacing w:line="360" w:lineRule="auto"/>
        <w:ind w:firstLine="2811" w:firstLineChars="500"/>
        <w:rPr>
          <w:rFonts w:ascii="宋体" w:hAnsi="宋体" w:cs="宋体"/>
          <w:b/>
          <w:bCs/>
          <w:color w:val="auto"/>
          <w:sz w:val="56"/>
          <w:szCs w:val="56"/>
        </w:rPr>
      </w:pPr>
      <w:r>
        <w:rPr>
          <w:rFonts w:hint="eastAsia" w:ascii="宋体" w:hAnsi="宋体" w:cs="宋体"/>
          <w:b/>
          <w:bCs/>
          <w:color w:val="auto"/>
          <w:sz w:val="56"/>
          <w:szCs w:val="56"/>
        </w:rPr>
        <w:t>竞争性磋商文件</w:t>
      </w:r>
    </w:p>
    <w:p w14:paraId="06ACC4DA">
      <w:pPr>
        <w:pStyle w:val="20"/>
        <w:rPr>
          <w:color w:val="auto"/>
        </w:rPr>
      </w:pPr>
    </w:p>
    <w:p w14:paraId="06EA8B86">
      <w:pPr>
        <w:pStyle w:val="20"/>
        <w:rPr>
          <w:color w:val="auto"/>
        </w:rPr>
      </w:pPr>
    </w:p>
    <w:p w14:paraId="44F4A091">
      <w:pPr>
        <w:pStyle w:val="20"/>
        <w:rPr>
          <w:color w:val="auto"/>
        </w:rPr>
      </w:pPr>
    </w:p>
    <w:p w14:paraId="78C9CDD7">
      <w:pPr>
        <w:pStyle w:val="20"/>
        <w:rPr>
          <w:color w:val="auto"/>
        </w:rPr>
      </w:pPr>
    </w:p>
    <w:p w14:paraId="5F27DA37">
      <w:pPr>
        <w:pStyle w:val="20"/>
        <w:tabs>
          <w:tab w:val="left" w:pos="6465"/>
          <w:tab w:val="clear" w:pos="4153"/>
        </w:tabs>
        <w:rPr>
          <w:rFonts w:hint="eastAsia" w:eastAsia="宋体"/>
          <w:color w:val="auto"/>
          <w:lang w:eastAsia="zh-CN"/>
        </w:rPr>
      </w:pPr>
      <w:r>
        <w:rPr>
          <w:rFonts w:hint="eastAsia"/>
          <w:color w:val="auto"/>
          <w:lang w:eastAsia="zh-CN"/>
        </w:rPr>
        <w:tab/>
      </w:r>
    </w:p>
    <w:p w14:paraId="31948178">
      <w:pPr>
        <w:pStyle w:val="20"/>
        <w:rPr>
          <w:color w:val="auto"/>
        </w:rPr>
      </w:pPr>
    </w:p>
    <w:p w14:paraId="0A9D1EC7">
      <w:pPr>
        <w:keepNext w:val="0"/>
        <w:keepLines w:val="0"/>
        <w:pageBreakBefore w:val="0"/>
        <w:widowControl w:val="0"/>
        <w:tabs>
          <w:tab w:val="left" w:pos="1908"/>
        </w:tabs>
        <w:kinsoku/>
        <w:wordWrap/>
        <w:overflowPunct/>
        <w:topLinePunct w:val="0"/>
        <w:autoSpaceDE/>
        <w:autoSpaceDN/>
        <w:bidi w:val="0"/>
        <w:adjustRightInd w:val="0"/>
        <w:snapToGrid w:val="0"/>
        <w:spacing w:line="720" w:lineRule="auto"/>
        <w:jc w:val="center"/>
        <w:textAlignment w:val="auto"/>
        <w:rPr>
          <w:rFonts w:hint="eastAsia"/>
          <w:color w:val="auto"/>
          <w:sz w:val="22"/>
          <w:szCs w:val="22"/>
        </w:rPr>
      </w:pPr>
      <w:r>
        <w:rPr>
          <w:rFonts w:hint="eastAsia" w:ascii="宋体" w:hAnsi="宋体" w:cs="宋体"/>
          <w:b/>
          <w:bCs/>
          <w:color w:val="auto"/>
          <w:sz w:val="32"/>
          <w:szCs w:val="32"/>
        </w:rPr>
        <w:t>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人：</w:t>
      </w:r>
      <w:r>
        <w:rPr>
          <w:rFonts w:hint="eastAsia" w:ascii="宋体" w:hAnsi="宋体" w:cs="宋体"/>
          <w:b/>
          <w:bCs/>
          <w:color w:val="000000" w:themeColor="text1"/>
          <w:sz w:val="32"/>
          <w:szCs w:val="32"/>
          <w:lang w:val="en-US" w:eastAsia="zh-CN"/>
          <w14:textFill>
            <w14:solidFill>
              <w14:schemeClr w14:val="tx1"/>
            </w14:solidFill>
          </w14:textFill>
        </w:rPr>
        <w:t>安康市人力资源和社会保障局</w:t>
      </w:r>
    </w:p>
    <w:p w14:paraId="6618C29D">
      <w:pPr>
        <w:keepNext w:val="0"/>
        <w:keepLines w:val="0"/>
        <w:pageBreakBefore w:val="0"/>
        <w:widowControl w:val="0"/>
        <w:kinsoku/>
        <w:wordWrap/>
        <w:overflowPunct/>
        <w:topLinePunct w:val="0"/>
        <w:autoSpaceDE/>
        <w:autoSpaceDN/>
        <w:bidi w:val="0"/>
        <w:adjustRightInd w:val="0"/>
        <w:snapToGrid w:val="0"/>
        <w:spacing w:line="720" w:lineRule="auto"/>
        <w:ind w:firstLine="1606" w:firstLineChars="500"/>
        <w:jc w:val="left"/>
        <w:textAlignment w:val="auto"/>
        <w:rPr>
          <w:rFonts w:ascii="宋体" w:hAnsi="宋体" w:cs="宋体"/>
          <w:b/>
          <w:bCs/>
          <w:color w:val="auto"/>
          <w:sz w:val="32"/>
          <w:szCs w:val="32"/>
        </w:rPr>
      </w:pPr>
      <w:r>
        <w:rPr>
          <w:rFonts w:hint="eastAsia" w:ascii="宋体" w:hAnsi="宋体" w:cs="宋体"/>
          <w:b/>
          <w:bCs/>
          <w:color w:val="auto"/>
          <w:sz w:val="32"/>
          <w:szCs w:val="32"/>
        </w:rPr>
        <w:t>代理机构：安康尚昊招标代理有限公司</w:t>
      </w:r>
    </w:p>
    <w:p w14:paraId="5ECF79F1">
      <w:pPr>
        <w:keepNext w:val="0"/>
        <w:keepLines w:val="0"/>
        <w:pageBreakBefore w:val="0"/>
        <w:widowControl w:val="0"/>
        <w:kinsoku/>
        <w:wordWrap/>
        <w:overflowPunct/>
        <w:topLinePunct w:val="0"/>
        <w:autoSpaceDE/>
        <w:autoSpaceDN/>
        <w:bidi w:val="0"/>
        <w:adjustRightInd w:val="0"/>
        <w:snapToGrid w:val="0"/>
        <w:spacing w:line="480" w:lineRule="auto"/>
        <w:ind w:firstLine="1606" w:firstLineChars="500"/>
        <w:jc w:val="left"/>
        <w:textAlignment w:val="auto"/>
        <w:rPr>
          <w:rFonts w:hint="eastAsia" w:ascii="宋体" w:eastAsia="宋体" w:cs="Times New Roman"/>
          <w:b/>
          <w:bCs/>
          <w:color w:val="auto"/>
          <w:sz w:val="30"/>
          <w:szCs w:val="30"/>
          <w:lang w:eastAsia="zh-CN"/>
        </w:rPr>
        <w:sectPr>
          <w:headerReference r:id="rId4" w:type="first"/>
          <w:headerReference r:id="rId3" w:type="default"/>
          <w:footerReference r:id="rId5" w:type="default"/>
          <w:pgSz w:w="11906" w:h="16838"/>
          <w:pgMar w:top="1417" w:right="1417" w:bottom="1417" w:left="1417" w:header="850" w:footer="992" w:gutter="0"/>
          <w:cols w:space="0" w:num="1"/>
          <w:titlePg/>
          <w:rtlGutter w:val="0"/>
          <w:docGrid w:type="lines" w:linePitch="333" w:charSpace="0"/>
        </w:sectPr>
      </w:pPr>
      <w:r>
        <w:rPr>
          <w:rFonts w:hint="eastAsia" w:ascii="宋体" w:hAnsi="宋体" w:cs="宋体"/>
          <w:b/>
          <w:bCs/>
          <w:color w:val="auto"/>
          <w:sz w:val="32"/>
          <w:szCs w:val="32"/>
          <w:lang w:val="en-US" w:eastAsia="zh-CN"/>
        </w:rPr>
        <w:t>时    间：</w:t>
      </w:r>
      <w:r>
        <w:rPr>
          <w:rFonts w:hint="eastAsia" w:ascii="宋体" w:hAnsi="宋体" w:cs="宋体"/>
          <w:b/>
          <w:bCs/>
          <w:color w:val="auto"/>
          <w:sz w:val="32"/>
          <w:szCs w:val="32"/>
          <w:lang w:eastAsia="zh-CN"/>
        </w:rPr>
        <w:t>二〇二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lang w:eastAsia="zh-CN"/>
        </w:rPr>
        <w:t>年</w:t>
      </w:r>
      <w:r>
        <w:rPr>
          <w:rFonts w:hint="eastAsia" w:ascii="宋体" w:hAnsi="宋体" w:cs="宋体"/>
          <w:b/>
          <w:bCs/>
          <w:color w:val="auto"/>
          <w:sz w:val="32"/>
          <w:szCs w:val="32"/>
          <w:lang w:val="en-US" w:eastAsia="zh-CN"/>
        </w:rPr>
        <w:t>八</w:t>
      </w:r>
      <w:r>
        <w:rPr>
          <w:rFonts w:hint="eastAsia" w:ascii="宋体" w:hAnsi="宋体" w:cs="宋体"/>
          <w:b/>
          <w:bCs/>
          <w:color w:val="auto"/>
          <w:sz w:val="32"/>
          <w:szCs w:val="32"/>
          <w:lang w:eastAsia="zh-CN"/>
        </w:rPr>
        <w:t>月</w:t>
      </w:r>
    </w:p>
    <w:p w14:paraId="3068AD59">
      <w:pPr>
        <w:pStyle w:val="22"/>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5CF517A5">
      <w:pPr>
        <w:pStyle w:val="22"/>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268" w:beforeLines="80" w:after="0" w:line="480" w:lineRule="exact"/>
        <w:jc w:val="center"/>
        <w:textAlignment w:val="auto"/>
        <w:rPr>
          <w:rFonts w:ascii="宋体" w:hAnsi="宋体" w:cs="宋体"/>
          <w:b w:val="0"/>
          <w:bCs w:val="0"/>
          <w:color w:val="auto"/>
          <w:sz w:val="48"/>
          <w:szCs w:val="52"/>
        </w:rPr>
      </w:pPr>
      <w:r>
        <w:rPr>
          <w:rFonts w:hint="eastAsia" w:ascii="宋体" w:hAnsi="宋体" w:cs="宋体"/>
          <w:b/>
          <w:bCs/>
          <w:color w:val="auto"/>
          <w:sz w:val="56"/>
          <w:szCs w:val="60"/>
        </w:rPr>
        <w:t xml:space="preserve">目 </w:t>
      </w:r>
      <w:r>
        <w:rPr>
          <w:rFonts w:ascii="宋体" w:hAnsi="宋体" w:cs="宋体"/>
          <w:b/>
          <w:bCs/>
          <w:color w:val="auto"/>
          <w:sz w:val="56"/>
          <w:szCs w:val="60"/>
        </w:rPr>
        <w:t xml:space="preserve"> </w:t>
      </w:r>
      <w:r>
        <w:rPr>
          <w:rFonts w:hint="eastAsia" w:ascii="宋体" w:hAnsi="宋体" w:cs="宋体"/>
          <w:b/>
          <w:bCs/>
          <w:color w:val="auto"/>
          <w:sz w:val="56"/>
          <w:szCs w:val="60"/>
        </w:rPr>
        <w:t>录</w:t>
      </w:r>
    </w:p>
    <w:p w14:paraId="304F0F7F">
      <w:pPr>
        <w:rPr>
          <w:color w:val="auto"/>
          <w:sz w:val="18"/>
          <w:szCs w:val="18"/>
        </w:rPr>
      </w:pPr>
    </w:p>
    <w:p w14:paraId="670182CC">
      <w:pPr>
        <w:pStyle w:val="22"/>
        <w:tabs>
          <w:tab w:val="right" w:leader="dot" w:pos="9072"/>
        </w:tabs>
        <w:rPr>
          <w:b w:val="0"/>
          <w:bCs w:val="0"/>
          <w:sz w:val="28"/>
          <w:szCs w:val="28"/>
        </w:rPr>
      </w:pPr>
      <w:bookmarkStart w:id="1" w:name="_Toc536429369"/>
      <w:bookmarkStart w:id="2" w:name="_Toc536202376"/>
      <w:bookmarkStart w:id="3" w:name="_Toc536202282"/>
      <w:bookmarkStart w:id="4" w:name="_Toc19543333"/>
      <w:bookmarkStart w:id="5" w:name="OLE_LINK3"/>
      <w:bookmarkStart w:id="6" w:name="_Toc30089"/>
      <w:bookmarkStart w:id="7" w:name="_Toc438048787"/>
      <w:r>
        <w:rPr>
          <w:rFonts w:hint="eastAsia" w:ascii="宋体" w:hAnsi="宋体" w:eastAsia="宋体" w:cs="宋体"/>
          <w:caps w:val="0"/>
          <w:color w:val="auto"/>
          <w:sz w:val="24"/>
          <w:szCs w:val="24"/>
        </w:rPr>
        <w:fldChar w:fldCharType="begin"/>
      </w:r>
      <w:r>
        <w:rPr>
          <w:rFonts w:hint="eastAsia" w:ascii="宋体" w:hAnsi="宋体" w:eastAsia="宋体" w:cs="宋体"/>
          <w:caps w:val="0"/>
          <w:color w:val="auto"/>
          <w:sz w:val="24"/>
          <w:szCs w:val="24"/>
        </w:rPr>
        <w:instrText xml:space="preserve"> TOC \o "1-1" \h \z \u </w:instrText>
      </w:r>
      <w:r>
        <w:rPr>
          <w:rFonts w:hint="eastAsia" w:ascii="宋体" w:hAnsi="宋体" w:eastAsia="宋体" w:cs="宋体"/>
          <w:caps w:val="0"/>
          <w:color w:val="auto"/>
          <w:sz w:val="24"/>
          <w:szCs w:val="24"/>
        </w:rPr>
        <w:fldChar w:fldCharType="separate"/>
      </w:r>
      <w:r>
        <w:rPr>
          <w:rFonts w:hint="eastAsia" w:ascii="宋体" w:hAnsi="宋体" w:eastAsia="宋体" w:cs="宋体"/>
          <w:b w:val="0"/>
          <w:bCs w:val="0"/>
          <w:caps w:val="0"/>
          <w:color w:val="auto"/>
          <w:sz w:val="28"/>
          <w:szCs w:val="40"/>
        </w:rPr>
        <w:fldChar w:fldCharType="begin"/>
      </w:r>
      <w:r>
        <w:rPr>
          <w:rFonts w:hint="eastAsia" w:ascii="宋体" w:hAnsi="宋体" w:eastAsia="宋体" w:cs="宋体"/>
          <w:b w:val="0"/>
          <w:bCs w:val="0"/>
          <w:caps w:val="0"/>
          <w:sz w:val="28"/>
          <w:szCs w:val="40"/>
        </w:rPr>
        <w:instrText xml:space="preserve"> HYPERLINK \l _Toc30779 </w:instrText>
      </w:r>
      <w:r>
        <w:rPr>
          <w:rFonts w:hint="eastAsia" w:ascii="宋体" w:hAnsi="宋体" w:eastAsia="宋体" w:cs="宋体"/>
          <w:b w:val="0"/>
          <w:bCs w:val="0"/>
          <w:caps w:val="0"/>
          <w:sz w:val="28"/>
          <w:szCs w:val="40"/>
        </w:rPr>
        <w:fldChar w:fldCharType="separate"/>
      </w:r>
      <w:r>
        <w:rPr>
          <w:rFonts w:hint="eastAsia"/>
          <w:b w:val="0"/>
          <w:bCs w:val="0"/>
          <w:sz w:val="28"/>
          <w:szCs w:val="28"/>
        </w:rPr>
        <w:t>第一部分  竞争性</w:t>
      </w:r>
      <w:r>
        <w:rPr>
          <w:b w:val="0"/>
          <w:bCs w:val="0"/>
          <w:sz w:val="28"/>
          <w:szCs w:val="28"/>
        </w:rPr>
        <w:t>磋商公告</w:t>
      </w:r>
      <w:r>
        <w:rPr>
          <w:b w:val="0"/>
          <w:bCs w:val="0"/>
          <w:sz w:val="28"/>
          <w:szCs w:val="28"/>
        </w:rPr>
        <w:tab/>
      </w:r>
      <w:r>
        <w:rPr>
          <w:b w:val="0"/>
          <w:bCs w:val="0"/>
          <w:sz w:val="28"/>
          <w:szCs w:val="28"/>
        </w:rPr>
        <w:fldChar w:fldCharType="begin"/>
      </w:r>
      <w:r>
        <w:rPr>
          <w:b w:val="0"/>
          <w:bCs w:val="0"/>
          <w:sz w:val="28"/>
          <w:szCs w:val="28"/>
        </w:rPr>
        <w:instrText xml:space="preserve"> PAGEREF _Toc30779 \h </w:instrText>
      </w:r>
      <w:r>
        <w:rPr>
          <w:b w:val="0"/>
          <w:bCs w:val="0"/>
          <w:sz w:val="28"/>
          <w:szCs w:val="28"/>
        </w:rPr>
        <w:fldChar w:fldCharType="separate"/>
      </w:r>
      <w:r>
        <w:rPr>
          <w:b w:val="0"/>
          <w:bCs w:val="0"/>
          <w:sz w:val="28"/>
          <w:szCs w:val="28"/>
        </w:rPr>
        <w:t>1</w:t>
      </w:r>
      <w:r>
        <w:rPr>
          <w:b w:val="0"/>
          <w:bCs w:val="0"/>
          <w:sz w:val="28"/>
          <w:szCs w:val="28"/>
        </w:rPr>
        <w:fldChar w:fldCharType="end"/>
      </w:r>
      <w:r>
        <w:rPr>
          <w:rFonts w:hint="eastAsia" w:ascii="宋体" w:hAnsi="宋体" w:eastAsia="宋体" w:cs="宋体"/>
          <w:b w:val="0"/>
          <w:bCs w:val="0"/>
          <w:caps w:val="0"/>
          <w:color w:val="auto"/>
          <w:sz w:val="28"/>
          <w:szCs w:val="40"/>
        </w:rPr>
        <w:fldChar w:fldCharType="end"/>
      </w:r>
    </w:p>
    <w:p w14:paraId="5991D93E">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_Toc20348 </w:instrText>
      </w:r>
      <w:r>
        <w:rPr>
          <w:rFonts w:hint="eastAsia" w:ascii="宋体" w:hAnsi="宋体" w:eastAsia="宋体" w:cs="宋体"/>
          <w:b w:val="0"/>
          <w:bCs w:val="0"/>
          <w:caps/>
          <w:kern w:val="2"/>
          <w:sz w:val="28"/>
          <w:szCs w:val="40"/>
        </w:rPr>
        <w:fldChar w:fldCharType="separate"/>
      </w:r>
      <w:r>
        <w:rPr>
          <w:rFonts w:hint="eastAsia"/>
          <w:b w:val="0"/>
          <w:bCs w:val="0"/>
          <w:sz w:val="28"/>
          <w:szCs w:val="28"/>
        </w:rPr>
        <w:t>第二部分</w:t>
      </w:r>
      <w:r>
        <w:rPr>
          <w:b w:val="0"/>
          <w:bCs w:val="0"/>
          <w:sz w:val="28"/>
          <w:szCs w:val="28"/>
        </w:rPr>
        <w:t xml:space="preserve">  </w:t>
      </w:r>
      <w:r>
        <w:rPr>
          <w:rFonts w:hint="eastAsia"/>
          <w:b w:val="0"/>
          <w:bCs w:val="0"/>
          <w:sz w:val="28"/>
          <w:szCs w:val="28"/>
        </w:rPr>
        <w:t>供应商须知前附表</w:t>
      </w:r>
      <w:r>
        <w:rPr>
          <w:b w:val="0"/>
          <w:bCs w:val="0"/>
          <w:sz w:val="28"/>
          <w:szCs w:val="28"/>
        </w:rPr>
        <w:tab/>
      </w:r>
      <w:r>
        <w:rPr>
          <w:b w:val="0"/>
          <w:bCs w:val="0"/>
          <w:sz w:val="28"/>
          <w:szCs w:val="28"/>
        </w:rPr>
        <w:fldChar w:fldCharType="begin"/>
      </w:r>
      <w:r>
        <w:rPr>
          <w:b w:val="0"/>
          <w:bCs w:val="0"/>
          <w:sz w:val="28"/>
          <w:szCs w:val="28"/>
        </w:rPr>
        <w:instrText xml:space="preserve"> PAGEREF _Toc20348 \h </w:instrText>
      </w:r>
      <w:r>
        <w:rPr>
          <w:b w:val="0"/>
          <w:bCs w:val="0"/>
          <w:sz w:val="28"/>
          <w:szCs w:val="28"/>
        </w:rPr>
        <w:fldChar w:fldCharType="separate"/>
      </w:r>
      <w:r>
        <w:rPr>
          <w:b w:val="0"/>
          <w:bCs w:val="0"/>
          <w:sz w:val="28"/>
          <w:szCs w:val="28"/>
        </w:rPr>
        <w:t>5</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4A5FBA01">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_Toc14296 </w:instrText>
      </w:r>
      <w:r>
        <w:rPr>
          <w:rFonts w:hint="eastAsia" w:ascii="宋体" w:hAnsi="宋体" w:eastAsia="宋体" w:cs="宋体"/>
          <w:b w:val="0"/>
          <w:bCs w:val="0"/>
          <w:caps/>
          <w:kern w:val="2"/>
          <w:sz w:val="28"/>
          <w:szCs w:val="40"/>
        </w:rPr>
        <w:fldChar w:fldCharType="separate"/>
      </w:r>
      <w:r>
        <w:rPr>
          <w:rFonts w:hint="eastAsia" w:ascii="宋体" w:hAnsi="宋体" w:cs="宋体"/>
          <w:b w:val="0"/>
          <w:bCs w:val="0"/>
          <w:sz w:val="28"/>
          <w:szCs w:val="28"/>
        </w:rPr>
        <w:t xml:space="preserve">第三部分 </w:t>
      </w:r>
      <w:r>
        <w:rPr>
          <w:rFonts w:ascii="宋体" w:hAnsi="宋体" w:cs="宋体"/>
          <w:b w:val="0"/>
          <w:bCs w:val="0"/>
          <w:sz w:val="28"/>
          <w:szCs w:val="28"/>
        </w:rPr>
        <w:t xml:space="preserve"> </w:t>
      </w:r>
      <w:r>
        <w:rPr>
          <w:rFonts w:hint="eastAsia" w:ascii="宋体" w:hAnsi="宋体" w:cs="宋体"/>
          <w:b w:val="0"/>
          <w:bCs w:val="0"/>
          <w:sz w:val="28"/>
          <w:szCs w:val="28"/>
        </w:rPr>
        <w:t>供应商须知</w:t>
      </w:r>
      <w:r>
        <w:rPr>
          <w:b w:val="0"/>
          <w:bCs w:val="0"/>
          <w:sz w:val="28"/>
          <w:szCs w:val="28"/>
        </w:rPr>
        <w:tab/>
      </w:r>
      <w:r>
        <w:rPr>
          <w:b w:val="0"/>
          <w:bCs w:val="0"/>
          <w:sz w:val="28"/>
          <w:szCs w:val="28"/>
        </w:rPr>
        <w:fldChar w:fldCharType="begin"/>
      </w:r>
      <w:r>
        <w:rPr>
          <w:b w:val="0"/>
          <w:bCs w:val="0"/>
          <w:sz w:val="28"/>
          <w:szCs w:val="28"/>
        </w:rPr>
        <w:instrText xml:space="preserve"> PAGEREF _Toc14296 \h </w:instrText>
      </w:r>
      <w:r>
        <w:rPr>
          <w:b w:val="0"/>
          <w:bCs w:val="0"/>
          <w:sz w:val="28"/>
          <w:szCs w:val="28"/>
        </w:rPr>
        <w:fldChar w:fldCharType="separate"/>
      </w:r>
      <w:r>
        <w:rPr>
          <w:b w:val="0"/>
          <w:bCs w:val="0"/>
          <w:sz w:val="28"/>
          <w:szCs w:val="28"/>
        </w:rPr>
        <w:t>8</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2AE90278">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_Toc8026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第四部分  </w:t>
      </w:r>
      <w:r>
        <w:rPr>
          <w:rFonts w:hint="eastAsia"/>
          <w:b w:val="0"/>
          <w:bCs w:val="0"/>
          <w:sz w:val="28"/>
          <w:szCs w:val="28"/>
        </w:rPr>
        <w:t>评分</w:t>
      </w:r>
      <w:r>
        <w:rPr>
          <w:b w:val="0"/>
          <w:bCs w:val="0"/>
          <w:sz w:val="28"/>
          <w:szCs w:val="28"/>
        </w:rPr>
        <w:t>标准</w:t>
      </w:r>
      <w:r>
        <w:rPr>
          <w:b w:val="0"/>
          <w:bCs w:val="0"/>
          <w:sz w:val="28"/>
          <w:szCs w:val="28"/>
        </w:rPr>
        <w:tab/>
      </w:r>
      <w:r>
        <w:rPr>
          <w:b w:val="0"/>
          <w:bCs w:val="0"/>
          <w:sz w:val="28"/>
          <w:szCs w:val="28"/>
        </w:rPr>
        <w:fldChar w:fldCharType="begin"/>
      </w:r>
      <w:r>
        <w:rPr>
          <w:b w:val="0"/>
          <w:bCs w:val="0"/>
          <w:sz w:val="28"/>
          <w:szCs w:val="28"/>
        </w:rPr>
        <w:instrText xml:space="preserve"> PAGEREF _Toc8026 \h </w:instrText>
      </w:r>
      <w:r>
        <w:rPr>
          <w:b w:val="0"/>
          <w:bCs w:val="0"/>
          <w:sz w:val="28"/>
          <w:szCs w:val="28"/>
        </w:rPr>
        <w:fldChar w:fldCharType="separate"/>
      </w:r>
      <w:r>
        <w:rPr>
          <w:b w:val="0"/>
          <w:bCs w:val="0"/>
          <w:sz w:val="28"/>
          <w:szCs w:val="28"/>
        </w:rPr>
        <w:t>24</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20B036E0">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_Toc1603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第五部分  </w:t>
      </w:r>
      <w:r>
        <w:rPr>
          <w:rFonts w:hint="eastAsia" w:eastAsia="宋体"/>
          <w:b w:val="0"/>
          <w:bCs w:val="0"/>
          <w:sz w:val="28"/>
          <w:szCs w:val="28"/>
        </w:rPr>
        <w:t>采购内容及</w:t>
      </w:r>
      <w:r>
        <w:rPr>
          <w:rFonts w:hint="eastAsia" w:eastAsia="宋体"/>
          <w:b w:val="0"/>
          <w:bCs w:val="0"/>
          <w:sz w:val="28"/>
          <w:szCs w:val="28"/>
          <w:lang w:eastAsia="zh-CN"/>
        </w:rPr>
        <w:t>要求</w:t>
      </w:r>
      <w:r>
        <w:rPr>
          <w:b w:val="0"/>
          <w:bCs w:val="0"/>
          <w:sz w:val="28"/>
          <w:szCs w:val="28"/>
        </w:rPr>
        <w:tab/>
      </w:r>
      <w:r>
        <w:rPr>
          <w:b w:val="0"/>
          <w:bCs w:val="0"/>
          <w:sz w:val="28"/>
          <w:szCs w:val="28"/>
        </w:rPr>
        <w:fldChar w:fldCharType="begin"/>
      </w:r>
      <w:r>
        <w:rPr>
          <w:b w:val="0"/>
          <w:bCs w:val="0"/>
          <w:sz w:val="28"/>
          <w:szCs w:val="28"/>
        </w:rPr>
        <w:instrText xml:space="preserve"> PAGEREF _Toc1603 \h </w:instrText>
      </w:r>
      <w:r>
        <w:rPr>
          <w:b w:val="0"/>
          <w:bCs w:val="0"/>
          <w:sz w:val="28"/>
          <w:szCs w:val="28"/>
        </w:rPr>
        <w:fldChar w:fldCharType="separate"/>
      </w:r>
      <w:r>
        <w:rPr>
          <w:b w:val="0"/>
          <w:bCs w:val="0"/>
          <w:sz w:val="28"/>
          <w:szCs w:val="28"/>
        </w:rPr>
        <w:t>28</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774AD026">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_Toc7576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第六部分 </w:t>
      </w:r>
      <w:r>
        <w:rPr>
          <w:rFonts w:hint="eastAsia" w:eastAsia="宋体"/>
          <w:b w:val="0"/>
          <w:bCs w:val="0"/>
          <w:sz w:val="28"/>
          <w:szCs w:val="28"/>
        </w:rPr>
        <w:t xml:space="preserve"> 合同主要条款</w:t>
      </w:r>
      <w:r>
        <w:rPr>
          <w:b w:val="0"/>
          <w:bCs w:val="0"/>
          <w:sz w:val="28"/>
          <w:szCs w:val="28"/>
        </w:rPr>
        <w:tab/>
      </w:r>
      <w:r>
        <w:rPr>
          <w:b w:val="0"/>
          <w:bCs w:val="0"/>
          <w:sz w:val="28"/>
          <w:szCs w:val="28"/>
        </w:rPr>
        <w:fldChar w:fldCharType="begin"/>
      </w:r>
      <w:r>
        <w:rPr>
          <w:b w:val="0"/>
          <w:bCs w:val="0"/>
          <w:sz w:val="28"/>
          <w:szCs w:val="28"/>
        </w:rPr>
        <w:instrText xml:space="preserve"> PAGEREF _Toc7576 \h </w:instrText>
      </w:r>
      <w:r>
        <w:rPr>
          <w:b w:val="0"/>
          <w:bCs w:val="0"/>
          <w:sz w:val="28"/>
          <w:szCs w:val="28"/>
        </w:rPr>
        <w:fldChar w:fldCharType="separate"/>
      </w:r>
      <w:r>
        <w:rPr>
          <w:b w:val="0"/>
          <w:bCs w:val="0"/>
          <w:sz w:val="28"/>
          <w:szCs w:val="28"/>
        </w:rPr>
        <w:t>31</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34B0063B">
      <w:pPr>
        <w:pStyle w:val="22"/>
        <w:tabs>
          <w:tab w:val="right" w:leader="dot" w:pos="9072"/>
        </w:tabs>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_Toc22897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第七部分 </w:t>
      </w:r>
      <w:r>
        <w:rPr>
          <w:rFonts w:hint="eastAsia" w:eastAsia="宋体"/>
          <w:b w:val="0"/>
          <w:bCs w:val="0"/>
          <w:sz w:val="28"/>
          <w:szCs w:val="28"/>
        </w:rPr>
        <w:t xml:space="preserve"> 响应文件格式</w:t>
      </w:r>
      <w:r>
        <w:rPr>
          <w:b w:val="0"/>
          <w:bCs w:val="0"/>
          <w:sz w:val="28"/>
          <w:szCs w:val="28"/>
        </w:rPr>
        <w:tab/>
      </w:r>
      <w:r>
        <w:rPr>
          <w:b w:val="0"/>
          <w:bCs w:val="0"/>
          <w:sz w:val="28"/>
          <w:szCs w:val="28"/>
        </w:rPr>
        <w:fldChar w:fldCharType="begin"/>
      </w:r>
      <w:r>
        <w:rPr>
          <w:b w:val="0"/>
          <w:bCs w:val="0"/>
          <w:sz w:val="28"/>
          <w:szCs w:val="28"/>
        </w:rPr>
        <w:instrText xml:space="preserve"> PAGEREF _Toc22897 \h </w:instrText>
      </w:r>
      <w:r>
        <w:rPr>
          <w:b w:val="0"/>
          <w:bCs w:val="0"/>
          <w:sz w:val="28"/>
          <w:szCs w:val="28"/>
        </w:rPr>
        <w:fldChar w:fldCharType="separate"/>
      </w:r>
      <w:r>
        <w:rPr>
          <w:b w:val="0"/>
          <w:bCs w:val="0"/>
          <w:sz w:val="28"/>
          <w:szCs w:val="28"/>
        </w:rPr>
        <w:t>36</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3C198959">
      <w:pPr>
        <w:pStyle w:val="2"/>
        <w:pageBreakBefore w:val="0"/>
        <w:widowControl w:val="0"/>
        <w:tabs>
          <w:tab w:val="left" w:pos="206"/>
        </w:tabs>
        <w:kinsoku/>
        <w:wordWrap/>
        <w:overflowPunct/>
        <w:topLinePunct w:val="0"/>
        <w:autoSpaceDE/>
        <w:autoSpaceDN/>
        <w:bidi w:val="0"/>
        <w:adjustRightInd/>
        <w:snapToGrid/>
        <w:spacing w:line="360" w:lineRule="auto"/>
        <w:jc w:val="left"/>
        <w:textAlignment w:val="auto"/>
        <w:rPr>
          <w:rFonts w:hint="eastAsia" w:ascii="宋体" w:hAnsi="宋体" w:eastAsia="宋体" w:cs="宋体"/>
          <w:caps/>
          <w:color w:val="auto"/>
          <w:kern w:val="2"/>
          <w:sz w:val="24"/>
          <w:szCs w:val="24"/>
        </w:rPr>
      </w:pPr>
      <w:r>
        <w:rPr>
          <w:rFonts w:hint="eastAsia" w:ascii="宋体" w:hAnsi="宋体" w:eastAsia="宋体" w:cs="宋体"/>
          <w:caps/>
          <w:color w:val="auto"/>
          <w:kern w:val="2"/>
          <w:szCs w:val="24"/>
        </w:rPr>
        <w:fldChar w:fldCharType="end"/>
      </w:r>
    </w:p>
    <w:p w14:paraId="01DA3D37">
      <w:pPr>
        <w:bidi w:val="0"/>
      </w:pPr>
    </w:p>
    <w:p w14:paraId="2954CFA0">
      <w:pPr>
        <w:tabs>
          <w:tab w:val="left" w:pos="5228"/>
        </w:tabs>
        <w:bidi w:val="0"/>
        <w:jc w:val="left"/>
        <w:rPr>
          <w:rFonts w:hint="eastAsia" w:eastAsia="宋体"/>
          <w:lang w:eastAsia="zh-CN"/>
        </w:rPr>
        <w:sectPr>
          <w:headerReference r:id="rId7" w:type="first"/>
          <w:footerReference r:id="rId9" w:type="first"/>
          <w:headerReference r:id="rId6" w:type="default"/>
          <w:footerReference r:id="rId8" w:type="default"/>
          <w:pgSz w:w="11906" w:h="16838"/>
          <w:pgMar w:top="1417" w:right="1417" w:bottom="1417" w:left="1417" w:header="1134" w:footer="992" w:gutter="0"/>
          <w:pgNumType w:fmt="decimal" w:start="1"/>
          <w:cols w:space="0" w:num="1"/>
          <w:titlePg/>
          <w:rtlGutter w:val="0"/>
          <w:docGrid w:type="lines" w:linePitch="333" w:charSpace="0"/>
        </w:sectPr>
      </w:pPr>
      <w:r>
        <w:rPr>
          <w:rFonts w:hint="eastAsia"/>
          <w:lang w:eastAsia="zh-CN"/>
        </w:rPr>
        <w:tab/>
      </w:r>
    </w:p>
    <w:p w14:paraId="3455E34C">
      <w:pPr>
        <w:pStyle w:val="2"/>
        <w:pageBreakBefore w:val="0"/>
        <w:widowControl w:val="0"/>
        <w:tabs>
          <w:tab w:val="left" w:pos="206"/>
        </w:tabs>
        <w:kinsoku/>
        <w:wordWrap/>
        <w:overflowPunct/>
        <w:topLinePunct w:val="0"/>
        <w:autoSpaceDE/>
        <w:autoSpaceDN/>
        <w:bidi w:val="0"/>
        <w:adjustRightInd/>
        <w:snapToGrid/>
        <w:spacing w:line="360" w:lineRule="auto"/>
        <w:jc w:val="center"/>
        <w:textAlignment w:val="auto"/>
        <w:rPr>
          <w:color w:val="auto"/>
        </w:rPr>
      </w:pPr>
      <w:bookmarkStart w:id="8" w:name="_Toc30779"/>
      <w:r>
        <w:rPr>
          <w:rFonts w:hint="eastAsia"/>
          <w:color w:val="auto"/>
        </w:rPr>
        <w:t xml:space="preserve">第一部分  </w:t>
      </w:r>
      <w:bookmarkStart w:id="9" w:name="OLE_LINK1"/>
      <w:bookmarkStart w:id="10" w:name="OLE_LINK4"/>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36429370"/>
      <w:bookmarkStart w:id="12" w:name="_Toc536202283"/>
      <w:bookmarkStart w:id="13" w:name="_Toc5018"/>
      <w:bookmarkStart w:id="14" w:name="_Toc536429317"/>
      <w:bookmarkStart w:id="15" w:name="_Toc536202377"/>
      <w:r>
        <w:rPr>
          <w:rStyle w:val="38"/>
          <w:rFonts w:hint="eastAsia" w:ascii="宋体" w:hAnsi="宋体" w:eastAsia="宋体" w:cs="宋体"/>
          <w:b/>
          <w:bCs/>
          <w:i w:val="0"/>
          <w:iCs w:val="0"/>
          <w:caps w:val="0"/>
          <w:color w:val="auto"/>
          <w:spacing w:val="0"/>
          <w:sz w:val="24"/>
          <w:szCs w:val="24"/>
          <w:shd w:val="clear" w:fill="FFFFFF"/>
        </w:rPr>
        <w:t>项目概况</w:t>
      </w:r>
    </w:p>
    <w:p w14:paraId="2DEC2EC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陕西省 2026 职业技能大赛安康市展馆展示和技能表演（绝技绝活）项目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w:t>
      </w:r>
      <w:r>
        <w:rPr>
          <w:rFonts w:hint="eastAsia" w:ascii="宋体" w:hAnsi="宋体" w:eastAsia="宋体" w:cs="宋体"/>
          <w:i w:val="0"/>
          <w:iCs w:val="0"/>
          <w:caps w:val="0"/>
          <w:color w:val="auto"/>
          <w:spacing w:val="0"/>
          <w:sz w:val="24"/>
          <w:szCs w:val="24"/>
          <w:shd w:val="clear" w:fill="FFFFFF"/>
        </w:rPr>
        <w:t>（北京时间）前提交响应文件。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3C835A6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AKSH2026-ZCS-086</w:t>
      </w:r>
    </w:p>
    <w:p w14:paraId="017A09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w:t>
      </w:r>
      <w:r>
        <w:rPr>
          <w:rFonts w:hint="eastAsia" w:cs="宋体"/>
          <w:i w:val="0"/>
          <w:iCs w:val="0"/>
          <w:caps w:val="0"/>
          <w:color w:val="000000" w:themeColor="text1"/>
          <w:spacing w:val="0"/>
          <w:sz w:val="24"/>
          <w:szCs w:val="24"/>
          <w:shd w:val="clear" w:fill="FFFFFF"/>
          <w:lang w:eastAsia="zh-CN"/>
          <w14:textFill>
            <w14:solidFill>
              <w14:schemeClr w14:val="tx1"/>
            </w14:solidFill>
          </w14:textFill>
        </w:rPr>
        <w:t>陕西省2026职业技能大赛安康市展馆展示和技能表演（绝技绝活）项目</w:t>
      </w:r>
    </w:p>
    <w:p w14:paraId="54EF656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2D17877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w:t>
      </w:r>
      <w:r>
        <w:rPr>
          <w:rFonts w:hint="eastAsia" w:cs="宋体"/>
          <w:i w:val="0"/>
          <w:iCs w:val="0"/>
          <w:caps w:val="0"/>
          <w:color w:val="000000" w:themeColor="text1"/>
          <w:spacing w:val="0"/>
          <w:sz w:val="24"/>
          <w:szCs w:val="24"/>
          <w:shd w:val="clear" w:fill="FFFFFF"/>
          <w:lang w:eastAsia="zh-CN"/>
          <w14:textFill>
            <w14:solidFill>
              <w14:schemeClr w14:val="tx1"/>
            </w14:solidFill>
          </w14:textFill>
        </w:rPr>
        <w:t>257620.00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27C43D9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陕西省 2026 职业技能大赛安康市展馆展示和技能表演（绝技绝活）项目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257620.00</w:t>
      </w:r>
      <w:r>
        <w:rPr>
          <w:rFonts w:hint="eastAsia" w:ascii="宋体" w:hAnsi="宋体" w:eastAsia="宋体" w:cs="宋体"/>
          <w:i w:val="0"/>
          <w:iCs w:val="0"/>
          <w:caps w:val="0"/>
          <w:color w:val="auto"/>
          <w:spacing w:val="0"/>
          <w:sz w:val="24"/>
          <w:szCs w:val="24"/>
          <w:shd w:val="clear" w:fill="FFFFFF"/>
        </w:rPr>
        <w:t>元</w:t>
      </w:r>
    </w:p>
    <w:p w14:paraId="5DB2643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yellow"/>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val="en-US" w:eastAsia="zh-CN"/>
        </w:rPr>
        <w:t>257620.00</w:t>
      </w:r>
      <w:r>
        <w:rPr>
          <w:rFonts w:hint="eastAsia" w:ascii="宋体" w:hAnsi="宋体" w:eastAsia="宋体" w:cs="宋体"/>
          <w:i w:val="0"/>
          <w:iCs w:val="0"/>
          <w:caps w:val="0"/>
          <w:color w:val="auto"/>
          <w:spacing w:val="0"/>
          <w:sz w:val="24"/>
          <w:szCs w:val="24"/>
          <w:highlight w:val="none"/>
          <w:shd w:val="clear" w:fill="FFFFFF"/>
        </w:rPr>
        <w:t>元</w:t>
      </w:r>
    </w:p>
    <w:tbl>
      <w:tblPr>
        <w:tblStyle w:val="3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7"/>
        <w:gridCol w:w="1868"/>
        <w:gridCol w:w="2905"/>
        <w:gridCol w:w="773"/>
        <w:gridCol w:w="1620"/>
        <w:gridCol w:w="1373"/>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展览服务</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陕西省 2026 职业技能大赛安康市展馆展示和技能表演（绝技绝活）项目</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257620.00</w:t>
            </w:r>
          </w:p>
        </w:tc>
      </w:tr>
    </w:tbl>
    <w:p w14:paraId="3AF48CF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cs="宋体"/>
          <w:i w:val="0"/>
          <w:iCs w:val="0"/>
          <w:caps w:val="0"/>
          <w:color w:val="000000" w:themeColor="text1"/>
          <w:spacing w:val="0"/>
          <w:sz w:val="24"/>
          <w:szCs w:val="24"/>
          <w:shd w:val="clear" w:fill="FFFFFF"/>
          <w:lang w:eastAsia="zh-CN"/>
          <w14:textFill>
            <w14:solidFill>
              <w14:schemeClr w14:val="tx1"/>
            </w14:solidFill>
          </w14:textFill>
        </w:rPr>
        <w:t>自合同签订生效之日起直至大赛结束为止</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58D6ACE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陕西省 2026 职业技能大赛安康市展馆展示和技能表演（绝技绝活）项目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陕西省 2026 职业技能大赛安康市展馆展示和技能表演（绝技绝活）项目</w:t>
      </w:r>
      <w:r>
        <w:rPr>
          <w:rFonts w:hint="eastAsia" w:ascii="宋体" w:hAnsi="宋体" w:eastAsia="宋体" w:cs="宋体"/>
          <w:i w:val="0"/>
          <w:iCs w:val="0"/>
          <w:caps w:val="0"/>
          <w:color w:val="auto"/>
          <w:spacing w:val="0"/>
          <w:sz w:val="24"/>
          <w:szCs w:val="24"/>
          <w:shd w:val="clear" w:fill="FFFFFF"/>
        </w:rPr>
        <w:t>)特定资格要求如下</w:t>
      </w:r>
      <w:r>
        <w:rPr>
          <w:rFonts w:hint="eastAsia" w:cs="宋体"/>
          <w:i w:val="0"/>
          <w:iCs w:val="0"/>
          <w:caps w:val="0"/>
          <w:color w:val="auto"/>
          <w:spacing w:val="0"/>
          <w:sz w:val="24"/>
          <w:szCs w:val="24"/>
          <w:shd w:val="clear" w:fill="FFFFFF"/>
          <w:lang w:eastAsia="zh-CN"/>
        </w:rPr>
        <w:t>：</w:t>
      </w:r>
    </w:p>
    <w:p w14:paraId="2E82DB5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579B39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270FB1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91BFED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0AA6BD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3C6851A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（1</w:t>
      </w:r>
      <w:r>
        <w:rPr>
          <w:rFonts w:hint="eastAsia" w:cs="宋体"/>
          <w:color w:val="auto"/>
          <w:kern w:val="0"/>
          <w:sz w:val="24"/>
          <w:szCs w:val="24"/>
          <w:lang w:val="en-US" w:eastAsia="zh-CN" w:bidi="ar-SA"/>
        </w:rPr>
        <w:t>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38481D2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日至202</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6年</w:t>
      </w:r>
      <w:r>
        <w:rPr>
          <w:rFonts w:hint="eastAsia"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日，每天上午0</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00至12</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00，下午14</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00至1</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00（北京时间）</w:t>
      </w:r>
    </w:p>
    <w:p w14:paraId="1F8C1E3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途径：安康市高新区高新观澜8栋2单元801室</w:t>
      </w:r>
    </w:p>
    <w:p w14:paraId="2F69A3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现场</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获取</w:t>
      </w:r>
    </w:p>
    <w:p w14:paraId="1A744EA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7562574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分（北京时间）</w:t>
      </w:r>
    </w:p>
    <w:p w14:paraId="7EC8120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46FA966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w:t>
      </w:r>
      <w:r>
        <w:rPr>
          <w:rFonts w:hint="eastAsia"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分（北京时间）</w:t>
      </w:r>
    </w:p>
    <w:p w14:paraId="6D3933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1FCF01E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2834D71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获取须知：</w:t>
      </w:r>
      <w:r>
        <w:rPr>
          <w:rFonts w:hint="eastAsia" w:ascii="宋体" w:hAnsi="宋体" w:eastAsia="宋体" w:cs="宋体"/>
          <w:b w:val="0"/>
          <w:bCs w:val="0"/>
          <w:color w:val="000000" w:themeColor="text1"/>
          <w:sz w:val="24"/>
          <w:szCs w:val="24"/>
          <w:lang w:val="en-US" w:eastAsia="zh-CN"/>
          <w14:textFill>
            <w14:solidFill>
              <w14:schemeClr w14:val="tx1"/>
            </w14:solidFill>
          </w14:textFill>
        </w:rPr>
        <w:t>投标供应商请在文件获取时间以内将单位介绍信(备注经办人联系电话及电子邮箱)及身份证复印件加盖公章递交至安康</w:t>
      </w:r>
      <w:r>
        <w:rPr>
          <w:rFonts w:hint="eastAsia" w:ascii="宋体" w:hAnsi="宋体" w:cs="宋体"/>
          <w:b w:val="0"/>
          <w:bCs w:val="0"/>
          <w:color w:val="000000" w:themeColor="text1"/>
          <w:sz w:val="24"/>
          <w:szCs w:val="24"/>
          <w:lang w:val="en-US" w:eastAsia="zh-CN"/>
          <w14:textFill>
            <w14:solidFill>
              <w14:schemeClr w14:val="tx1"/>
            </w14:solidFill>
          </w14:textFill>
        </w:rPr>
        <w:t>尚昊</w:t>
      </w:r>
      <w:r>
        <w:rPr>
          <w:rFonts w:hint="eastAsia" w:ascii="宋体" w:hAnsi="宋体" w:eastAsia="宋体" w:cs="宋体"/>
          <w:b w:val="0"/>
          <w:bCs w:val="0"/>
          <w:color w:val="000000" w:themeColor="text1"/>
          <w:sz w:val="24"/>
          <w:szCs w:val="24"/>
          <w:lang w:val="en-US" w:eastAsia="zh-CN"/>
          <w14:textFill>
            <w14:solidFill>
              <w14:schemeClr w14:val="tx1"/>
            </w14:solidFill>
          </w14:textFill>
        </w:rPr>
        <w:t>招标代理有限公司(安康市高新区高新观澜8栋2单元801室，邮箱：</w:t>
      </w:r>
      <w:r>
        <w:rPr>
          <w:rFonts w:hint="eastAsia" w:ascii="宋体" w:hAnsi="宋体" w:cs="宋体"/>
          <w:b w:val="0"/>
          <w:bCs w:val="0"/>
          <w:color w:val="000000" w:themeColor="text1"/>
          <w:sz w:val="24"/>
          <w:szCs w:val="24"/>
          <w:lang w:val="en-US" w:eastAsia="zh-CN"/>
          <w14:textFill>
            <w14:solidFill>
              <w14:schemeClr w14:val="tx1"/>
            </w14:solidFill>
          </w14:textFill>
        </w:rPr>
        <w:t>365060958</w:t>
      </w:r>
      <w:r>
        <w:rPr>
          <w:rFonts w:hint="eastAsia" w:ascii="宋体" w:hAnsi="宋体" w:eastAsia="宋体" w:cs="宋体"/>
          <w:b w:val="0"/>
          <w:bCs w:val="0"/>
          <w:color w:val="000000" w:themeColor="text1"/>
          <w:sz w:val="24"/>
          <w:szCs w:val="24"/>
          <w:lang w:val="en-US" w:eastAsia="zh-CN"/>
          <w14:textFill>
            <w14:solidFill>
              <w14:schemeClr w14:val="tx1"/>
            </w14:solidFill>
          </w14:textFill>
        </w:rPr>
        <w:t>@qq.com)。</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2C6CC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安康市人力资源和社会保障局</w:t>
      </w:r>
    </w:p>
    <w:p w14:paraId="2B020AE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w:t>
      </w:r>
      <w:r>
        <w:rPr>
          <w:rFonts w:ascii="宋体" w:hAnsi="宋体" w:eastAsia="宋体" w:cs="宋体"/>
          <w:color w:val="000000" w:themeColor="text1"/>
          <w:sz w:val="24"/>
          <w:szCs w:val="24"/>
          <w14:textFill>
            <w14:solidFill>
              <w14:schemeClr w14:val="tx1"/>
            </w14:solidFill>
          </w14:textFill>
        </w:rPr>
        <w:t>陕西省安康市高新区创业大厦</w:t>
      </w:r>
    </w:p>
    <w:p w14:paraId="09840E5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联系方式：0915-3283027</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78273DA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名称：安康尚昊招标代理有限公司</w:t>
      </w:r>
    </w:p>
    <w:p w14:paraId="1A9C120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地址：安康市高新区高新观澜8栋2单元801室</w:t>
      </w:r>
    </w:p>
    <w:p w14:paraId="25C6BEA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268F55E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项目联系人：郑工</w:t>
      </w:r>
    </w:p>
    <w:p w14:paraId="05855ED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电话：13991519725</w:t>
      </w:r>
    </w:p>
    <w:p w14:paraId="377ECB47">
      <w:pPr>
        <w:pStyle w:val="46"/>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000000" w:themeColor="text1"/>
          <w:kern w:val="0"/>
          <w:sz w:val="24"/>
          <w:szCs w:val="24"/>
          <w:lang w:val="en-US" w:eastAsia="zh-CN"/>
          <w14:textFill>
            <w14:solidFill>
              <w14:schemeClr w14:val="tx1"/>
            </w14:solidFill>
          </w14:textFill>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安康尚昊招标代理有限公司</w:t>
      </w:r>
    </w:p>
    <w:p w14:paraId="29C94020">
      <w:pPr>
        <w:pageBreakBefore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202</w:t>
      </w:r>
      <w:r>
        <w:rPr>
          <w:rFonts w:hint="eastAsia" w:ascii="宋体" w:hAnsi="宋体" w:cs="宋体"/>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color w:val="000000" w:themeColor="text1"/>
          <w:kern w:val="0"/>
          <w:sz w:val="24"/>
          <w:szCs w:val="24"/>
          <w:lang w:val="en-US" w:eastAsia="zh-CN" w:bidi="ar-SA"/>
          <w14:textFill>
            <w14:solidFill>
              <w14:schemeClr w14:val="tx1"/>
            </w14:solidFill>
          </w14:textFill>
        </w:rPr>
        <w:t>年</w:t>
      </w:r>
      <w:r>
        <w:rPr>
          <w:rFonts w:hint="eastAsia" w:ascii="宋体" w:hAnsi="宋体"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ascii="宋体" w:hAnsi="宋体" w:cs="宋体"/>
          <w:color w:val="000000" w:themeColor="text1"/>
          <w:kern w:val="0"/>
          <w:sz w:val="24"/>
          <w:szCs w:val="24"/>
          <w:lang w:val="en-US" w:eastAsia="zh-CN" w:bidi="ar-SA"/>
          <w14:textFill>
            <w14:solidFill>
              <w14:schemeClr w14:val="tx1"/>
            </w14:solidFill>
          </w14:textFill>
        </w:rPr>
        <w:t>10</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24173EF8">
      <w:pPr>
        <w:pStyle w:val="11"/>
        <w:rPr>
          <w:rFonts w:hint="eastAsia" w:ascii="宋体" w:hAnsi="宋体" w:eastAsia="宋体" w:cs="宋体"/>
          <w:color w:val="auto"/>
          <w:kern w:val="0"/>
          <w:sz w:val="24"/>
          <w:szCs w:val="24"/>
          <w:lang w:val="en-US" w:eastAsia="zh-CN" w:bidi="ar-SA"/>
        </w:rPr>
      </w:pPr>
    </w:p>
    <w:p w14:paraId="5AFF69EE">
      <w:pPr>
        <w:rPr>
          <w:rFonts w:hint="eastAsia" w:ascii="宋体" w:hAnsi="宋体" w:eastAsia="宋体" w:cs="宋体"/>
          <w:color w:val="auto"/>
          <w:kern w:val="0"/>
          <w:sz w:val="24"/>
          <w:szCs w:val="24"/>
          <w:lang w:val="en-US" w:eastAsia="zh-CN" w:bidi="ar-SA"/>
        </w:rPr>
      </w:pPr>
    </w:p>
    <w:p w14:paraId="0870AB3C">
      <w:pPr>
        <w:pStyle w:val="11"/>
        <w:rPr>
          <w:rFonts w:hint="eastAsia" w:ascii="宋体" w:hAnsi="宋体" w:eastAsia="宋体" w:cs="宋体"/>
          <w:color w:val="auto"/>
          <w:kern w:val="0"/>
          <w:sz w:val="24"/>
          <w:szCs w:val="24"/>
          <w:lang w:val="en-US" w:eastAsia="zh-CN" w:bidi="ar-SA"/>
        </w:rPr>
      </w:pPr>
    </w:p>
    <w:p w14:paraId="1DA96431">
      <w:pPr>
        <w:rPr>
          <w:rFonts w:hint="eastAsia" w:ascii="宋体" w:hAnsi="宋体" w:eastAsia="宋体" w:cs="宋体"/>
          <w:color w:val="auto"/>
          <w:kern w:val="0"/>
          <w:sz w:val="24"/>
          <w:szCs w:val="24"/>
          <w:lang w:val="en-US" w:eastAsia="zh-CN" w:bidi="ar-SA"/>
        </w:rPr>
      </w:pPr>
    </w:p>
    <w:p w14:paraId="2AEED76D">
      <w:pPr>
        <w:rPr>
          <w:rFonts w:hint="eastAsia" w:ascii="宋体" w:hAnsi="宋体" w:eastAsia="宋体" w:cs="宋体"/>
          <w:color w:val="auto"/>
          <w:kern w:val="0"/>
          <w:sz w:val="24"/>
          <w:szCs w:val="24"/>
          <w:lang w:val="en-US" w:eastAsia="zh-CN" w:bidi="ar-SA"/>
        </w:rPr>
      </w:pPr>
    </w:p>
    <w:p w14:paraId="0CB4127C">
      <w:pPr>
        <w:rPr>
          <w:rFonts w:hint="eastAsia" w:ascii="宋体" w:hAnsi="宋体" w:eastAsia="宋体" w:cs="宋体"/>
          <w:color w:val="auto"/>
          <w:kern w:val="0"/>
          <w:sz w:val="24"/>
          <w:szCs w:val="24"/>
          <w:lang w:val="en-US" w:eastAsia="zh-CN" w:bidi="ar-SA"/>
        </w:rPr>
      </w:pPr>
    </w:p>
    <w:p w14:paraId="14BF6A6B">
      <w:pPr>
        <w:rPr>
          <w:rFonts w:hint="eastAsia" w:ascii="宋体" w:hAnsi="宋体" w:eastAsia="宋体" w:cs="宋体"/>
          <w:color w:val="auto"/>
          <w:kern w:val="0"/>
          <w:sz w:val="24"/>
          <w:szCs w:val="24"/>
          <w:lang w:val="en-US" w:eastAsia="zh-CN" w:bidi="ar-SA"/>
        </w:rPr>
      </w:pPr>
    </w:p>
    <w:p w14:paraId="005FF3FD">
      <w:pPr>
        <w:rPr>
          <w:rFonts w:hint="eastAsia" w:ascii="宋体" w:hAnsi="宋体" w:eastAsia="宋体" w:cs="宋体"/>
          <w:color w:val="auto"/>
          <w:kern w:val="0"/>
          <w:sz w:val="24"/>
          <w:szCs w:val="24"/>
          <w:lang w:val="en-US" w:eastAsia="zh-CN" w:bidi="ar-SA"/>
        </w:rPr>
      </w:pPr>
    </w:p>
    <w:p w14:paraId="64CAC137">
      <w:pPr>
        <w:rPr>
          <w:rFonts w:hint="eastAsia" w:ascii="宋体" w:hAnsi="宋体" w:eastAsia="宋体" w:cs="宋体"/>
          <w:color w:val="auto"/>
          <w:kern w:val="0"/>
          <w:sz w:val="24"/>
          <w:szCs w:val="24"/>
          <w:lang w:val="en-US" w:eastAsia="zh-CN" w:bidi="ar-SA"/>
        </w:rPr>
      </w:pPr>
    </w:p>
    <w:p w14:paraId="687C5CE6">
      <w:pPr>
        <w:rPr>
          <w:rFonts w:hint="eastAsia" w:ascii="宋体" w:hAnsi="宋体" w:eastAsia="宋体" w:cs="宋体"/>
          <w:color w:val="auto"/>
          <w:kern w:val="0"/>
          <w:sz w:val="24"/>
          <w:szCs w:val="24"/>
          <w:lang w:val="en-US" w:eastAsia="zh-CN" w:bidi="ar-SA"/>
        </w:rPr>
      </w:pPr>
    </w:p>
    <w:p w14:paraId="0E3A5BCD">
      <w:pPr>
        <w:rPr>
          <w:rFonts w:hint="eastAsia" w:ascii="宋体" w:hAnsi="宋体" w:eastAsia="宋体" w:cs="宋体"/>
          <w:color w:val="auto"/>
          <w:kern w:val="0"/>
          <w:sz w:val="24"/>
          <w:szCs w:val="24"/>
          <w:lang w:val="en-US" w:eastAsia="zh-CN" w:bidi="ar-SA"/>
        </w:rPr>
      </w:pPr>
    </w:p>
    <w:p w14:paraId="497643F1">
      <w:pPr>
        <w:rPr>
          <w:rFonts w:hint="eastAsia" w:ascii="宋体" w:hAnsi="宋体" w:eastAsia="宋体" w:cs="宋体"/>
          <w:color w:val="auto"/>
          <w:kern w:val="0"/>
          <w:sz w:val="24"/>
          <w:szCs w:val="24"/>
          <w:lang w:val="en-US" w:eastAsia="zh-CN" w:bidi="ar-SA"/>
        </w:rPr>
      </w:pPr>
    </w:p>
    <w:p w14:paraId="3C234D48">
      <w:pPr>
        <w:pStyle w:val="2"/>
        <w:spacing w:line="360" w:lineRule="auto"/>
        <w:rPr>
          <w:rFonts w:ascii="宋体" w:hAnsi="宋体" w:cs="宋体"/>
          <w:color w:val="auto"/>
        </w:rPr>
      </w:pPr>
      <w:bookmarkStart w:id="16" w:name="_Toc19543334"/>
      <w:bookmarkStart w:id="17" w:name="_Toc20348"/>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78"/>
        <w:tblW w:w="9643" w:type="dxa"/>
        <w:jc w:val="center"/>
        <w:tblLayout w:type="fixed"/>
        <w:tblCellMar>
          <w:top w:w="147" w:type="dxa"/>
          <w:left w:w="108" w:type="dxa"/>
          <w:bottom w:w="56" w:type="dxa"/>
          <w:right w:w="0" w:type="dxa"/>
        </w:tblCellMar>
      </w:tblPr>
      <w:tblGrid>
        <w:gridCol w:w="704"/>
        <w:gridCol w:w="1990"/>
        <w:gridCol w:w="6949"/>
      </w:tblGrid>
      <w:tr w14:paraId="51481DAE">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819F91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537D3FF7">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408C5EA5">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25F2EBF">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54201E">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789903D">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1BA8E135">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安康市人力资源和社会保障局</w:t>
            </w:r>
          </w:p>
        </w:tc>
      </w:tr>
      <w:tr w14:paraId="2C44E802">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0AC3A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1BC534">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3174647">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15F711FB">
        <w:tblPrEx>
          <w:tblCellMar>
            <w:top w:w="147" w:type="dxa"/>
            <w:left w:w="108" w:type="dxa"/>
            <w:bottom w:w="56" w:type="dxa"/>
            <w:right w:w="0" w:type="dxa"/>
          </w:tblCellMar>
        </w:tblPrEx>
        <w:trPr>
          <w:trHeight w:val="51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052FD6">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091715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40CE53A2">
            <w:pPr>
              <w:pStyle w:val="77"/>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val="en-US" w:eastAsia="zh-CN"/>
              </w:rPr>
              <w:t>陕西省 2026 职业技能大赛安康市展馆展示和技能表演（绝技绝活）项目</w:t>
            </w:r>
            <w:r>
              <w:rPr>
                <w:rFonts w:hint="eastAsia" w:ascii="宋体" w:hAnsi="宋体" w:cs="Times New Roman"/>
                <w:color w:val="auto"/>
                <w:sz w:val="24"/>
                <w:szCs w:val="24"/>
              </w:rPr>
              <w:t xml:space="preserve"> </w:t>
            </w:r>
          </w:p>
        </w:tc>
      </w:tr>
      <w:tr w14:paraId="630392B1">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D592BD">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42B623C">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669F739">
            <w:pPr>
              <w:widowControl/>
              <w:tabs>
                <w:tab w:val="left" w:pos="1620"/>
              </w:tabs>
              <w:snapToGrid w:val="0"/>
              <w:spacing w:line="400" w:lineRule="exact"/>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lang w:val="en-US" w:eastAsia="zh-CN"/>
              </w:rPr>
              <w:t>陕西省 2026 职业技能大赛安康市展馆展示和技能表演（绝技绝活）项目</w:t>
            </w:r>
            <w:r>
              <w:rPr>
                <w:rFonts w:hint="eastAsia" w:cs="宋体" w:asciiTheme="minorEastAsia" w:hAnsiTheme="minorEastAsia" w:eastAsiaTheme="minorEastAsia"/>
                <w:color w:val="auto"/>
                <w:kern w:val="0"/>
                <w:sz w:val="24"/>
                <w:szCs w:val="24"/>
              </w:rPr>
              <w:t>（采购内容详见第五部分采购内容及技术要求）</w:t>
            </w:r>
          </w:p>
        </w:tc>
      </w:tr>
      <w:tr w14:paraId="4CEB2918">
        <w:tblPrEx>
          <w:tblCellMar>
            <w:top w:w="147" w:type="dxa"/>
            <w:left w:w="108" w:type="dxa"/>
            <w:bottom w:w="56" w:type="dxa"/>
            <w:right w:w="0" w:type="dxa"/>
          </w:tblCellMar>
        </w:tblPrEx>
        <w:trPr>
          <w:trHeight w:val="53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6055C4">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FFCD02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09B02B3F">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val="en-US" w:eastAsia="zh-CN" w:bidi="ar-SA"/>
              </w:rPr>
              <w:t>257620.00元</w:t>
            </w:r>
          </w:p>
        </w:tc>
      </w:tr>
      <w:tr w14:paraId="45B64BA6">
        <w:tblPrEx>
          <w:tblCellMar>
            <w:top w:w="147" w:type="dxa"/>
            <w:left w:w="108" w:type="dxa"/>
            <w:bottom w:w="56" w:type="dxa"/>
            <w:right w:w="0" w:type="dxa"/>
          </w:tblCellMar>
        </w:tblPrEx>
        <w:trPr>
          <w:trHeight w:val="51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6552681">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BFDE086">
            <w:pPr>
              <w:spacing w:line="259" w:lineRule="auto"/>
              <w:ind w:right="111"/>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最高限价</w:t>
            </w:r>
          </w:p>
        </w:tc>
        <w:tc>
          <w:tcPr>
            <w:tcW w:w="6949" w:type="dxa"/>
            <w:tcBorders>
              <w:top w:val="single" w:color="000000" w:sz="4" w:space="0"/>
              <w:left w:val="single" w:color="000000" w:sz="4" w:space="0"/>
              <w:bottom w:val="single" w:color="000000" w:sz="4" w:space="0"/>
              <w:right w:val="single" w:color="000000" w:sz="4" w:space="0"/>
            </w:tcBorders>
            <w:vAlign w:val="center"/>
          </w:tcPr>
          <w:p w14:paraId="2F353A7C">
            <w:pPr>
              <w:spacing w:line="259" w:lineRule="auto"/>
              <w:ind w:right="111"/>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257620.00元</w:t>
            </w:r>
          </w:p>
        </w:tc>
      </w:tr>
      <w:tr w14:paraId="0968552B">
        <w:tblPrEx>
          <w:tblCellMar>
            <w:top w:w="147" w:type="dxa"/>
            <w:left w:w="108" w:type="dxa"/>
            <w:bottom w:w="56" w:type="dxa"/>
            <w:right w:w="0" w:type="dxa"/>
          </w:tblCellMar>
        </w:tblPrEx>
        <w:trPr>
          <w:trHeight w:val="661"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F5CC8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FB5F9F6">
            <w:pPr>
              <w:spacing w:line="259" w:lineRule="auto"/>
              <w:ind w:right="111"/>
              <w:jc w:val="center"/>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合同履行期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4B52BF4B">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自合同签订生效之日起直至大赛结束为止</w:t>
            </w:r>
          </w:p>
          <w:p w14:paraId="067A8F1B">
            <w:pPr>
              <w:widowControl/>
              <w:tabs>
                <w:tab w:val="left" w:pos="1620"/>
              </w:tabs>
              <w:snapToGrid w:val="0"/>
              <w:spacing w:line="400" w:lineRule="exact"/>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p>
        </w:tc>
      </w:tr>
      <w:tr w14:paraId="03CECF7A">
        <w:tblPrEx>
          <w:tblCellMar>
            <w:top w:w="147" w:type="dxa"/>
            <w:left w:w="108" w:type="dxa"/>
            <w:bottom w:w="56" w:type="dxa"/>
            <w:right w:w="0" w:type="dxa"/>
          </w:tblCellMar>
        </w:tblPrEx>
        <w:trPr>
          <w:trHeight w:val="639"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577553">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39C50BC4">
            <w:pPr>
              <w:keepNext w:val="0"/>
              <w:keepLines w:val="0"/>
              <w:pageBreakBefore w:val="0"/>
              <w:kinsoku/>
              <w:wordWrap/>
              <w:overflowPunct/>
              <w:topLinePunct w:val="0"/>
              <w:autoSpaceDE/>
              <w:autoSpaceDN/>
              <w:bidi w:val="0"/>
              <w:adjustRightInd/>
              <w:snapToGrid/>
              <w:spacing w:line="360" w:lineRule="auto"/>
              <w:ind w:right="111" w:rightChars="0"/>
              <w:jc w:val="center"/>
              <w:textAlignment w:val="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项目</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49D8F355">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采购人指定地点</w:t>
            </w:r>
          </w:p>
        </w:tc>
      </w:tr>
      <w:tr w14:paraId="79AFF2A6">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C89DABA">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3CD071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41CD1922">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0E46D108">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546B59">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4F13BD">
            <w:pPr>
              <w:spacing w:line="259" w:lineRule="auto"/>
              <w:ind w:right="29"/>
              <w:jc w:val="center"/>
              <w:rPr>
                <w:rFonts w:hint="eastAsia" w:asciiTheme="minorEastAsia" w:hAnsiTheme="minorEastAsia" w:eastAsiaTheme="minorEastAsia"/>
                <w:color w:val="auto"/>
                <w:sz w:val="24"/>
                <w:szCs w:val="24"/>
                <w:lang w:eastAsia="zh-CN"/>
              </w:rPr>
            </w:pPr>
            <w:r>
              <w:rPr>
                <w:rFonts w:asciiTheme="minorEastAsia" w:hAnsiTheme="minorEastAsia" w:eastAsiaTheme="minorEastAsia"/>
                <w:color w:val="auto"/>
                <w:sz w:val="24"/>
                <w:szCs w:val="24"/>
              </w:rPr>
              <w:t>投标人</w:t>
            </w:r>
            <w:r>
              <w:rPr>
                <w:rFonts w:hint="eastAsia" w:asciiTheme="minorEastAsia" w:hAnsiTheme="minorEastAsia" w:eastAsiaTheme="minorEastAsia"/>
                <w:color w:val="auto"/>
                <w:sz w:val="24"/>
                <w:szCs w:val="24"/>
                <w:lang w:eastAsia="zh-CN"/>
              </w:rPr>
              <w:t>资格要求</w:t>
            </w:r>
          </w:p>
        </w:tc>
        <w:tc>
          <w:tcPr>
            <w:tcW w:w="6949" w:type="dxa"/>
            <w:tcBorders>
              <w:top w:val="single" w:color="000000" w:sz="4" w:space="0"/>
              <w:left w:val="single" w:color="000000" w:sz="4" w:space="0"/>
              <w:bottom w:val="single" w:color="000000" w:sz="4" w:space="0"/>
              <w:right w:val="single" w:color="000000" w:sz="4" w:space="0"/>
            </w:tcBorders>
          </w:tcPr>
          <w:p w14:paraId="18B11796">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42475B6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7EEB63C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13DBB622">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440B8DE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6D55B8D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2F87026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677465B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34CC182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246C4049">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6C1F3139">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294F7AE5">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32E41C">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06A469C7">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2B9D95DE">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D5FDAAD">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不接受联合体磋商</w:t>
            </w:r>
          </w:p>
        </w:tc>
      </w:tr>
      <w:tr w14:paraId="2554E22C">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1DA7FA">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65B95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7A55A1E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16693FCE">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4CB61E8">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18D608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3A26FCC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hint="eastAsia" w:asciiTheme="minorEastAsia" w:hAnsiTheme="minorEastAsia" w:eastAsiaTheme="minorEastAsia"/>
                <w:color w:val="auto"/>
                <w:sz w:val="24"/>
                <w:szCs w:val="24"/>
              </w:rPr>
              <w:t>年</w:t>
            </w:r>
            <w:r>
              <w:rPr>
                <w:rFonts w:hint="eastAsia" w:asciiTheme="minorEastAsia" w:hAnsiTheme="minorEastAsia" w:eastAsiaTheme="minorEastAsia"/>
                <w:color w:val="auto"/>
                <w:sz w:val="24"/>
                <w:szCs w:val="24"/>
                <w:lang w:val="en-US" w:eastAsia="zh-CN"/>
              </w:rPr>
              <w:t>8月21</w:t>
            </w:r>
            <w:r>
              <w:rPr>
                <w:rFonts w:hint="eastAsia" w:asciiTheme="minorEastAsia" w:hAnsiTheme="minorEastAsia" w:eastAsiaTheme="minorEastAsia"/>
                <w:color w:val="auto"/>
                <w:sz w:val="24"/>
                <w:szCs w:val="24"/>
              </w:rPr>
              <w:t>日</w:t>
            </w:r>
            <w:r>
              <w:rPr>
                <w:rFonts w:hint="eastAsia" w:asciiTheme="minorEastAsia" w:hAnsiTheme="minorEastAsia" w:eastAsiaTheme="minorEastAsia"/>
                <w:color w:val="auto"/>
                <w:sz w:val="24"/>
                <w:szCs w:val="24"/>
                <w:lang w:val="en-US" w:eastAsia="zh-CN"/>
              </w:rPr>
              <w:t>09</w:t>
            </w:r>
            <w:r>
              <w:rPr>
                <w:rFonts w:hint="eastAsia" w:asciiTheme="minorEastAsia" w:hAnsiTheme="minorEastAsia" w:eastAsiaTheme="minorEastAsia"/>
                <w:color w:val="auto"/>
                <w:sz w:val="24"/>
                <w:szCs w:val="24"/>
              </w:rPr>
              <w:t>时</w:t>
            </w:r>
            <w:r>
              <w:rPr>
                <w:rFonts w:hint="eastAsia" w:asciiTheme="minorEastAsia" w:hAnsiTheme="minorEastAsia" w:eastAsiaTheme="minorEastAsia"/>
                <w:color w:val="auto"/>
                <w:sz w:val="24"/>
                <w:szCs w:val="24"/>
                <w:lang w:val="en-US" w:eastAsia="zh-CN"/>
              </w:rPr>
              <w:t>00</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z w:val="24"/>
                <w:szCs w:val="24"/>
                <w:lang w:eastAsia="zh-CN"/>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6BAB226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lang w:eastAsia="zh-CN"/>
              </w:rPr>
              <w:t>安康市高新区高新观澜8幢2单元801室</w:t>
            </w:r>
          </w:p>
          <w:p w14:paraId="1FE72B36">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18BC0692">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B7F679D">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C8BBB9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D5FD474">
            <w:pPr>
              <w:spacing w:line="259" w:lineRule="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lang w:val="en-US" w:eastAsia="zh-CN"/>
              </w:rPr>
              <w:t>：2026年8月21日09时00分止</w:t>
            </w:r>
          </w:p>
          <w:p w14:paraId="11D583DC">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递交地点：</w:t>
            </w:r>
            <w:r>
              <w:rPr>
                <w:rFonts w:hint="eastAsia" w:ascii="宋体" w:hAnsi="宋体" w:cs="宋体"/>
                <w:color w:val="auto"/>
                <w:sz w:val="24"/>
                <w:szCs w:val="24"/>
                <w:lang w:eastAsia="zh-CN"/>
              </w:rPr>
              <w:t>安康市高新区高新观澜8幢2单元801室</w:t>
            </w:r>
            <w:r>
              <w:rPr>
                <w:rFonts w:hint="eastAsia" w:asciiTheme="minorEastAsia" w:hAnsiTheme="minorEastAsia" w:eastAsiaTheme="minorEastAsia"/>
                <w:color w:val="auto"/>
                <w:sz w:val="24"/>
                <w:szCs w:val="24"/>
              </w:rPr>
              <w:t xml:space="preserve"> </w:t>
            </w:r>
          </w:p>
        </w:tc>
      </w:tr>
      <w:tr w14:paraId="5D70D1C0">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074FF46">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59087E4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130DEB26">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u w:val="none" w:color="auto"/>
                <w:lang w:val="en-US" w:eastAsia="zh-CN"/>
              </w:rPr>
              <w:t>90</w:t>
            </w:r>
            <w:r>
              <w:rPr>
                <w:rFonts w:asciiTheme="minorEastAsia" w:hAnsiTheme="minorEastAsia" w:eastAsiaTheme="minorEastAsia"/>
                <w:color w:val="auto"/>
                <w:sz w:val="24"/>
                <w:szCs w:val="24"/>
              </w:rPr>
              <w:t xml:space="preserve">日历天（从提交响应文件日起计算） </w:t>
            </w:r>
          </w:p>
        </w:tc>
      </w:tr>
      <w:tr w14:paraId="0899F16B">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5709B31">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180683B">
            <w:pPr>
              <w:spacing w:line="259" w:lineRule="auto"/>
              <w:jc w:val="center"/>
              <w:rPr>
                <w:rFonts w:hint="eastAsia" w:ascii="宋体" w:hAnsi="宋体" w:eastAsia="宋体"/>
                <w:color w:val="auto"/>
                <w:sz w:val="24"/>
                <w:szCs w:val="24"/>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center"/>
          </w:tcPr>
          <w:p w14:paraId="0D7F8BD1">
            <w:pPr>
              <w:spacing w:line="259" w:lineRule="auto"/>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，电子版</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U盘</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rPr>
              <w:t>壹份</w:t>
            </w:r>
          </w:p>
        </w:tc>
      </w:tr>
      <w:tr w14:paraId="10ADA05F">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8D1590">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EA440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380200E4">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cs="宋体" w:eastAsiaTheme="minorEastAsia"/>
                <w:color w:val="auto"/>
                <w:kern w:val="0"/>
                <w:sz w:val="24"/>
                <w:szCs w:val="24"/>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4C3C9C4A">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cs="宋体" w:eastAsiaTheme="minorEastAsia"/>
                <w:color w:val="auto"/>
                <w:kern w:val="0"/>
                <w:sz w:val="24"/>
                <w:szCs w:val="24"/>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tc>
      </w:tr>
      <w:tr w14:paraId="0E8DC0E5">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ECDA7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33567B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lang w:val="zh-CN"/>
              </w:rPr>
              <w:t>封套上应写明的内容</w:t>
            </w:r>
          </w:p>
        </w:tc>
        <w:tc>
          <w:tcPr>
            <w:tcW w:w="6949" w:type="dxa"/>
            <w:tcBorders>
              <w:top w:val="single" w:color="000000" w:sz="4" w:space="0"/>
              <w:left w:val="single" w:color="000000" w:sz="4" w:space="0"/>
              <w:bottom w:val="single" w:color="000000" w:sz="4" w:space="0"/>
              <w:right w:val="single" w:color="000000" w:sz="4" w:space="0"/>
            </w:tcBorders>
            <w:vAlign w:val="top"/>
          </w:tcPr>
          <w:p w14:paraId="0E86E378">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14:paraId="0DDA232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14:paraId="6029B1F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14:paraId="31F0B9C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14:paraId="0109549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p>
        </w:tc>
      </w:tr>
      <w:tr w14:paraId="434A8F08">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59D3E9">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0F316D8">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6949" w:type="dxa"/>
            <w:tcBorders>
              <w:top w:val="single" w:color="000000" w:sz="4" w:space="0"/>
              <w:left w:val="single" w:color="000000" w:sz="4" w:space="0"/>
              <w:bottom w:val="single" w:color="000000" w:sz="4" w:space="0"/>
              <w:right w:val="single" w:color="000000" w:sz="4" w:space="0"/>
            </w:tcBorders>
          </w:tcPr>
          <w:p w14:paraId="1F37151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427D05F5">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31FCD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62D54E69">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7691790">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Theme="minorEastAsia" w:hAnsiTheme="minorEastAsia" w:eastAsiaTheme="minorEastAsia"/>
                <w:color w:val="auto"/>
                <w:sz w:val="24"/>
                <w:szCs w:val="24"/>
                <w:lang w:val="en-US" w:eastAsia="zh-CN"/>
              </w:rPr>
              <w:t>政府采购竞争性磋商采购方式管理暂行办法</w:t>
            </w:r>
            <w:r>
              <w:rPr>
                <w:rFonts w:asciiTheme="minorEastAsia" w:hAnsiTheme="minorEastAsia" w:eastAsiaTheme="minorEastAsia"/>
                <w:color w:val="auto"/>
                <w:sz w:val="24"/>
                <w:szCs w:val="24"/>
              </w:rPr>
              <w:t>》等有关法律规定组建磋商小组</w:t>
            </w:r>
          </w:p>
        </w:tc>
      </w:tr>
      <w:tr w14:paraId="452B4C4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3098FE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098CC3">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jc w:val="center"/>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1F2965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Theme="minorEastAsia" w:hAnsiTheme="minorEastAsia" w:eastAsiaTheme="minorEastAsia"/>
                <w:color w:val="auto"/>
                <w:sz w:val="24"/>
                <w:szCs w:val="24"/>
                <w:lang w:eastAsia="zh-CN"/>
              </w:rPr>
            </w:pPr>
            <w:r>
              <w:rPr>
                <w:rFonts w:hint="eastAsia" w:ascii="宋体" w:hAnsi="宋体" w:cs="宋体"/>
                <w:snapToGrid w:val="0"/>
                <w:color w:val="auto"/>
                <w:kern w:val="0"/>
                <w:sz w:val="24"/>
                <w:szCs w:val="24"/>
                <w:lang w:val="en-US" w:eastAsia="zh-CN"/>
              </w:rPr>
              <w:t>合同签订生效后支付合同总额的60%，主体搭建完工且符合赛事要求付合同总额的30%，全部完成本项目后支付合同总额的10%。</w:t>
            </w:r>
          </w:p>
        </w:tc>
      </w:tr>
      <w:tr w14:paraId="7E23EDB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C98EA3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2A86AC7">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6949" w:type="dxa"/>
            <w:tcBorders>
              <w:top w:val="single" w:color="000000" w:sz="4" w:space="0"/>
              <w:left w:val="single" w:color="000000" w:sz="4" w:space="0"/>
              <w:bottom w:val="single" w:color="000000" w:sz="4" w:space="0"/>
              <w:right w:val="single" w:color="000000" w:sz="4" w:space="0"/>
            </w:tcBorders>
          </w:tcPr>
          <w:p w14:paraId="34539A16">
            <w:pPr>
              <w:spacing w:line="259" w:lineRule="auto"/>
              <w:ind w:right="-11"/>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1DD0DC7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09A99D">
            <w:pPr>
              <w:pStyle w:val="77"/>
              <w:numPr>
                <w:ilvl w:val="0"/>
                <w:numId w:val="1"/>
              </w:numPr>
              <w:spacing w:line="259" w:lineRule="auto"/>
              <w:ind w:left="420" w:leftChars="0" w:hanging="420" w:firstLineChars="0"/>
              <w:jc w:val="center"/>
              <w:rPr>
                <w:rFonts w:asciiTheme="minorEastAsia" w:hAnsiTheme="minorEastAsia" w:eastAsiaTheme="minorEastAsia"/>
                <w:color w:val="auto"/>
                <w:sz w:val="24"/>
                <w:szCs w:val="24"/>
              </w:rPr>
            </w:pPr>
            <w:bookmarkStart w:id="18" w:name="_Toc19272"/>
            <w:bookmarkStart w:id="19" w:name="_Toc536202378"/>
            <w:bookmarkStart w:id="20" w:name="_Toc21495"/>
            <w:bookmarkStart w:id="21" w:name="_Toc536202284"/>
            <w:bookmarkStart w:id="22" w:name="_Toc536429318"/>
            <w:bookmarkStart w:id="23" w:name="_Toc536429371"/>
          </w:p>
        </w:tc>
        <w:tc>
          <w:tcPr>
            <w:tcW w:w="1990" w:type="dxa"/>
            <w:tcBorders>
              <w:top w:val="single" w:color="000000" w:sz="4" w:space="0"/>
              <w:left w:val="single" w:color="000000" w:sz="4" w:space="0"/>
              <w:bottom w:val="single" w:color="000000" w:sz="4" w:space="0"/>
              <w:right w:val="single" w:color="000000" w:sz="4" w:space="0"/>
            </w:tcBorders>
            <w:vAlign w:val="center"/>
          </w:tcPr>
          <w:p w14:paraId="70CC3547">
            <w:pPr>
              <w:spacing w:line="259" w:lineRule="auto"/>
              <w:ind w:right="109" w:rightChars="0"/>
              <w:jc w:val="cente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其他说明事项</w:t>
            </w:r>
          </w:p>
        </w:tc>
        <w:tc>
          <w:tcPr>
            <w:tcW w:w="6949" w:type="dxa"/>
            <w:tcBorders>
              <w:top w:val="single" w:color="000000" w:sz="4" w:space="0"/>
              <w:left w:val="single" w:color="000000" w:sz="4" w:space="0"/>
              <w:bottom w:val="single" w:color="000000" w:sz="4" w:space="0"/>
              <w:right w:val="single" w:color="000000" w:sz="4" w:space="0"/>
            </w:tcBorders>
            <w:vAlign w:val="top"/>
          </w:tcPr>
          <w:p w14:paraId="77C6F2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根据《中小企业划型标准规定》（工信部联企业〔2011〕300号），</w:t>
            </w:r>
          </w:p>
          <w:p w14:paraId="14527D4D">
            <w:pPr>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采购标的对应的中小企业划分标准所属行业为</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其他未列明行业</w:t>
            </w:r>
            <w:r>
              <w:rPr>
                <w:rFonts w:hint="eastAsia" w:ascii="宋体" w:hAnsi="宋体" w:eastAsia="宋体" w:cs="宋体"/>
                <w:color w:val="000000" w:themeColor="text1"/>
                <w:sz w:val="24"/>
                <w:szCs w:val="22"/>
                <w:lang w:val="en-US" w:eastAsia="zh-CN"/>
                <w14:textFill>
                  <w14:solidFill>
                    <w14:schemeClr w14:val="tx1"/>
                  </w14:solidFill>
                </w14:textFill>
              </w:rPr>
              <w:t>。</w:t>
            </w:r>
          </w:p>
          <w:p w14:paraId="37B15C0E">
            <w:pPr>
              <w:pageBreakBefore w:val="0"/>
              <w:kinsoku/>
              <w:wordWrap/>
              <w:overflowPunct/>
              <w:topLinePunct w:val="0"/>
              <w:autoSpaceDE/>
              <w:autoSpaceDN/>
              <w:bidi w:val="0"/>
              <w:adjustRightInd w:val="0"/>
              <w:snapToGrid w:val="0"/>
              <w:spacing w:line="440" w:lineRule="exact"/>
              <w:textAlignment w:val="auto"/>
              <w:rPr>
                <w:rFonts w:asciiTheme="minorEastAsia" w:hAnsiTheme="minorEastAsia" w:eastAsiaTheme="minorEastAsia"/>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其他未列明行业</w:t>
            </w:r>
            <w:r>
              <w:rPr>
                <w:rFonts w:hint="eastAsia" w:cs="宋体" w:asciiTheme="minorEastAsia" w:hAnsiTheme="minorEastAsia"/>
                <w:color w:val="000000" w:themeColor="text1"/>
                <w:kern w:val="2"/>
                <w:sz w:val="24"/>
                <w:szCs w:val="24"/>
                <w:highlight w:val="none"/>
                <w:lang w:val="en-US" w:eastAsia="zh-CN" w:bidi="ar-SA"/>
                <w14:textFill>
                  <w14:solidFill>
                    <w14:schemeClr w14:val="tx1"/>
                  </w14:solidFill>
                </w14:textFill>
              </w:rPr>
              <w:t>的</w:t>
            </w:r>
            <w:r>
              <w:rPr>
                <w:rFonts w:hint="eastAsia" w:eastAsia="宋体" w:cs="宋体" w:asciiTheme="minorEastAsia" w:hAnsiTheme="minorEastAsia"/>
                <w:color w:val="000000" w:themeColor="text1"/>
                <w:kern w:val="2"/>
                <w:sz w:val="24"/>
                <w:szCs w:val="24"/>
                <w:highlight w:val="none"/>
                <w:lang w:val="en-US" w:eastAsia="zh-CN" w:bidi="ar-SA"/>
                <w14:textFill>
                  <w14:solidFill>
                    <w14:schemeClr w14:val="tx1"/>
                  </w14:solidFill>
                </w14:textFill>
              </w:rPr>
              <w:t>划型标准为：</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从业人员300人以下的为中小微型企业。其中，从业人员100人及以上的为中型企业；从业人员10人及以上的为小型企业；从业人员10人以下的为微型企业。</w:t>
            </w:r>
          </w:p>
        </w:tc>
      </w:tr>
    </w:tbl>
    <w:p w14:paraId="76696554">
      <w:pPr>
        <w:pStyle w:val="11"/>
        <w:rPr>
          <w:color w:val="auto"/>
          <w:kern w:val="44"/>
          <w:sz w:val="32"/>
          <w:szCs w:val="32"/>
        </w:rPr>
      </w:pPr>
      <w:r>
        <w:rPr>
          <w:color w:val="auto"/>
        </w:rPr>
        <w:br w:type="page"/>
      </w:r>
    </w:p>
    <w:p w14:paraId="17DAAA99">
      <w:pPr>
        <w:pStyle w:val="2"/>
        <w:keepLines w:val="0"/>
        <w:spacing w:line="400" w:lineRule="exact"/>
        <w:rPr>
          <w:rFonts w:ascii="宋体"/>
          <w:color w:val="auto"/>
        </w:rPr>
      </w:pPr>
      <w:bookmarkStart w:id="24" w:name="_Toc19543335"/>
      <w:bookmarkStart w:id="25" w:name="_Toc14296"/>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8"/>
      <w:bookmarkEnd w:id="19"/>
      <w:bookmarkEnd w:id="20"/>
      <w:bookmarkEnd w:id="21"/>
      <w:bookmarkEnd w:id="22"/>
      <w:bookmarkEnd w:id="23"/>
      <w:bookmarkEnd w:id="24"/>
      <w:bookmarkEnd w:id="25"/>
    </w:p>
    <w:p w14:paraId="1D8A4FFB">
      <w:pPr>
        <w:widowControl/>
        <w:numPr>
          <w:ilvl w:val="0"/>
          <w:numId w:val="2"/>
        </w:numPr>
        <w:spacing w:line="400" w:lineRule="exact"/>
        <w:ind w:firstLine="643" w:firstLineChars="200"/>
        <w:jc w:val="center"/>
        <w:outlineLvl w:val="1"/>
        <w:rPr>
          <w:rFonts w:ascii="宋体" w:cs="Times New Roman"/>
          <w:b/>
          <w:bCs/>
          <w:color w:val="auto"/>
          <w:kern w:val="0"/>
          <w:sz w:val="32"/>
          <w:szCs w:val="32"/>
        </w:rPr>
      </w:pPr>
      <w:bookmarkStart w:id="26" w:name="_Toc536429319"/>
      <w:bookmarkStart w:id="27" w:name="_Toc26739"/>
      <w:bookmarkStart w:id="28" w:name="_Toc19543336"/>
      <w:bookmarkStart w:id="29" w:name="_Toc17059"/>
      <w:bookmarkStart w:id="30" w:name="_Toc536202285"/>
      <w:bookmarkStart w:id="31" w:name="_Toc536429372"/>
      <w:bookmarkStart w:id="32" w:name="_Toc536202379"/>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4F8E1D2D">
      <w:pPr>
        <w:keepNext w:val="0"/>
        <w:keepLines w:val="0"/>
        <w:pageBreakBefore w:val="0"/>
        <w:widowControl/>
        <w:kinsoku/>
        <w:wordWrap/>
        <w:overflowPunct/>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适用范围</w:t>
      </w:r>
    </w:p>
    <w:p w14:paraId="585C91E7">
      <w:pPr>
        <w:keepNext w:val="0"/>
        <w:keepLines w:val="0"/>
        <w:pageBreakBefore w:val="0"/>
        <w:widowControl/>
        <w:kinsoku/>
        <w:wordWrap/>
        <w:overflowPunct/>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373FFF41">
      <w:pPr>
        <w:keepNext w:val="0"/>
        <w:keepLines w:val="0"/>
        <w:pageBreakBefore w:val="0"/>
        <w:widowControl/>
        <w:kinsoku/>
        <w:wordWrap/>
        <w:overflowPunct/>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71445DA9">
      <w:pPr>
        <w:keepNext w:val="0"/>
        <w:keepLines w:val="0"/>
        <w:pageBreakBefore w:val="0"/>
        <w:widowControl/>
        <w:kinsoku/>
        <w:wordWrap/>
        <w:overflowPunct/>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eastAsia="宋体" w:cs="宋体"/>
          <w:b/>
          <w:bCs/>
          <w:color w:val="auto"/>
          <w:sz w:val="24"/>
          <w:szCs w:val="24"/>
        </w:rPr>
        <w:t>定义</w:t>
      </w:r>
    </w:p>
    <w:p w14:paraId="622CA6ED">
      <w:pPr>
        <w:keepNext w:val="0"/>
        <w:keepLines w:val="0"/>
        <w:pageBreakBefore w:val="0"/>
        <w:widowControl/>
        <w:kinsoku/>
        <w:wordWrap/>
        <w:overflowPunct/>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2.1采购人：</w:t>
      </w:r>
      <w:r>
        <w:rPr>
          <w:rFonts w:hint="eastAsia" w:ascii="宋体" w:hAnsi="宋体" w:cs="宋体"/>
          <w:bCs/>
          <w:color w:val="auto"/>
          <w:sz w:val="24"/>
          <w:szCs w:val="24"/>
          <w:lang w:eastAsia="zh-CN"/>
        </w:rPr>
        <w:t>安康市人力资源和社会保障局。</w:t>
      </w:r>
    </w:p>
    <w:p w14:paraId="3ABB41D7">
      <w:pPr>
        <w:keepNext w:val="0"/>
        <w:keepLines w:val="0"/>
        <w:pageBreakBefore w:val="0"/>
        <w:widowControl/>
        <w:kinsoku/>
        <w:wordWrap/>
        <w:overflowPunct/>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2.2采购代理机构：安康尚昊招标代理有限公司</w:t>
      </w:r>
      <w:r>
        <w:rPr>
          <w:rFonts w:hint="eastAsia" w:ascii="宋体" w:hAnsi="宋体" w:cs="宋体"/>
          <w:bCs/>
          <w:color w:val="auto"/>
          <w:sz w:val="24"/>
          <w:szCs w:val="24"/>
          <w:lang w:eastAsia="zh-CN"/>
        </w:rPr>
        <w:t>。</w:t>
      </w:r>
    </w:p>
    <w:p w14:paraId="1D3DB9EA">
      <w:pPr>
        <w:keepNext w:val="0"/>
        <w:keepLines w:val="0"/>
        <w:pageBreakBefore w:val="0"/>
        <w:widowControl/>
        <w:kinsoku/>
        <w:wordWrap/>
        <w:overflowPunct/>
        <w:topLinePunct w:val="0"/>
        <w:autoSpaceDE/>
        <w:autoSpaceDN/>
        <w:bidi w:val="0"/>
        <w:snapToGrid w:val="0"/>
        <w:spacing w:line="360" w:lineRule="auto"/>
        <w:ind w:right="-90" w:rightChars="-43"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r>
        <w:rPr>
          <w:rFonts w:hint="eastAsia" w:ascii="宋体" w:hAnsi="宋体" w:cs="宋体"/>
          <w:bCs/>
          <w:color w:val="auto"/>
          <w:sz w:val="24"/>
          <w:szCs w:val="24"/>
          <w:lang w:eastAsia="zh-CN"/>
        </w:rPr>
        <w:t>。</w:t>
      </w:r>
    </w:p>
    <w:p w14:paraId="3A7D65B8">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2.4供应商：指无条件接受磋商文件的各项要求，具备相应履约能力、具有《中华人民共和国政府采购法》第</w:t>
      </w:r>
      <w:r>
        <w:rPr>
          <w:rFonts w:hint="eastAsia" w:ascii="宋体" w:hAnsi="宋体" w:cs="宋体"/>
          <w:bCs/>
          <w:color w:val="000000" w:themeColor="text1"/>
          <w:sz w:val="24"/>
          <w:szCs w:val="24"/>
          <w:lang w:val="en-US" w:eastAsia="zh-CN"/>
          <w14:textFill>
            <w14:solidFill>
              <w14:schemeClr w14:val="tx1"/>
            </w14:solidFill>
          </w14:textFill>
        </w:rPr>
        <w:t>二十二</w:t>
      </w:r>
      <w:r>
        <w:rPr>
          <w:rFonts w:hint="eastAsia" w:ascii="宋体" w:hAnsi="宋体" w:cs="宋体"/>
          <w:bCs/>
          <w:color w:val="000000" w:themeColor="text1"/>
          <w:sz w:val="24"/>
          <w:szCs w:val="24"/>
          <w14:textFill>
            <w14:solidFill>
              <w14:schemeClr w14:val="tx1"/>
            </w14:solidFill>
          </w14:textFill>
        </w:rPr>
        <w:t>规定的相关条件并向磋商小组提交响应文件的</w:t>
      </w:r>
      <w:r>
        <w:rPr>
          <w:rFonts w:hint="eastAsia" w:ascii="宋体" w:hAnsi="宋体" w:eastAsia="宋体" w:cs="宋体"/>
          <w:bCs/>
          <w:color w:val="000000" w:themeColor="text1"/>
          <w:sz w:val="24"/>
          <w:szCs w:val="24"/>
          <w14:textFill>
            <w14:solidFill>
              <w14:schemeClr w14:val="tx1"/>
            </w14:solidFill>
          </w14:textFill>
        </w:rPr>
        <w:t>法人、其他组织或自然人</w:t>
      </w:r>
      <w:r>
        <w:rPr>
          <w:rFonts w:hint="eastAsia" w:ascii="宋体" w:hAnsi="宋体" w:cs="宋体"/>
          <w:bCs/>
          <w:color w:val="000000" w:themeColor="text1"/>
          <w:sz w:val="24"/>
          <w:szCs w:val="24"/>
          <w14:textFill>
            <w14:solidFill>
              <w14:schemeClr w14:val="tx1"/>
            </w14:solidFill>
          </w14:textFill>
        </w:rPr>
        <w:t>。</w:t>
      </w:r>
    </w:p>
    <w:p w14:paraId="6CE69F1F">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2.5货物：是指本次投标所需的各种形态和种类的物品。</w:t>
      </w:r>
    </w:p>
    <w:p w14:paraId="27E1BB7D">
      <w:pPr>
        <w:keepNext w:val="0"/>
        <w:keepLines w:val="0"/>
        <w:pageBreakBefore w:val="0"/>
        <w:widowControl/>
        <w:kinsoku/>
        <w:wordWrap/>
        <w:overflowPunct/>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000000" w:themeColor="text1"/>
          <w:sz w:val="24"/>
          <w:szCs w:val="24"/>
          <w14:textFill>
            <w14:solidFill>
              <w14:schemeClr w14:val="tx1"/>
            </w14:solidFill>
          </w14:textFill>
        </w:rPr>
        <w:t>2.6服务：指除了货物和工</w:t>
      </w:r>
      <w:r>
        <w:rPr>
          <w:rFonts w:hint="eastAsia" w:ascii="宋体" w:hAnsi="宋体" w:cs="宋体"/>
          <w:b w:val="0"/>
          <w:bCs/>
          <w:color w:val="000000" w:themeColor="text1"/>
          <w:sz w:val="24"/>
          <w:szCs w:val="24"/>
          <w14:textFill>
            <w14:solidFill>
              <w14:schemeClr w14:val="tx1"/>
            </w14:solidFill>
          </w14:textFill>
        </w:rPr>
        <w:t>程外的其</w:t>
      </w:r>
      <w:r>
        <w:rPr>
          <w:rFonts w:hint="eastAsia" w:ascii="宋体" w:hAnsi="宋体" w:cs="宋体"/>
          <w:bCs/>
          <w:color w:val="000000" w:themeColor="text1"/>
          <w:sz w:val="24"/>
          <w:szCs w:val="24"/>
          <w14:textFill>
            <w14:solidFill>
              <w14:schemeClr w14:val="tx1"/>
            </w14:solidFill>
          </w14:textFill>
        </w:rPr>
        <w:t>他政府采购对象，包含除货物以外规定由供应商承担的与货物有关的辅助服务。</w:t>
      </w:r>
    </w:p>
    <w:p w14:paraId="28AB16A7">
      <w:pPr>
        <w:keepNext w:val="0"/>
        <w:keepLines w:val="0"/>
        <w:pageBreakBefore w:val="0"/>
        <w:widowControl/>
        <w:kinsoku/>
        <w:wordWrap/>
        <w:overflowPunct/>
        <w:topLinePunct w:val="0"/>
        <w:bidi w:val="0"/>
        <w:snapToGrid w:val="0"/>
        <w:spacing w:line="360" w:lineRule="auto"/>
        <w:ind w:firstLine="482" w:firstLineChars="200"/>
        <w:jc w:val="left"/>
        <w:textAlignment w:val="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3.</w:t>
      </w:r>
      <w:r>
        <w:rPr>
          <w:rFonts w:hint="eastAsia" w:ascii="宋体" w:hAnsi="宋体" w:cs="宋体"/>
          <w:b/>
          <w:bCs/>
          <w:color w:val="000000" w:themeColor="text1"/>
          <w:sz w:val="24"/>
          <w:szCs w:val="24"/>
          <w14:textFill>
            <w14:solidFill>
              <w14:schemeClr w14:val="tx1"/>
            </w14:solidFill>
          </w14:textFill>
        </w:rPr>
        <w:t>合格的供应商</w:t>
      </w:r>
    </w:p>
    <w:p w14:paraId="437FE058">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3.1具有本项目生产、制造、加工、供应或实施能力，符合、承认并承诺履行本磋商文件各项规定的国内供应商。</w:t>
      </w:r>
    </w:p>
    <w:p w14:paraId="61D65D4F">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3.2供应商应遵守有关的国家</w:t>
      </w:r>
      <w:r>
        <w:rPr>
          <w:rFonts w:hint="eastAsia" w:ascii="宋体" w:hAnsi="宋体" w:cs="宋体"/>
          <w:bCs/>
          <w:color w:val="000000" w:themeColor="text1"/>
          <w:sz w:val="24"/>
          <w:szCs w:val="24"/>
          <w:lang w:eastAsia="zh-CN"/>
          <w14:textFill>
            <w14:solidFill>
              <w14:schemeClr w14:val="tx1"/>
            </w14:solidFill>
          </w14:textFill>
        </w:rPr>
        <w:t>法律法规</w:t>
      </w:r>
      <w:r>
        <w:rPr>
          <w:rFonts w:hint="eastAsia" w:ascii="宋体" w:hAnsi="宋体" w:cs="宋体"/>
          <w:bCs/>
          <w:color w:val="000000" w:themeColor="text1"/>
          <w:sz w:val="24"/>
          <w:szCs w:val="24"/>
          <w14:textFill>
            <w14:solidFill>
              <w14:schemeClr w14:val="tx1"/>
            </w14:solidFill>
          </w14:textFill>
        </w:rPr>
        <w:t>和条例，具备《中华人民共和国政府采购法》和本文件中规定的条件：</w:t>
      </w:r>
    </w:p>
    <w:p w14:paraId="1D571A33">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（1）具有独立承担民事责任的能力；</w:t>
      </w:r>
    </w:p>
    <w:p w14:paraId="46526163">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（2）具有良好的商业信誉和健全的财务会计制度；</w:t>
      </w:r>
    </w:p>
    <w:p w14:paraId="7E4AB686">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（3）具有履行合同所必需的产品和专业技术能力；</w:t>
      </w:r>
    </w:p>
    <w:p w14:paraId="78E68E07">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（4）具有依法缴纳税收和社会保障资金的良好记录；</w:t>
      </w:r>
    </w:p>
    <w:p w14:paraId="0F134B45">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（5）参加此项采购活动前三年内，在经营活动中没有重大违法记录；</w:t>
      </w:r>
    </w:p>
    <w:p w14:paraId="1E9B841E">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（6）法律、行政法规规定的其他条件。</w:t>
      </w:r>
    </w:p>
    <w:p w14:paraId="70122B09">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3.3供应商</w:t>
      </w:r>
      <w:r>
        <w:rPr>
          <w:rFonts w:hint="eastAsia" w:ascii="宋体" w:hAnsi="宋体" w:cs="宋体"/>
          <w:bCs/>
          <w:color w:val="000000" w:themeColor="text1"/>
          <w:sz w:val="24"/>
          <w:szCs w:val="24"/>
          <w:lang w:val="en-US" w:eastAsia="zh-CN"/>
          <w14:textFill>
            <w14:solidFill>
              <w14:schemeClr w14:val="tx1"/>
            </w14:solidFill>
          </w14:textFill>
        </w:rPr>
        <w:t>获取</w:t>
      </w:r>
      <w:r>
        <w:rPr>
          <w:rFonts w:hint="eastAsia" w:ascii="宋体" w:hAnsi="宋体" w:cs="宋体"/>
          <w:bCs/>
          <w:color w:val="000000" w:themeColor="text1"/>
          <w:sz w:val="24"/>
          <w:szCs w:val="24"/>
          <w14:textFill>
            <w14:solidFill>
              <w14:schemeClr w14:val="tx1"/>
            </w14:solidFill>
          </w14:textFill>
        </w:rPr>
        <w:t>磋商文件时应提供有效联系方式。</w:t>
      </w:r>
    </w:p>
    <w:p w14:paraId="4567B7F8">
      <w:pPr>
        <w:keepNext w:val="0"/>
        <w:keepLines w:val="0"/>
        <w:pageBreakBefore w:val="0"/>
        <w:widowControl/>
        <w:kinsoku/>
        <w:wordWrap/>
        <w:overflowPunct/>
        <w:topLinePunct w:val="0"/>
        <w:bidi w:val="0"/>
        <w:snapToGrid w:val="0"/>
        <w:spacing w:line="360" w:lineRule="auto"/>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3.4如供应商代表不是法定代表人，须持有《法定代表人授权委托书》 </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按磋商文件提供的格式填写</w:t>
      </w:r>
      <w:r>
        <w:rPr>
          <w:rFonts w:hint="eastAsia" w:ascii="宋体" w:hAnsi="宋体" w:cs="宋体"/>
          <w:bCs/>
          <w:color w:val="000000" w:themeColor="text1"/>
          <w:sz w:val="24"/>
          <w:szCs w:val="24"/>
          <w:lang w:eastAsia="zh-CN"/>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w:t>
      </w:r>
    </w:p>
    <w:p w14:paraId="15BB6933">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3.5供应商应独立于采购人，不得直接或间接地与采购人为采购本次招标的货物或服务进行设计、编制技术规格</w:t>
      </w:r>
      <w:r>
        <w:rPr>
          <w:rFonts w:hint="eastAsia" w:ascii="宋体" w:hAnsi="宋体" w:cs="宋体"/>
          <w:bCs/>
          <w:color w:val="000000" w:themeColor="text1"/>
          <w:sz w:val="24"/>
          <w:szCs w:val="24"/>
          <w:lang w:eastAsia="zh-CN"/>
          <w14:textFill>
            <w14:solidFill>
              <w14:schemeClr w14:val="tx1"/>
            </w14:solidFill>
          </w14:textFill>
        </w:rPr>
        <w:t>和其他</w:t>
      </w:r>
      <w:r>
        <w:rPr>
          <w:rFonts w:hint="eastAsia" w:ascii="宋体" w:hAnsi="宋体" w:cs="宋体"/>
          <w:bCs/>
          <w:color w:val="000000" w:themeColor="text1"/>
          <w:sz w:val="24"/>
          <w:szCs w:val="24"/>
          <w14:textFill>
            <w14:solidFill>
              <w14:schemeClr w14:val="tx1"/>
            </w14:solidFill>
          </w14:textFill>
        </w:rPr>
        <w:t>文件所委托的咨询公司或其附属机构有任何关联。</w:t>
      </w:r>
    </w:p>
    <w:p w14:paraId="557EBB24">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3.6供应商不得存在下列情形之一：</w:t>
      </w:r>
    </w:p>
    <w:p w14:paraId="5F0B2464">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（1）与采购人或采购代理机构存在隶属关系或者其他利害关系；</w:t>
      </w:r>
    </w:p>
    <w:p w14:paraId="2294DB85">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（2）与其他供应商的法定代表人（或者负责人）为同一人，或者与其他供应商存在直接控股、管理关系；</w:t>
      </w:r>
    </w:p>
    <w:p w14:paraId="3C03D2F5">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14:textFill>
            <w14:solidFill>
              <w14:schemeClr w14:val="tx1"/>
            </w14:solidFill>
          </w14:textFill>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Cs/>
          <w:color w:val="000000" w:themeColor="text1"/>
          <w:sz w:val="24"/>
          <w:szCs w:val="24"/>
          <w:lang w:eastAsia="zh-CN"/>
          <w14:textFill>
            <w14:solidFill>
              <w14:schemeClr w14:val="tx1"/>
            </w14:solidFill>
          </w14:textFill>
        </w:rPr>
        <w:t>；</w:t>
      </w:r>
    </w:p>
    <w:p w14:paraId="298430F7">
      <w:pPr>
        <w:pStyle w:val="46"/>
        <w:keepNext w:val="0"/>
        <w:keepLines w:val="0"/>
        <w:pageBreakBefore w:val="0"/>
        <w:widowControl w:val="0"/>
        <w:kinsoku/>
        <w:wordWrap/>
        <w:overflowPunct/>
        <w:topLinePunct w:val="0"/>
        <w:autoSpaceDE/>
        <w:autoSpaceDN/>
        <w:bidi w:val="0"/>
        <w:adjustRightInd/>
        <w:spacing w:line="46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cs="宋体"/>
          <w:bCs/>
          <w:color w:val="000000" w:themeColor="text1"/>
          <w:sz w:val="24"/>
          <w:szCs w:val="24"/>
          <w14:textFill>
            <w14:solidFill>
              <w14:schemeClr w14:val="tx1"/>
            </w14:solidFill>
          </w14:textFill>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000000" w:themeColor="text1"/>
          <w:sz w:val="24"/>
          <w:szCs w:val="24"/>
          <w:lang w:eastAsia="zh-CN"/>
          <w14:textFill>
            <w14:solidFill>
              <w14:schemeClr w14:val="tx1"/>
            </w14:solidFill>
          </w14:textFill>
        </w:rPr>
        <w:t>。</w:t>
      </w:r>
    </w:p>
    <w:p w14:paraId="225EB7DD">
      <w:pPr>
        <w:keepNext w:val="0"/>
        <w:keepLines w:val="0"/>
        <w:pageBreakBefore w:val="0"/>
        <w:widowControl/>
        <w:kinsoku/>
        <w:wordWrap/>
        <w:overflowPunct/>
        <w:topLinePunct w:val="0"/>
        <w:bidi w:val="0"/>
        <w:snapToGrid w:val="0"/>
        <w:spacing w:line="460" w:lineRule="exact"/>
        <w:ind w:firstLine="482" w:firstLineChars="200"/>
        <w:jc w:val="left"/>
        <w:textAlignment w:val="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政府采购政策支持</w:t>
      </w:r>
    </w:p>
    <w:p w14:paraId="1B75A2EF">
      <w:pPr>
        <w:keepNext w:val="0"/>
        <w:keepLines w:val="0"/>
        <w:pageBreakBefore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根据《政府采购促进中小企业发展管理办法》（财库〔2020〕46号）和《陕西省财政厅关于加快推进我省中小企业政府采购信用融资工作的通知》（陕财办采〔2020〕15 号）有关要求，对政府采购相关政策落实如下：</w:t>
      </w:r>
    </w:p>
    <w:p w14:paraId="4E69E8EA">
      <w:pPr>
        <w:keepNext w:val="0"/>
        <w:keepLines w:val="0"/>
        <w:pageBreakBefore w:val="0"/>
        <w:tabs>
          <w:tab w:val="left" w:pos="0"/>
        </w:tabs>
        <w:kinsoku/>
        <w:wordWrap/>
        <w:overflowPunct/>
        <w:topLinePunct w:val="0"/>
        <w:autoSpaceDE w:val="0"/>
        <w:autoSpaceDN w:val="0"/>
        <w:bidi w:val="0"/>
        <w:adjustRightInd w:val="0"/>
        <w:snapToGrid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 xml:space="preserve">的价格扣除，用扣除后的价格参与评标。  </w:t>
      </w:r>
    </w:p>
    <w:p w14:paraId="58420676">
      <w:pPr>
        <w:keepNext w:val="0"/>
        <w:keepLines w:val="0"/>
        <w:pageBreakBefore w:val="0"/>
        <w:tabs>
          <w:tab w:val="left" w:pos="0"/>
        </w:tabs>
        <w:kinsoku/>
        <w:wordWrap/>
        <w:overflowPunct/>
        <w:topLinePunct w:val="0"/>
        <w:autoSpaceDE w:val="0"/>
        <w:autoSpaceDN w:val="0"/>
        <w:bidi w:val="0"/>
        <w:adjustRightInd w:val="0"/>
        <w:snapToGrid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（2）根据财政部、司法部联合下发的《关于政府采购支持监狱企业发展有关问题的通知》（财库〔2014〕68号）的规定，监狱企业视同小型、微型企业。评标时，对监狱企业</w:t>
      </w:r>
      <w:r>
        <w:rPr>
          <w:rFonts w:hint="eastAsia" w:ascii="宋体" w:hAnsi="宋体"/>
          <w:color w:val="000000" w:themeColor="text1"/>
          <w:sz w:val="24"/>
          <w:szCs w:val="24"/>
          <w:lang w:eastAsia="zh-CN"/>
          <w14:textFill>
            <w14:solidFill>
              <w14:schemeClr w14:val="tx1"/>
            </w14:solidFill>
          </w14:textFill>
        </w:rPr>
        <w:t>给予</w:t>
      </w:r>
      <w:r>
        <w:rPr>
          <w:rFonts w:hint="eastAsia" w:ascii="宋体" w:hAnsi="宋体"/>
          <w:color w:val="000000" w:themeColor="text1"/>
          <w:sz w:val="24"/>
          <w:szCs w:val="24"/>
          <w:lang w:val="en-US"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的价格扣除，用扣除后的价格参与评审；</w:t>
      </w:r>
    </w:p>
    <w:p w14:paraId="3A8919D4">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 根据财政部、民政部、中国残疾人联合会下发的《关于促进残疾人就业政府采购政策的通知》（财库〔201</w:t>
      </w:r>
      <w:r>
        <w:rPr>
          <w:rFonts w:ascii="宋体" w:hAnsi="宋体"/>
          <w:color w:val="000000" w:themeColor="text1"/>
          <w:sz w:val="24"/>
          <w:szCs w:val="24"/>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141</w:t>
      </w:r>
      <w:r>
        <w:rPr>
          <w:rFonts w:hint="eastAsia" w:ascii="宋体" w:hAnsi="宋体"/>
          <w:color w:val="000000" w:themeColor="text1"/>
          <w:sz w:val="24"/>
          <w:szCs w:val="24"/>
          <w14:textFill>
            <w14:solidFill>
              <w14:schemeClr w14:val="tx1"/>
            </w14:solidFill>
          </w14:textFill>
        </w:rPr>
        <w:t>号）的规定，残疾人福利性单位提供本单位制造的货物、承担的工程或者服务，或者提供其他残疾人福利性单位制造的货物（不包括使用非残疾人福利性单位</w:t>
      </w:r>
      <w:r>
        <w:rPr>
          <w:rFonts w:hint="eastAsia" w:ascii="宋体" w:hAnsi="宋体" w:eastAsia="宋体" w:cs="宋体"/>
          <w:bCs/>
          <w:color w:val="000000" w:themeColor="text1"/>
          <w:sz w:val="24"/>
          <w:szCs w:val="24"/>
          <w14:textFill>
            <w14:solidFill>
              <w14:schemeClr w14:val="tx1"/>
            </w14:solidFill>
          </w14:textFill>
        </w:rPr>
        <w:t>注册商标的货物）参与政府采购活动时，视同小型、微型企业，享受预留份额、评审中价格扣除等促进中小企业发展的政府采购政策。</w:t>
      </w:r>
    </w:p>
    <w:p w14:paraId="21D58407">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（4）对专门面向中小企业采购项目，不再执行价格扣除政策。</w:t>
      </w:r>
    </w:p>
    <w:p w14:paraId="7BB27341">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（5）对非专门面向中小企业采购项目，执行以上价格扣除政策。</w:t>
      </w:r>
    </w:p>
    <w:p w14:paraId="445BC938">
      <w:pPr>
        <w:keepNext w:val="0"/>
        <w:keepLines w:val="0"/>
        <w:pageBreakBefore w:val="0"/>
        <w:widowControl/>
        <w:kinsoku/>
        <w:wordWrap/>
        <w:overflowPunct/>
        <w:topLinePunct w:val="0"/>
        <w:bidi w:val="0"/>
        <w:snapToGrid w:val="0"/>
        <w:spacing w:line="460" w:lineRule="exact"/>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注：参加政府采购活动的中小企业/残疾人单位应提供《中小企业</w:t>
      </w:r>
      <w:r>
        <w:rPr>
          <w:rFonts w:hint="eastAsia" w:ascii="宋体" w:hAnsi="宋体"/>
          <w:color w:val="000000" w:themeColor="text1"/>
          <w:sz w:val="24"/>
          <w:szCs w:val="24"/>
          <w14:textFill>
            <w14:solidFill>
              <w14:schemeClr w14:val="tx1"/>
            </w14:solidFill>
          </w14:textFill>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000000" w:themeColor="text1"/>
          <w:sz w:val="24"/>
          <w:szCs w:val="24"/>
          <w:lang w:eastAsia="zh-CN"/>
          <w14:textFill>
            <w14:solidFill>
              <w14:schemeClr w14:val="tx1"/>
            </w14:solidFill>
          </w14:textFill>
        </w:rPr>
        <w:t>磋商文件</w:t>
      </w:r>
      <w:r>
        <w:rPr>
          <w:rFonts w:hint="eastAsia" w:ascii="宋体" w:hAnsi="宋体"/>
          <w:color w:val="000000" w:themeColor="text1"/>
          <w:sz w:val="24"/>
          <w:szCs w:val="24"/>
          <w14:textFill>
            <w14:solidFill>
              <w14:schemeClr w14:val="tx1"/>
            </w14:solidFill>
          </w14:textFill>
        </w:rPr>
        <w:t>规定的价格扣除，但不影响</w:t>
      </w:r>
      <w:r>
        <w:rPr>
          <w:rFonts w:hint="eastAsia" w:ascii="宋体" w:hAnsi="宋体"/>
          <w:color w:val="000000" w:themeColor="text1"/>
          <w:sz w:val="24"/>
          <w:szCs w:val="24"/>
          <w:lang w:eastAsia="zh-CN"/>
          <w14:textFill>
            <w14:solidFill>
              <w14:schemeClr w14:val="tx1"/>
            </w14:solidFill>
          </w14:textFill>
        </w:rPr>
        <w:t>响应文件</w:t>
      </w:r>
      <w:r>
        <w:rPr>
          <w:rFonts w:hint="eastAsia" w:ascii="宋体" w:hAnsi="宋体"/>
          <w:color w:val="000000" w:themeColor="text1"/>
          <w:sz w:val="24"/>
          <w:szCs w:val="24"/>
          <w14:textFill>
            <w14:solidFill>
              <w14:schemeClr w14:val="tx1"/>
            </w14:solidFill>
          </w14:textFill>
        </w:rPr>
        <w:t>的有效性</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对既属于监狱企业、福利企业，同时又满足中小微企业规定的投标单位，其价格扣除仅适用一次。</w:t>
      </w:r>
    </w:p>
    <w:p w14:paraId="66106DBE">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 ①根据财政部、国家发展改革委《关于印发〈节能产品政府采购实施意见〉的通知》（财库〔2004〕185号）所投产品属于节能产品政府采购清单所列产品，在技术、服务同等的条件下，应当优先采用清单中的节能产品；</w:t>
      </w:r>
    </w:p>
    <w:p w14:paraId="5C34EA49">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②所投产品为“环境标志产品政府采购清单”所列产品，在性能、技术、服务等指标同等的条件下，应当优先采用；</w:t>
      </w:r>
    </w:p>
    <w:p w14:paraId="1261CD62">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③节能产品根据《国务院办公厅关于建立政府强制采购节能产品制度的通知》国办发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2007</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51号的规定，以中国政府采购网（http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//www.ccgp.gov.cn/）公布的最新一期节能产品政府采购清单为准；</w:t>
      </w:r>
    </w:p>
    <w:p w14:paraId="191F39F6">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④环境标志产品根据《环境标志产品政府采购实施的意见》（财库[2006]90号）的规定，以中国政府采购网（http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//www.ccgp.gov.cn/）公布的最新一期环境标志产品政府采购清单为准；</w:t>
      </w:r>
    </w:p>
    <w:p w14:paraId="49AD9198">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⑤若节能、环保、环境标志清单内的产品仅是构成投标产品的部件、组件或零件的，则该投标产品不享受鼓励优惠政策；</w:t>
      </w:r>
    </w:p>
    <w:p w14:paraId="3834B6D3">
      <w:pPr>
        <w:keepNext w:val="0"/>
        <w:keepLines w:val="0"/>
        <w:pageBreakBefore w:val="0"/>
        <w:widowControl w:val="0"/>
        <w:kinsoku/>
        <w:wordWrap/>
        <w:overflowPunct/>
        <w:topLinePunct w:val="0"/>
        <w:bidi w:val="0"/>
        <w:spacing w:line="460" w:lineRule="exact"/>
        <w:ind w:firstLine="480" w:firstLineChars="200"/>
        <w:textAlignment w:val="auto"/>
        <w:rPr>
          <w:rFonts w:ascii="Calibri" w:hAnsi="Calibri"/>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关于信用记录的查询和使用</w:t>
      </w:r>
    </w:p>
    <w:p w14:paraId="6FF2DA54">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采购人将在</w:t>
      </w:r>
      <w:r>
        <w:rPr>
          <w:rFonts w:ascii="宋体" w:hAnsi="宋体"/>
          <w:color w:val="000000" w:themeColor="text1"/>
          <w:sz w:val="24"/>
          <w:szCs w:val="24"/>
          <w14:textFill>
            <w14:solidFill>
              <w14:schemeClr w14:val="tx1"/>
            </w14:solidFill>
          </w14:textFill>
        </w:rPr>
        <w:t>资格审查</w:t>
      </w:r>
      <w:r>
        <w:rPr>
          <w:rFonts w:hint="eastAsia" w:ascii="宋体" w:hAnsi="宋体"/>
          <w:color w:val="000000" w:themeColor="text1"/>
          <w:sz w:val="24"/>
          <w:szCs w:val="24"/>
          <w14:textFill>
            <w14:solidFill>
              <w14:schemeClr w14:val="tx1"/>
            </w14:solidFill>
          </w14:textFill>
        </w:rPr>
        <w:t>阶段通过【</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（www.creditchina.gov.cn）】、【</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"http://www.ccgp.gov.cn/cr/list"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（www.ccgp.gov.cn）】网站对</w:t>
      </w:r>
      <w:r>
        <w:rPr>
          <w:rFonts w:hint="eastAsia" w:ascii="宋体" w:hAnsi="宋体"/>
          <w:color w:val="000000" w:themeColor="text1"/>
          <w:sz w:val="24"/>
          <w:szCs w:val="24"/>
          <w:lang w:eastAsia="zh-CN"/>
          <w14:textFill>
            <w14:solidFill>
              <w14:schemeClr w14:val="tx1"/>
            </w14:solidFill>
          </w14:textFill>
        </w:rPr>
        <w:t>响应文件</w:t>
      </w:r>
      <w:r>
        <w:rPr>
          <w:rFonts w:hint="eastAsia" w:ascii="宋体" w:hAnsi="宋体"/>
          <w:color w:val="000000" w:themeColor="text1"/>
          <w:sz w:val="24"/>
          <w:szCs w:val="24"/>
          <w14:textFill>
            <w14:solidFill>
              <w14:schemeClr w14:val="tx1"/>
            </w14:solidFill>
          </w14:textFill>
        </w:rPr>
        <w:t>中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42E9D657">
      <w:pPr>
        <w:keepNext w:val="0"/>
        <w:keepLines w:val="0"/>
        <w:pageBreakBefore w:val="0"/>
        <w:widowControl w:val="0"/>
        <w:kinsoku/>
        <w:wordWrap/>
        <w:overflowPunct/>
        <w:topLinePunct w:val="0"/>
        <w:bidi w:val="0"/>
        <w:spacing w:line="46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投标人在参加政府采购活动前3年内因违法经营被禁止在一定期限内参加政府采购活动，期限届满的，可以参加政府采购活动的，但投标人应提供相关证明材料；</w:t>
      </w:r>
    </w:p>
    <w:p w14:paraId="20684378">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w:t>
      </w:r>
      <w:r>
        <w:rPr>
          <w:rFonts w:ascii="宋体" w:hAnsi="宋体"/>
          <w:color w:val="000000" w:themeColor="text1"/>
          <w:sz w:val="24"/>
          <w:szCs w:val="24"/>
          <w14:textFill>
            <w14:solidFill>
              <w14:schemeClr w14:val="tx1"/>
            </w14:solidFill>
          </w14:textFill>
        </w:rPr>
        <w:t>信用记录查询的截止时点为“</w:t>
      </w:r>
      <w:r>
        <w:rPr>
          <w:rFonts w:hint="eastAsia" w:ascii="宋体" w:hAnsi="宋体"/>
          <w:color w:val="000000" w:themeColor="text1"/>
          <w:sz w:val="24"/>
          <w:szCs w:val="24"/>
          <w:lang w:eastAsia="zh-CN"/>
          <w14:textFill>
            <w14:solidFill>
              <w14:schemeClr w14:val="tx1"/>
            </w14:solidFill>
          </w14:textFill>
        </w:rPr>
        <w:t>磋商文件</w:t>
      </w:r>
      <w:r>
        <w:rPr>
          <w:rFonts w:hint="eastAsia" w:ascii="宋体" w:hAnsi="宋体"/>
          <w:color w:val="000000" w:themeColor="text1"/>
          <w:sz w:val="24"/>
          <w:szCs w:val="24"/>
          <w:lang w:val="en-US" w:eastAsia="zh-CN"/>
          <w14:textFill>
            <w14:solidFill>
              <w14:schemeClr w14:val="tx1"/>
            </w14:solidFill>
          </w14:textFill>
        </w:rPr>
        <w:t>获取</w:t>
      </w:r>
      <w:r>
        <w:rPr>
          <w:rFonts w:hint="eastAsia" w:ascii="宋体" w:hAnsi="宋体"/>
          <w:color w:val="000000" w:themeColor="text1"/>
          <w:sz w:val="24"/>
          <w:szCs w:val="24"/>
          <w14:textFill>
            <w14:solidFill>
              <w14:schemeClr w14:val="tx1"/>
            </w14:solidFill>
          </w14:textFill>
        </w:rPr>
        <w:t>之日起至投标截止日前</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信用记录查询的结果，将以纸质截图或将截图保存至电子介质的形式留存。</w:t>
      </w:r>
    </w:p>
    <w:p w14:paraId="6B98526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000000" w:themeColor="text1"/>
          <w:sz w:val="24"/>
          <w:szCs w:val="24"/>
          <w:lang w:val="zh-CN"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cs="宋体"/>
          <w:b w:val="0"/>
          <w:bCs w:val="0"/>
          <w:color w:val="000000" w:themeColor="text1"/>
          <w:sz w:val="24"/>
          <w:szCs w:val="24"/>
          <w:lang w:val="en-US" w:eastAsia="zh-CN"/>
          <w14:textFill>
            <w14:solidFill>
              <w14:schemeClr w14:val="tx1"/>
            </w14:solidFill>
          </w14:textFill>
        </w:rPr>
        <w:t>8</w:t>
      </w: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融资政策</w:t>
      </w:r>
    </w:p>
    <w:p w14:paraId="2EFF4A4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zh-CN" w:eastAsia="zh-CN"/>
          <w14:textFill>
            <w14:solidFill>
              <w14:schemeClr w14:val="tx1"/>
            </w14:solidFill>
          </w14:textFill>
        </w:rPr>
        <w:t>根据《陕西省财政厅关于加快推进我省中小企业政府采购信用融资工作的通知》（陕财办采</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2020</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cs="宋体"/>
          <w:b w:val="0"/>
          <w:bCs w:val="0"/>
          <w:color w:val="000000" w:themeColor="text1"/>
          <w:sz w:val="24"/>
          <w:szCs w:val="24"/>
          <w:lang w:val="zh-CN" w:eastAsia="zh-CN"/>
          <w14:textFill>
            <w14:solidFill>
              <w14:schemeClr w14:val="tx1"/>
            </w14:solidFill>
          </w14:textFill>
        </w:rPr>
        <w:t>15号）文件精神，有融资需求的</w:t>
      </w:r>
      <w:r>
        <w:rPr>
          <w:rFonts w:hint="eastAsia" w:ascii="宋体" w:hAnsi="宋体" w:cs="宋体"/>
          <w:b w:val="0"/>
          <w:bCs w:val="0"/>
          <w:color w:val="000000" w:themeColor="text1"/>
          <w:sz w:val="24"/>
          <w:szCs w:val="24"/>
          <w:lang w:val="en-US" w:eastAsia="zh-CN"/>
          <w14:textFill>
            <w14:solidFill>
              <w14:schemeClr w14:val="tx1"/>
            </w14:solidFill>
          </w14:textFill>
        </w:rPr>
        <w:t>中标（成交）人</w:t>
      </w:r>
      <w:r>
        <w:rPr>
          <w:rFonts w:hint="eastAsia" w:ascii="宋体" w:hAnsi="宋体" w:cs="宋体"/>
          <w:b w:val="0"/>
          <w:bCs w:val="0"/>
          <w:color w:val="000000" w:themeColor="text1"/>
          <w:sz w:val="24"/>
          <w:szCs w:val="24"/>
          <w:lang w:val="zh-CN" w:eastAsia="zh-CN"/>
          <w14:textFill>
            <w14:solidFill>
              <w14:schemeClr w14:val="tx1"/>
            </w14:solidFill>
          </w14:textFill>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D43285">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5.</w:t>
      </w:r>
      <w:r>
        <w:rPr>
          <w:rFonts w:hint="eastAsia" w:ascii="宋体" w:hAnsi="宋体" w:cs="宋体"/>
          <w:b/>
          <w:bCs/>
          <w:color w:val="000000" w:themeColor="text1"/>
          <w:sz w:val="24"/>
          <w:szCs w:val="24"/>
          <w14:textFill>
            <w14:solidFill>
              <w14:schemeClr w14:val="tx1"/>
            </w14:solidFill>
          </w14:textFill>
        </w:rPr>
        <w:t>费用承担</w:t>
      </w:r>
    </w:p>
    <w:p w14:paraId="72A9C4E3">
      <w:pPr>
        <w:widowControl/>
        <w:snapToGrid w:val="0"/>
        <w:spacing w:line="360" w:lineRule="auto"/>
        <w:ind w:firstLine="480" w:firstLineChars="20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无论磋商结果如何，供应商自行承担所有与参加磋商有关的全部费用。</w:t>
      </w:r>
    </w:p>
    <w:p w14:paraId="0977569A">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6.</w:t>
      </w:r>
      <w:r>
        <w:rPr>
          <w:rFonts w:hint="eastAsia" w:ascii="宋体" w:hAnsi="宋体" w:cs="宋体"/>
          <w:b/>
          <w:bCs/>
          <w:color w:val="000000" w:themeColor="text1"/>
          <w:sz w:val="24"/>
          <w:szCs w:val="24"/>
          <w14:textFill>
            <w14:solidFill>
              <w14:schemeClr w14:val="tx1"/>
            </w14:solidFill>
          </w14:textFill>
        </w:rPr>
        <w:t>保密</w:t>
      </w:r>
    </w:p>
    <w:p w14:paraId="3A322A37">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737022ED">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7.</w:t>
      </w:r>
      <w:r>
        <w:rPr>
          <w:rFonts w:hint="eastAsia" w:ascii="宋体" w:hAnsi="宋体" w:cs="宋体"/>
          <w:b/>
          <w:bCs/>
          <w:color w:val="000000" w:themeColor="text1"/>
          <w:sz w:val="24"/>
          <w:szCs w:val="24"/>
          <w14:textFill>
            <w14:solidFill>
              <w14:schemeClr w14:val="tx1"/>
            </w14:solidFill>
          </w14:textFill>
        </w:rPr>
        <w:t>语言文字</w:t>
      </w:r>
    </w:p>
    <w:p w14:paraId="6E4AE69D">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3D444A3A">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8.</w:t>
      </w:r>
      <w:r>
        <w:rPr>
          <w:rFonts w:hint="eastAsia" w:ascii="宋体" w:hAnsi="宋体" w:cs="宋体"/>
          <w:b/>
          <w:bCs/>
          <w:color w:val="000000" w:themeColor="text1"/>
          <w:sz w:val="24"/>
          <w:szCs w:val="24"/>
          <w14:textFill>
            <w14:solidFill>
              <w14:schemeClr w14:val="tx1"/>
            </w14:solidFill>
          </w14:textFill>
        </w:rPr>
        <w:t>计量单位</w:t>
      </w:r>
    </w:p>
    <w:p w14:paraId="493BF011">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所有计量均采用中华人民共和国法定计量单位。</w:t>
      </w:r>
    </w:p>
    <w:p w14:paraId="6374FE7C">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9.</w:t>
      </w:r>
      <w:r>
        <w:rPr>
          <w:rFonts w:hint="eastAsia" w:ascii="宋体" w:hAnsi="宋体" w:cs="宋体"/>
          <w:b/>
          <w:bCs/>
          <w:color w:val="000000" w:themeColor="text1"/>
          <w:sz w:val="24"/>
          <w:szCs w:val="24"/>
          <w14:textFill>
            <w14:solidFill>
              <w14:schemeClr w14:val="tx1"/>
            </w14:solidFill>
          </w14:textFill>
        </w:rPr>
        <w:t>踏勘现场</w:t>
      </w:r>
    </w:p>
    <w:p w14:paraId="1703DA9B">
      <w:pPr>
        <w:pStyle w:val="11"/>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自行勘察，未勘察现场造成的一切后果由投标人自行承担（一切费用自理）。</w:t>
      </w:r>
    </w:p>
    <w:p w14:paraId="466F08B2">
      <w:pPr>
        <w:widowControl/>
        <w:snapToGrid w:val="0"/>
        <w:spacing w:line="360" w:lineRule="auto"/>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w:t>
      </w:r>
      <w:r>
        <w:rPr>
          <w:rFonts w:hint="eastAsia" w:ascii="宋体" w:hAnsi="宋体" w:cs="宋体"/>
          <w:b/>
          <w:bCs/>
          <w:color w:val="000000" w:themeColor="text1"/>
          <w:sz w:val="24"/>
          <w:szCs w:val="24"/>
          <w:lang w:eastAsia="zh-CN"/>
          <w14:textFill>
            <w14:solidFill>
              <w14:schemeClr w14:val="tx1"/>
            </w14:solidFill>
          </w14:textFill>
        </w:rPr>
        <w:t>0.</w:t>
      </w:r>
      <w:r>
        <w:rPr>
          <w:rFonts w:hint="eastAsia" w:ascii="宋体" w:hAnsi="宋体" w:cs="宋体"/>
          <w:b/>
          <w:bCs/>
          <w:color w:val="000000" w:themeColor="text1"/>
          <w:sz w:val="24"/>
          <w:szCs w:val="24"/>
          <w14:textFill>
            <w14:solidFill>
              <w14:schemeClr w14:val="tx1"/>
            </w14:solidFill>
          </w14:textFill>
        </w:rPr>
        <w:t>偏离</w:t>
      </w:r>
    </w:p>
    <w:p w14:paraId="25F41484">
      <w:pPr>
        <w:widowControl/>
        <w:snapToGrid w:val="0"/>
        <w:spacing w:line="360" w:lineRule="auto"/>
        <w:ind w:firstLine="480" w:firstLineChars="20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除供应商须知前附表另有规定外，供应商递交的响应文件不允许严重负偏离。</w:t>
      </w:r>
    </w:p>
    <w:p w14:paraId="0FCD71C9">
      <w:pPr>
        <w:widowControl/>
        <w:numPr>
          <w:ilvl w:val="0"/>
          <w:numId w:val="2"/>
        </w:numPr>
        <w:spacing w:line="360" w:lineRule="auto"/>
        <w:ind w:firstLine="643" w:firstLineChars="200"/>
        <w:jc w:val="center"/>
        <w:outlineLvl w:val="1"/>
        <w:rPr>
          <w:rFonts w:ascii="宋体" w:hAnsi="宋体" w:cs="宋体"/>
          <w:b/>
          <w:bCs/>
          <w:color w:val="000000" w:themeColor="text1"/>
          <w:kern w:val="0"/>
          <w:sz w:val="32"/>
          <w:szCs w:val="32"/>
          <w14:textFill>
            <w14:solidFill>
              <w14:schemeClr w14:val="tx1"/>
            </w14:solidFill>
          </w14:textFill>
        </w:rPr>
      </w:pPr>
      <w:r>
        <w:rPr>
          <w:rFonts w:hint="eastAsia" w:ascii="宋体" w:hAnsi="宋体" w:cs="宋体"/>
          <w:b/>
          <w:bCs/>
          <w:color w:val="000000" w:themeColor="text1"/>
          <w:kern w:val="0"/>
          <w:sz w:val="32"/>
          <w:szCs w:val="32"/>
          <w14:textFill>
            <w14:solidFill>
              <w14:schemeClr w14:val="tx1"/>
            </w14:solidFill>
          </w14:textFill>
        </w:rPr>
        <w:t>竞争性磋商文件</w:t>
      </w:r>
    </w:p>
    <w:p w14:paraId="01881EE8">
      <w:pPr>
        <w:pStyle w:val="4"/>
        <w:numPr>
          <w:ilvl w:val="0"/>
          <w:numId w:val="0"/>
        </w:numPr>
        <w:spacing w:line="360" w:lineRule="auto"/>
        <w:ind w:firstLine="482"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竞争性磋商文件的构成</w:t>
      </w:r>
    </w:p>
    <w:p w14:paraId="2470A66F">
      <w:pPr>
        <w:tabs>
          <w:tab w:val="left" w:pos="0"/>
        </w:tabs>
        <w:adjustRightInd w:val="0"/>
        <w:snapToGrid w:val="0"/>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092FCDB">
      <w:pPr>
        <w:numPr>
          <w:ilvl w:val="0"/>
          <w:numId w:val="0"/>
        </w:numPr>
        <w:tabs>
          <w:tab w:val="left" w:pos="0"/>
        </w:tabs>
        <w:adjustRightInd w:val="0"/>
        <w:snapToGrid w:val="0"/>
        <w:spacing w:line="360" w:lineRule="auto"/>
        <w:ind w:left="150" w:leftChars="0" w:firstLine="480" w:firstLineChars="0"/>
        <w:jc w:val="left"/>
        <w:rPr>
          <w:rFonts w:ascii="宋体" w:hAnsi="宋体" w:cs="宋体"/>
          <w:color w:val="000000" w:themeColor="text1"/>
          <w:sz w:val="24"/>
          <w:szCs w:val="28"/>
          <w14:textFill>
            <w14:solidFill>
              <w14:schemeClr w14:val="tx1"/>
            </w14:solidFill>
          </w14:textFill>
        </w:rPr>
      </w:pPr>
      <w:r>
        <w:rPr>
          <w:rFonts w:hint="default" w:ascii="宋体" w:hAnsi="宋体" w:eastAsia="宋体" w:cs="宋体"/>
          <w:color w:val="000000" w:themeColor="text1"/>
          <w:kern w:val="2"/>
          <w:sz w:val="24"/>
          <w:szCs w:val="28"/>
          <w:lang w:val="en-US" w:eastAsia="zh-CN" w:bidi="ar-SA"/>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竞争性磋商公告；</w:t>
      </w:r>
    </w:p>
    <w:p w14:paraId="349ECEEA">
      <w:pPr>
        <w:numPr>
          <w:ilvl w:val="0"/>
          <w:numId w:val="0"/>
        </w:numPr>
        <w:tabs>
          <w:tab w:val="left" w:pos="0"/>
        </w:tabs>
        <w:adjustRightInd w:val="0"/>
        <w:snapToGrid w:val="0"/>
        <w:spacing w:line="360" w:lineRule="auto"/>
        <w:ind w:left="150" w:leftChars="0" w:firstLine="480" w:firstLineChars="0"/>
        <w:jc w:val="left"/>
        <w:rPr>
          <w:rFonts w:ascii="宋体" w:hAnsi="宋体" w:cs="宋体"/>
          <w:color w:val="000000" w:themeColor="text1"/>
          <w:sz w:val="24"/>
          <w:szCs w:val="28"/>
          <w14:textFill>
            <w14:solidFill>
              <w14:schemeClr w14:val="tx1"/>
            </w14:solidFill>
          </w14:textFill>
        </w:rPr>
      </w:pPr>
      <w:r>
        <w:rPr>
          <w:rFonts w:hint="default" w:ascii="宋体" w:hAnsi="宋体" w:eastAsia="宋体" w:cs="宋体"/>
          <w:color w:val="000000" w:themeColor="text1"/>
          <w:kern w:val="2"/>
          <w:sz w:val="24"/>
          <w:szCs w:val="28"/>
          <w:lang w:val="en-US" w:eastAsia="zh-CN" w:bidi="ar-SA"/>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供应商须知前附表；</w:t>
      </w:r>
    </w:p>
    <w:p w14:paraId="7F0D7A40">
      <w:pPr>
        <w:numPr>
          <w:ilvl w:val="0"/>
          <w:numId w:val="0"/>
        </w:numPr>
        <w:tabs>
          <w:tab w:val="left" w:pos="0"/>
        </w:tabs>
        <w:adjustRightInd w:val="0"/>
        <w:snapToGrid w:val="0"/>
        <w:spacing w:line="360" w:lineRule="auto"/>
        <w:ind w:left="150" w:leftChars="0" w:firstLine="480" w:firstLineChars="0"/>
        <w:jc w:val="left"/>
        <w:rPr>
          <w:rFonts w:ascii="宋体" w:hAnsi="宋体" w:cs="宋体"/>
          <w:color w:val="000000" w:themeColor="text1"/>
          <w:sz w:val="24"/>
          <w:szCs w:val="28"/>
          <w14:textFill>
            <w14:solidFill>
              <w14:schemeClr w14:val="tx1"/>
            </w14:solidFill>
          </w14:textFill>
        </w:rPr>
      </w:pPr>
      <w:r>
        <w:rPr>
          <w:rFonts w:hint="default" w:ascii="宋体" w:hAnsi="宋体" w:eastAsia="宋体" w:cs="宋体"/>
          <w:color w:val="000000" w:themeColor="text1"/>
          <w:kern w:val="2"/>
          <w:sz w:val="24"/>
          <w:szCs w:val="28"/>
          <w:lang w:val="en-US" w:eastAsia="zh-CN" w:bidi="ar-SA"/>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供应商须知；</w:t>
      </w:r>
    </w:p>
    <w:p w14:paraId="7BB7D64A">
      <w:pPr>
        <w:numPr>
          <w:ilvl w:val="0"/>
          <w:numId w:val="0"/>
        </w:numPr>
        <w:tabs>
          <w:tab w:val="left" w:pos="0"/>
        </w:tabs>
        <w:adjustRightInd w:val="0"/>
        <w:snapToGrid w:val="0"/>
        <w:spacing w:line="360" w:lineRule="auto"/>
        <w:ind w:left="150" w:leftChars="0" w:firstLine="480" w:firstLineChars="0"/>
        <w:jc w:val="left"/>
        <w:rPr>
          <w:rFonts w:ascii="宋体" w:hAnsi="宋体" w:cs="宋体"/>
          <w:color w:val="000000" w:themeColor="text1"/>
          <w:sz w:val="24"/>
          <w:szCs w:val="28"/>
          <w14:textFill>
            <w14:solidFill>
              <w14:schemeClr w14:val="tx1"/>
            </w14:solidFill>
          </w14:textFill>
        </w:rPr>
      </w:pPr>
      <w:r>
        <w:rPr>
          <w:rFonts w:hint="default" w:ascii="宋体" w:hAnsi="宋体" w:eastAsia="宋体" w:cs="宋体"/>
          <w:color w:val="000000" w:themeColor="text1"/>
          <w:kern w:val="2"/>
          <w:sz w:val="24"/>
          <w:szCs w:val="28"/>
          <w:lang w:val="en-US" w:eastAsia="zh-CN" w:bidi="ar-SA"/>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评分标准；</w:t>
      </w:r>
    </w:p>
    <w:p w14:paraId="7F9AF642">
      <w:pPr>
        <w:numPr>
          <w:ilvl w:val="0"/>
          <w:numId w:val="0"/>
        </w:numPr>
        <w:tabs>
          <w:tab w:val="left" w:pos="0"/>
        </w:tabs>
        <w:adjustRightInd w:val="0"/>
        <w:snapToGrid w:val="0"/>
        <w:spacing w:line="360" w:lineRule="auto"/>
        <w:ind w:left="150" w:leftChars="0" w:firstLine="480" w:firstLineChars="0"/>
        <w:jc w:val="left"/>
        <w:rPr>
          <w:rFonts w:hint="eastAsia" w:ascii="宋体" w:hAnsi="宋体" w:cs="宋体"/>
          <w:color w:val="000000" w:themeColor="text1"/>
          <w:sz w:val="24"/>
          <w:szCs w:val="28"/>
          <w14:textFill>
            <w14:solidFill>
              <w14:schemeClr w14:val="tx1"/>
            </w14:solidFill>
          </w14:textFill>
        </w:rPr>
      </w:pPr>
      <w:r>
        <w:rPr>
          <w:rFonts w:hint="default" w:ascii="宋体" w:hAnsi="宋体" w:eastAsia="宋体" w:cs="宋体"/>
          <w:color w:val="000000" w:themeColor="text1"/>
          <w:kern w:val="2"/>
          <w:sz w:val="24"/>
          <w:szCs w:val="28"/>
          <w:lang w:val="en-US" w:eastAsia="zh-CN" w:bidi="ar-SA"/>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采购</w:t>
      </w:r>
      <w:r>
        <w:rPr>
          <w:rFonts w:hint="eastAsia" w:ascii="宋体" w:hAnsi="宋体" w:cs="宋体"/>
          <w:color w:val="000000" w:themeColor="text1"/>
          <w:sz w:val="24"/>
          <w:szCs w:val="28"/>
          <w:lang w:val="en-US" w:eastAsia="zh-CN"/>
          <w14:textFill>
            <w14:solidFill>
              <w14:schemeClr w14:val="tx1"/>
            </w14:solidFill>
          </w14:textFill>
        </w:rPr>
        <w:t>内容及</w:t>
      </w:r>
      <w:r>
        <w:rPr>
          <w:rFonts w:hint="eastAsia" w:ascii="宋体" w:hAnsi="宋体" w:cs="宋体"/>
          <w:color w:val="000000" w:themeColor="text1"/>
          <w:sz w:val="24"/>
          <w:szCs w:val="28"/>
          <w14:textFill>
            <w14:solidFill>
              <w14:schemeClr w14:val="tx1"/>
            </w14:solidFill>
          </w14:textFill>
        </w:rPr>
        <w:t>要求；</w:t>
      </w:r>
    </w:p>
    <w:p w14:paraId="5763BEE7">
      <w:pPr>
        <w:numPr>
          <w:ilvl w:val="0"/>
          <w:numId w:val="0"/>
        </w:numPr>
        <w:tabs>
          <w:tab w:val="left" w:pos="0"/>
        </w:tabs>
        <w:adjustRightInd w:val="0"/>
        <w:snapToGrid w:val="0"/>
        <w:spacing w:line="360" w:lineRule="auto"/>
        <w:ind w:left="150" w:leftChars="0" w:firstLine="480" w:firstLineChars="0"/>
        <w:jc w:val="left"/>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商务及合同主要条款；</w:t>
      </w:r>
    </w:p>
    <w:p w14:paraId="345A6901">
      <w:pPr>
        <w:numPr>
          <w:ilvl w:val="0"/>
          <w:numId w:val="0"/>
        </w:numPr>
        <w:tabs>
          <w:tab w:val="left" w:pos="0"/>
        </w:tabs>
        <w:adjustRightInd w:val="0"/>
        <w:snapToGrid w:val="0"/>
        <w:spacing w:line="360" w:lineRule="auto"/>
        <w:ind w:left="150" w:leftChars="0" w:firstLine="480" w:firstLineChars="0"/>
        <w:jc w:val="left"/>
        <w:rPr>
          <w:rFonts w:hint="eastAsia" w:ascii="宋体" w:hAnsi="宋体" w:cs="宋体"/>
          <w:color w:val="000000" w:themeColor="text1"/>
          <w:sz w:val="24"/>
          <w:szCs w:val="28"/>
          <w14:textFill>
            <w14:solidFill>
              <w14:schemeClr w14:val="tx1"/>
            </w14:solidFill>
          </w14:textFill>
        </w:rPr>
      </w:pPr>
      <w:r>
        <w:rPr>
          <w:rFonts w:hint="default" w:ascii="宋体" w:hAnsi="宋体" w:cs="宋体"/>
          <w:color w:val="000000" w:themeColor="text1"/>
          <w:sz w:val="24"/>
          <w:szCs w:val="28"/>
          <w:lang w:val="en-US"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响应文件格式。</w:t>
      </w:r>
    </w:p>
    <w:p w14:paraId="57C5DE21">
      <w:pPr>
        <w:pStyle w:val="4"/>
        <w:pageBreakBefore w:val="0"/>
        <w:widowControl w:val="0"/>
        <w:numPr>
          <w:ilvl w:val="0"/>
          <w:numId w:val="0"/>
        </w:numPr>
        <w:kinsoku/>
        <w:wordWrap/>
        <w:topLinePunct w:val="0"/>
        <w:autoSpaceDE/>
        <w:autoSpaceDN/>
        <w:bidi w:val="0"/>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磋商文件的检查及阅读</w:t>
      </w:r>
    </w:p>
    <w:p w14:paraId="7A17F5CF">
      <w:pPr>
        <w:pageBreakBefore w:val="0"/>
        <w:widowControl w:val="0"/>
        <w:tabs>
          <w:tab w:val="left" w:pos="0"/>
        </w:tabs>
        <w:kinsoku/>
        <w:wordWrap/>
        <w:topLinePunct w:val="0"/>
        <w:autoSpaceDE/>
        <w:autoSpaceDN/>
        <w:bidi w:val="0"/>
        <w:adjustRightInd w:val="0"/>
        <w:snapToGrid w:val="0"/>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cs="宋体"/>
          <w:color w:val="000000" w:themeColor="text1"/>
          <w:sz w:val="24"/>
          <w:szCs w:val="28"/>
          <w:lang w:eastAsia="zh-CN"/>
          <w14:textFill>
            <w14:solidFill>
              <w14:schemeClr w14:val="tx1"/>
            </w14:solidFill>
          </w14:textFill>
        </w:rPr>
        <w:t>作出</w:t>
      </w:r>
      <w:r>
        <w:rPr>
          <w:rFonts w:hint="eastAsia" w:ascii="宋体" w:hAnsi="宋体" w:cs="宋体"/>
          <w:color w:val="000000" w:themeColor="text1"/>
          <w:sz w:val="24"/>
          <w:szCs w:val="28"/>
          <w14:textFill>
            <w14:solidFill>
              <w14:schemeClr w14:val="tx1"/>
            </w14:solidFill>
          </w14:textFill>
        </w:rPr>
        <w:t>实质性响应是供应商的风险。没有按照竞争性磋商文件要求作出实质性响应的响应文件应作无效文件处理。</w:t>
      </w:r>
    </w:p>
    <w:p w14:paraId="08BDF834">
      <w:pPr>
        <w:pStyle w:val="4"/>
        <w:pageBreakBefore w:val="0"/>
        <w:widowControl w:val="0"/>
        <w:numPr>
          <w:ilvl w:val="0"/>
          <w:numId w:val="0"/>
        </w:numPr>
        <w:kinsoku/>
        <w:wordWrap/>
        <w:topLinePunct w:val="0"/>
        <w:autoSpaceDE/>
        <w:autoSpaceDN/>
        <w:bidi w:val="0"/>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现场踏勘及磋商文件答疑</w:t>
      </w:r>
    </w:p>
    <w:p w14:paraId="6314349B">
      <w:pPr>
        <w:pageBreakBefore w:val="0"/>
        <w:widowControl w:val="0"/>
        <w:tabs>
          <w:tab w:val="left" w:pos="0"/>
        </w:tabs>
        <w:kinsoku/>
        <w:wordWrap/>
        <w:topLinePunct w:val="0"/>
        <w:autoSpaceDE/>
        <w:autoSpaceDN/>
        <w:bidi w:val="0"/>
        <w:adjustRightInd w:val="0"/>
        <w:snapToGrid w:val="0"/>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472494DD">
      <w:pPr>
        <w:pStyle w:val="4"/>
        <w:pageBreakBefore w:val="0"/>
        <w:widowControl w:val="0"/>
        <w:numPr>
          <w:ilvl w:val="0"/>
          <w:numId w:val="0"/>
        </w:numPr>
        <w:kinsoku/>
        <w:wordWrap/>
        <w:topLinePunct w:val="0"/>
        <w:autoSpaceDE/>
        <w:autoSpaceDN/>
        <w:bidi w:val="0"/>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竞争性磋商文件的澄清</w:t>
      </w:r>
    </w:p>
    <w:p w14:paraId="0D5B3F7E">
      <w:pPr>
        <w:pageBreakBefore w:val="0"/>
        <w:widowControl w:val="0"/>
        <w:kinsoku/>
        <w:wordWrap/>
        <w:topLinePunct w:val="0"/>
        <w:autoSpaceDE/>
        <w:autoSpaceDN/>
        <w:bidi w:val="0"/>
        <w:adjustRightInd w:val="0"/>
        <w:snapToGrid w:val="0"/>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color w:val="000000" w:themeColor="text1"/>
          <w:sz w:val="24"/>
          <w:szCs w:val="28"/>
          <w:lang w:eastAsia="zh-CN"/>
          <w14:textFill>
            <w14:solidFill>
              <w14:schemeClr w14:val="tx1"/>
            </w14:solidFill>
          </w14:textFill>
        </w:rPr>
        <w:t>或</w:t>
      </w:r>
      <w:r>
        <w:rPr>
          <w:rFonts w:hint="eastAsia" w:ascii="宋体" w:hAnsi="宋体" w:cs="宋体"/>
          <w:color w:val="000000" w:themeColor="text1"/>
          <w:sz w:val="24"/>
          <w:szCs w:val="28"/>
          <w14:textFill>
            <w14:solidFill>
              <w14:schemeClr w14:val="tx1"/>
            </w14:solidFill>
          </w14:textFill>
        </w:rPr>
        <w:t>因市场行情了解不清造成的后果和风险均由供应商自负。</w:t>
      </w:r>
    </w:p>
    <w:p w14:paraId="3B6D32D2">
      <w:pPr>
        <w:pageBreakBefore w:val="0"/>
        <w:widowControl w:val="0"/>
        <w:tabs>
          <w:tab w:val="left" w:pos="0"/>
        </w:tabs>
        <w:kinsoku/>
        <w:wordWrap/>
        <w:topLinePunct w:val="0"/>
        <w:autoSpaceDE/>
        <w:autoSpaceDN/>
        <w:bidi w:val="0"/>
        <w:adjustRightInd w:val="0"/>
        <w:snapToGrid w:val="0"/>
        <w:spacing w:line="450" w:lineRule="exact"/>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cs="宋体"/>
          <w:color w:val="000000" w:themeColor="text1"/>
          <w:sz w:val="24"/>
          <w:szCs w:val="24"/>
          <w14:textFill>
            <w14:solidFill>
              <w14:schemeClr w14:val="tx1"/>
            </w14:solidFill>
          </w14:textFill>
        </w:rPr>
        <w:t>七个工作日内</w:t>
      </w:r>
      <w:r>
        <w:rPr>
          <w:rFonts w:hint="eastAsia" w:ascii="宋体" w:hAnsi="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w:t>
      </w:r>
      <w:r>
        <w:rPr>
          <w:rFonts w:hint="eastAsia" w:ascii="宋体" w:hAnsi="宋体" w:eastAsia="宋体" w:cs="宋体"/>
          <w:color w:val="000000" w:themeColor="text1"/>
          <w:sz w:val="24"/>
          <w:szCs w:val="28"/>
          <w14:textFill>
            <w14:solidFill>
              <w14:schemeClr w14:val="tx1"/>
            </w14:solidFill>
          </w14:textFill>
        </w:rPr>
        <w:t>问或者质疑均为无效，采购代理机构不予受理。</w:t>
      </w:r>
    </w:p>
    <w:p w14:paraId="7BDF85B5">
      <w:pPr>
        <w:pageBreakBefore w:val="0"/>
        <w:widowControl w:val="0"/>
        <w:tabs>
          <w:tab w:val="left" w:pos="0"/>
        </w:tabs>
        <w:kinsoku/>
        <w:wordWrap/>
        <w:topLinePunct w:val="0"/>
        <w:autoSpaceDE/>
        <w:autoSpaceDN/>
        <w:bidi w:val="0"/>
        <w:adjustRightInd w:val="0"/>
        <w:snapToGrid w:val="0"/>
        <w:spacing w:line="450" w:lineRule="exact"/>
        <w:ind w:firstLine="480" w:firstLineChars="200"/>
        <w:jc w:val="left"/>
        <w:textAlignment w:val="auto"/>
        <w:rPr>
          <w:rFonts w:ascii="宋体" w:hAnsi="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4.3对于在规定时间内收到的投标人依法提出的询问或者质疑，采购代理机构将按</w:t>
      </w:r>
      <w:r>
        <w:rPr>
          <w:rFonts w:hint="eastAsia" w:ascii="宋体" w:hAnsi="宋体" w:cs="宋体"/>
          <w:color w:val="000000" w:themeColor="text1"/>
          <w:sz w:val="24"/>
          <w:szCs w:val="24"/>
          <w14:textFill>
            <w14:solidFill>
              <w14:schemeClr w14:val="tx1"/>
            </w14:solidFill>
          </w14:textFill>
        </w:rPr>
        <w:t>程序及时</w:t>
      </w:r>
      <w:r>
        <w:rPr>
          <w:rFonts w:hint="eastAsia" w:ascii="宋体" w:hAnsi="宋体" w:cs="宋体"/>
          <w:color w:val="000000" w:themeColor="text1"/>
          <w:sz w:val="24"/>
          <w:szCs w:val="24"/>
          <w:lang w:eastAsia="zh-CN"/>
          <w14:textFill>
            <w14:solidFill>
              <w14:schemeClr w14:val="tx1"/>
            </w14:solidFill>
          </w14:textFill>
        </w:rPr>
        <w:t>作出</w:t>
      </w:r>
      <w:r>
        <w:rPr>
          <w:rFonts w:hint="eastAsia" w:ascii="宋体" w:hAnsi="宋体" w:cs="宋体"/>
          <w:color w:val="000000" w:themeColor="text1"/>
          <w:sz w:val="24"/>
          <w:szCs w:val="24"/>
          <w14:textFill>
            <w14:solidFill>
              <w14:schemeClr w14:val="tx1"/>
            </w14:solidFill>
          </w14:textFill>
        </w:rPr>
        <w:t>答复，若对</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做出实质性变动，则按照相关规定延长投标截止时间。</w:t>
      </w:r>
    </w:p>
    <w:p w14:paraId="6F48A76E">
      <w:pPr>
        <w:pStyle w:val="9"/>
        <w:pageBreakBefore w:val="0"/>
        <w:widowControl w:val="0"/>
        <w:kinsoku/>
        <w:wordWrap/>
        <w:topLinePunct w:val="0"/>
        <w:autoSpaceDE/>
        <w:autoSpaceDN/>
        <w:bidi w:val="0"/>
        <w:spacing w:line="450" w:lineRule="exact"/>
        <w:textAlignment w:val="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4.4投标人提出质疑应当有明确的请求和必要的证明材料。</w:t>
      </w:r>
    </w:p>
    <w:p w14:paraId="05A2F315">
      <w:pPr>
        <w:pStyle w:val="4"/>
        <w:pageBreakBefore w:val="0"/>
        <w:widowControl w:val="0"/>
        <w:numPr>
          <w:ilvl w:val="0"/>
          <w:numId w:val="0"/>
        </w:numPr>
        <w:kinsoku/>
        <w:wordWrap/>
        <w:topLinePunct w:val="0"/>
        <w:autoSpaceDE/>
        <w:autoSpaceDN/>
        <w:bidi w:val="0"/>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竞争性磋商文件的修改</w:t>
      </w:r>
    </w:p>
    <w:p w14:paraId="3C3AEBE6">
      <w:pPr>
        <w:pageBreakBefore w:val="0"/>
        <w:widowControl w:val="0"/>
        <w:kinsoku/>
        <w:wordWrap/>
        <w:overflowPunct w:val="0"/>
        <w:topLinePunct w:val="0"/>
        <w:autoSpaceDE/>
        <w:autoSpaceDN/>
        <w:bidi w:val="0"/>
        <w:adjustRightInd w:val="0"/>
        <w:snapToGrid w:val="0"/>
        <w:spacing w:line="450" w:lineRule="exact"/>
        <w:ind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cs="宋体"/>
          <w:color w:val="000000" w:themeColor="text1"/>
          <w:sz w:val="24"/>
          <w:szCs w:val="24"/>
          <w14:textFill>
            <w14:solidFill>
              <w14:schemeClr w14:val="tx1"/>
            </w14:solidFill>
          </w14:textFill>
        </w:rPr>
        <w:t>不足5日的，顺延提交响应文件的截止时间</w:t>
      </w:r>
      <w:r>
        <w:rPr>
          <w:rFonts w:hint="eastAsia" w:ascii="宋体" w:hAnsi="宋体" w:cs="宋体"/>
          <w:color w:val="000000" w:themeColor="text1"/>
          <w:sz w:val="24"/>
          <w:szCs w:val="28"/>
          <w14:textFill>
            <w14:solidFill>
              <w14:schemeClr w14:val="tx1"/>
            </w14:solidFill>
          </w14:textFill>
        </w:rPr>
        <w:t>，并</w:t>
      </w:r>
      <w:r>
        <w:rPr>
          <w:rFonts w:hint="eastAsia" w:ascii="宋体" w:hAnsi="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cs="宋体"/>
          <w:color w:val="000000" w:themeColor="text1"/>
          <w:sz w:val="24"/>
          <w:szCs w:val="24"/>
          <w14:textFill>
            <w14:solidFill>
              <w14:schemeClr w14:val="tx1"/>
            </w14:solidFill>
          </w14:textFill>
        </w:rPr>
        <w:t>磋商文件的单位。该澄清或</w:t>
      </w:r>
      <w:r>
        <w:rPr>
          <w:rFonts w:hint="eastAsia" w:ascii="宋体" w:hAnsi="宋体" w:eastAsia="宋体" w:cs="宋体"/>
          <w:color w:val="000000" w:themeColor="text1"/>
          <w:sz w:val="24"/>
          <w:szCs w:val="28"/>
          <w14:textFill>
            <w14:solidFill>
              <w14:schemeClr w14:val="tx1"/>
            </w14:solidFill>
          </w14:textFill>
        </w:rPr>
        <w:t>者修改的内容为</w:t>
      </w:r>
      <w:r>
        <w:rPr>
          <w:rFonts w:hint="eastAsia" w:ascii="宋体" w:hAnsi="宋体" w:eastAsia="宋体" w:cs="宋体"/>
          <w:color w:val="000000" w:themeColor="text1"/>
          <w:sz w:val="24"/>
          <w:szCs w:val="28"/>
          <w:lang w:eastAsia="zh-CN"/>
          <w14:textFill>
            <w14:solidFill>
              <w14:schemeClr w14:val="tx1"/>
            </w14:solidFill>
          </w14:textFill>
        </w:rPr>
        <w:t>磋商文件</w:t>
      </w:r>
      <w:r>
        <w:rPr>
          <w:rFonts w:hint="eastAsia" w:ascii="宋体" w:hAnsi="宋体" w:eastAsia="宋体" w:cs="宋体"/>
          <w:color w:val="000000" w:themeColor="text1"/>
          <w:sz w:val="24"/>
          <w:szCs w:val="28"/>
          <w14:textFill>
            <w14:solidFill>
              <w14:schemeClr w14:val="tx1"/>
            </w14:solidFill>
          </w14:textFill>
        </w:rPr>
        <w:t>的组成部分。</w:t>
      </w:r>
    </w:p>
    <w:p w14:paraId="7C3E53C7">
      <w:pPr>
        <w:pageBreakBefore w:val="0"/>
        <w:widowControl w:val="0"/>
        <w:kinsoku/>
        <w:wordWrap/>
        <w:overflowPunct w:val="0"/>
        <w:topLinePunct w:val="0"/>
        <w:autoSpaceDE/>
        <w:autoSpaceDN/>
        <w:bidi w:val="0"/>
        <w:adjustRightInd w:val="0"/>
        <w:snapToGrid w:val="0"/>
        <w:spacing w:line="450" w:lineRule="exact"/>
        <w:ind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5.2</w:t>
      </w:r>
      <w:r>
        <w:rPr>
          <w:rFonts w:hint="eastAsia" w:ascii="宋体" w:hAnsi="宋体" w:eastAsia="宋体" w:cs="宋体"/>
          <w:color w:val="000000" w:themeColor="text1"/>
          <w:sz w:val="24"/>
          <w:szCs w:val="28"/>
          <w:lang w:eastAsia="zh-CN"/>
          <w14:textFill>
            <w14:solidFill>
              <w14:schemeClr w14:val="tx1"/>
            </w14:solidFill>
          </w14:textFill>
        </w:rPr>
        <w:t>磋商文件</w:t>
      </w:r>
      <w:r>
        <w:rPr>
          <w:rFonts w:hint="eastAsia" w:ascii="宋体" w:hAnsi="宋体" w:eastAsia="宋体" w:cs="宋体"/>
          <w:color w:val="000000" w:themeColor="text1"/>
          <w:sz w:val="24"/>
          <w:szCs w:val="28"/>
          <w14:textFill>
            <w14:solidFill>
              <w14:schemeClr w14:val="tx1"/>
            </w14:solidFill>
          </w14:textFill>
        </w:rPr>
        <w:t>的修改书将构成</w:t>
      </w:r>
      <w:r>
        <w:rPr>
          <w:rFonts w:hint="eastAsia" w:ascii="宋体" w:hAnsi="宋体" w:eastAsia="宋体" w:cs="宋体"/>
          <w:color w:val="000000" w:themeColor="text1"/>
          <w:sz w:val="24"/>
          <w:szCs w:val="28"/>
          <w:lang w:eastAsia="zh-CN"/>
          <w14:textFill>
            <w14:solidFill>
              <w14:schemeClr w14:val="tx1"/>
            </w14:solidFill>
          </w14:textFill>
        </w:rPr>
        <w:t>磋商文件</w:t>
      </w:r>
      <w:r>
        <w:rPr>
          <w:rFonts w:hint="eastAsia" w:ascii="宋体" w:hAnsi="宋体" w:eastAsia="宋体" w:cs="宋体"/>
          <w:color w:val="000000" w:themeColor="text1"/>
          <w:sz w:val="24"/>
          <w:szCs w:val="28"/>
          <w14:textFill>
            <w14:solidFill>
              <w14:schemeClr w14:val="tx1"/>
            </w14:solidFill>
          </w14:textFill>
        </w:rPr>
        <w:t>的一部分，对采购人和投标人都具有约束力。</w:t>
      </w:r>
    </w:p>
    <w:p w14:paraId="540483A8">
      <w:pPr>
        <w:pageBreakBefore w:val="0"/>
        <w:widowControl w:val="0"/>
        <w:kinsoku/>
        <w:wordWrap/>
        <w:topLinePunct w:val="0"/>
        <w:autoSpaceDE/>
        <w:autoSpaceDN/>
        <w:bidi w:val="0"/>
        <w:spacing w:line="450" w:lineRule="exact"/>
        <w:ind w:firstLine="480"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000000" w:themeColor="text1"/>
          <w:sz w:val="24"/>
          <w:szCs w:val="24"/>
          <w:lang w:val="en-US" w:eastAsia="zh-CN"/>
          <w14:textFill>
            <w14:solidFill>
              <w14:schemeClr w14:val="tx1"/>
            </w14:solidFill>
          </w14:textFill>
        </w:rPr>
        <w:t>获取</w:t>
      </w:r>
      <w:r>
        <w:rPr>
          <w:rFonts w:hint="eastAsia" w:ascii="宋体" w:hAnsi="宋体" w:cs="宋体"/>
          <w:color w:val="000000" w:themeColor="text1"/>
          <w:sz w:val="24"/>
          <w:szCs w:val="24"/>
          <w14:textFill>
            <w14:solidFill>
              <w14:schemeClr w14:val="tx1"/>
            </w14:solidFill>
          </w14:textFill>
        </w:rPr>
        <w:t>磋商文件的单位。</w:t>
      </w:r>
    </w:p>
    <w:p w14:paraId="01726B83">
      <w:pPr>
        <w:pStyle w:val="4"/>
        <w:pageBreakBefore w:val="0"/>
        <w:numPr>
          <w:ilvl w:val="0"/>
          <w:numId w:val="0"/>
        </w:numPr>
        <w:kinsoku/>
        <w:wordWrap/>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6.</w:t>
      </w:r>
      <w:r>
        <w:rPr>
          <w:rFonts w:hint="eastAsia" w:ascii="宋体" w:hAnsi="宋体" w:cs="宋体"/>
          <w:color w:val="000000" w:themeColor="text1"/>
          <w:sz w:val="24"/>
          <w:szCs w:val="28"/>
          <w14:textFill>
            <w14:solidFill>
              <w14:schemeClr w14:val="tx1"/>
            </w14:solidFill>
          </w14:textFill>
        </w:rPr>
        <w:t>质疑</w:t>
      </w:r>
    </w:p>
    <w:p w14:paraId="08127B3B">
      <w:pPr>
        <w:pStyle w:val="4"/>
        <w:pageBreakBefore w:val="0"/>
        <w:kinsoku/>
        <w:wordWrap/>
        <w:topLinePunct w:val="0"/>
        <w:autoSpaceDE/>
        <w:autoSpaceDN/>
        <w:bidi w:val="0"/>
        <w:spacing w:line="460" w:lineRule="exact"/>
        <w:ind w:firstLine="480" w:firstLineChars="200"/>
        <w:textAlignment w:val="auto"/>
        <w:rPr>
          <w:rFonts w:ascii="宋体" w:hAnsi="宋体" w:cs="宋体"/>
          <w:b w:val="0"/>
          <w:color w:val="000000" w:themeColor="text1"/>
          <w:sz w:val="24"/>
          <w:szCs w:val="28"/>
          <w14:textFill>
            <w14:solidFill>
              <w14:schemeClr w14:val="tx1"/>
            </w14:solidFill>
          </w14:textFill>
        </w:rPr>
      </w:pPr>
      <w:r>
        <w:rPr>
          <w:rFonts w:hint="eastAsia" w:ascii="宋体" w:hAnsi="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cs="宋体"/>
          <w:b w:val="0"/>
          <w:color w:val="000000" w:themeColor="text1"/>
          <w:sz w:val="24"/>
          <w:szCs w:val="28"/>
          <w:lang w:val="en-US" w:eastAsia="zh-CN"/>
          <w14:textFill>
            <w14:solidFill>
              <w14:schemeClr w14:val="tx1"/>
            </w14:solidFill>
          </w14:textFill>
        </w:rPr>
        <w:t>五十二</w:t>
      </w:r>
      <w:r>
        <w:rPr>
          <w:rFonts w:hint="eastAsia" w:ascii="宋体" w:hAnsi="宋体" w:cs="宋体"/>
          <w:b w:val="0"/>
          <w:color w:val="000000" w:themeColor="text1"/>
          <w:sz w:val="24"/>
          <w:szCs w:val="28"/>
          <w14:textFill>
            <w14:solidFill>
              <w14:schemeClr w14:val="tx1"/>
            </w14:solidFill>
          </w14:textFill>
        </w:rPr>
        <w:t>条执行。</w:t>
      </w:r>
    </w:p>
    <w:p w14:paraId="617874C8">
      <w:pPr>
        <w:pStyle w:val="4"/>
        <w:pageBreakBefore w:val="0"/>
        <w:numPr>
          <w:ilvl w:val="0"/>
          <w:numId w:val="0"/>
        </w:numPr>
        <w:kinsoku/>
        <w:wordWrap/>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竞争性磋商文件的获取</w:t>
      </w:r>
    </w:p>
    <w:p w14:paraId="32511B75">
      <w:pPr>
        <w:pageBreakBefore w:val="0"/>
        <w:widowControl/>
        <w:kinsoku/>
        <w:wordWrap/>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供应商必须从代理机构</w:t>
      </w:r>
      <w:r>
        <w:rPr>
          <w:rFonts w:hint="eastAsia" w:ascii="宋体" w:hAnsi="宋体" w:cs="宋体"/>
          <w:color w:val="000000" w:themeColor="text1"/>
          <w:sz w:val="24"/>
          <w:szCs w:val="28"/>
          <w:lang w:val="en-US" w:eastAsia="zh-CN"/>
          <w14:textFill>
            <w14:solidFill>
              <w14:schemeClr w14:val="tx1"/>
            </w14:solidFill>
          </w14:textFill>
        </w:rPr>
        <w:t>获取</w:t>
      </w:r>
      <w:r>
        <w:rPr>
          <w:rFonts w:hint="eastAsia" w:ascii="宋体" w:hAnsi="宋体" w:cs="宋体"/>
          <w:color w:val="000000" w:themeColor="text1"/>
          <w:sz w:val="24"/>
          <w:szCs w:val="28"/>
          <w14:textFill>
            <w14:solidFill>
              <w14:schemeClr w14:val="tx1"/>
            </w14:solidFill>
          </w14:textFill>
        </w:rPr>
        <w:t>竞争性磋商文件，供应商自行转让或复制竞争性磋商文件视为无效。</w:t>
      </w:r>
    </w:p>
    <w:p w14:paraId="78AB5488">
      <w:pPr>
        <w:pStyle w:val="9"/>
        <w:pageBreakBefore w:val="0"/>
        <w:kinsoku/>
        <w:wordWrap/>
        <w:topLinePunct w:val="0"/>
        <w:autoSpaceDE/>
        <w:autoSpaceDN/>
        <w:bidi w:val="0"/>
        <w:spacing w:line="460" w:lineRule="exact"/>
        <w:ind w:firstLine="482"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b/>
          <w:bCs/>
          <w:color w:val="000000" w:themeColor="text1"/>
          <w:sz w:val="24"/>
          <w:szCs w:val="28"/>
          <w:lang w:eastAsia="zh-CN"/>
          <w14:textFill>
            <w14:solidFill>
              <w14:schemeClr w14:val="tx1"/>
            </w14:solidFill>
          </w14:textFill>
        </w:rPr>
        <w:t>8.</w:t>
      </w:r>
      <w:r>
        <w:rPr>
          <w:rFonts w:hint="eastAsia" w:ascii="宋体" w:hAnsi="宋体" w:cs="宋体"/>
          <w:b/>
          <w:bCs/>
          <w:color w:val="000000" w:themeColor="text1"/>
          <w:sz w:val="24"/>
          <w:szCs w:val="28"/>
          <w14:textFill>
            <w14:solidFill>
              <w14:schemeClr w14:val="tx1"/>
            </w14:solidFill>
          </w14:textFill>
        </w:rPr>
        <w:t>竞争性磋商文件的解释权归代理机构</w:t>
      </w:r>
      <w:r>
        <w:rPr>
          <w:rFonts w:hint="eastAsia" w:ascii="宋体" w:hAnsi="宋体" w:cs="宋体"/>
          <w:color w:val="000000" w:themeColor="text1"/>
          <w:sz w:val="24"/>
          <w:szCs w:val="28"/>
          <w14:textFill>
            <w14:solidFill>
              <w14:schemeClr w14:val="tx1"/>
            </w14:solidFill>
          </w14:textFill>
        </w:rPr>
        <w:t>（如发现磋商文件内容与现行法律法规不相符的情况，以现行法律法规为准</w:t>
      </w:r>
      <w:r>
        <w:rPr>
          <w:rFonts w:hint="eastAsia" w:ascii="宋体" w:hAnsi="宋体" w:cs="宋体"/>
          <w:color w:val="000000" w:themeColor="text1"/>
          <w:sz w:val="24"/>
          <w:szCs w:val="28"/>
          <w:lang w:eastAsia="zh-CN"/>
          <w14:textFill>
            <w14:solidFill>
              <w14:schemeClr w14:val="tx1"/>
            </w14:solidFill>
          </w14:textFill>
        </w:rPr>
        <w:t>）。</w:t>
      </w:r>
    </w:p>
    <w:p w14:paraId="5CED2EFB">
      <w:pPr>
        <w:pageBreakBefore w:val="0"/>
        <w:widowControl/>
        <w:numPr>
          <w:ilvl w:val="0"/>
          <w:numId w:val="0"/>
        </w:numPr>
        <w:kinsoku/>
        <w:wordWrap/>
        <w:topLinePunct w:val="0"/>
        <w:autoSpaceDE/>
        <w:autoSpaceDN/>
        <w:bidi w:val="0"/>
        <w:spacing w:line="460" w:lineRule="exact"/>
        <w:jc w:val="center"/>
        <w:textAlignment w:val="auto"/>
        <w:outlineLvl w:val="1"/>
        <w:rPr>
          <w:rFonts w:ascii="宋体" w:hAnsi="宋体"/>
          <w:b w:val="0"/>
          <w:bCs w:val="0"/>
          <w:color w:val="000000" w:themeColor="text1"/>
          <w:sz w:val="24"/>
          <w:szCs w:val="21"/>
          <w14:textFill>
            <w14:solidFill>
              <w14:schemeClr w14:val="tx1"/>
            </w14:solidFill>
          </w14:textFill>
        </w:rPr>
      </w:pPr>
      <w:r>
        <w:rPr>
          <w:rFonts w:hint="eastAsia" w:ascii="宋体" w:hAnsi="宋体" w:cs="宋体"/>
          <w:b/>
          <w:bCs/>
          <w:color w:val="000000" w:themeColor="text1"/>
          <w:kern w:val="0"/>
          <w:sz w:val="28"/>
          <w:szCs w:val="32"/>
          <w:lang w:val="en-US" w:eastAsia="zh-CN"/>
          <w14:textFill>
            <w14:solidFill>
              <w14:schemeClr w14:val="tx1"/>
            </w14:solidFill>
          </w14:textFill>
        </w:rPr>
        <w:t>三、</w:t>
      </w:r>
      <w:r>
        <w:rPr>
          <w:rFonts w:hint="eastAsia" w:ascii="宋体" w:hAnsi="宋体" w:cs="宋体"/>
          <w:b/>
          <w:bCs/>
          <w:color w:val="000000" w:themeColor="text1"/>
          <w:kern w:val="0"/>
          <w:sz w:val="28"/>
          <w:szCs w:val="32"/>
          <w14:textFill>
            <w14:solidFill>
              <w14:schemeClr w14:val="tx1"/>
            </w14:solidFill>
          </w14:textFill>
        </w:rPr>
        <w:t>响应文件</w:t>
      </w:r>
    </w:p>
    <w:p w14:paraId="035D0828">
      <w:pPr>
        <w:pageBreakBefore w:val="0"/>
        <w:widowControl/>
        <w:numPr>
          <w:ilvl w:val="0"/>
          <w:numId w:val="0"/>
        </w:numPr>
        <w:kinsoku/>
        <w:wordWrap/>
        <w:topLinePunct w:val="0"/>
        <w:autoSpaceDE/>
        <w:autoSpaceDN/>
        <w:bidi w:val="0"/>
        <w:spacing w:line="460" w:lineRule="exact"/>
        <w:ind w:firstLine="480" w:firstLineChars="200"/>
        <w:jc w:val="both"/>
        <w:textAlignment w:val="auto"/>
        <w:outlineLvl w:val="1"/>
        <w:rPr>
          <w:rFonts w:hint="eastAsia"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000000" w:themeColor="text1"/>
          <w:sz w:val="24"/>
          <w:szCs w:val="21"/>
          <w:lang w:eastAsia="zh-CN"/>
          <w14:textFill>
            <w14:solidFill>
              <w14:schemeClr w14:val="tx1"/>
            </w14:solidFill>
          </w14:textFill>
        </w:rPr>
        <w:t>作出</w:t>
      </w:r>
      <w:r>
        <w:rPr>
          <w:rFonts w:hint="eastAsia" w:ascii="宋体" w:hAnsi="宋体"/>
          <w:b w:val="0"/>
          <w:bCs w:val="0"/>
          <w:color w:val="000000" w:themeColor="text1"/>
          <w:sz w:val="24"/>
          <w:szCs w:val="21"/>
          <w14:textFill>
            <w14:solidFill>
              <w14:schemeClr w14:val="tx1"/>
            </w14:solidFill>
          </w14:textFill>
        </w:rPr>
        <w:t>实质性响应，其磋商将被拒绝。</w:t>
      </w:r>
    </w:p>
    <w:p w14:paraId="3361BC4D">
      <w:pPr>
        <w:pageBreakBefore w:val="0"/>
        <w:widowControl/>
        <w:numPr>
          <w:ilvl w:val="0"/>
          <w:numId w:val="0"/>
        </w:numPr>
        <w:kinsoku/>
        <w:wordWrap/>
        <w:topLinePunct w:val="0"/>
        <w:autoSpaceDE/>
        <w:autoSpaceDN/>
        <w:bidi w:val="0"/>
        <w:spacing w:line="460" w:lineRule="exact"/>
        <w:ind w:firstLine="480" w:firstLineChars="200"/>
        <w:jc w:val="both"/>
        <w:textAlignment w:val="auto"/>
        <w:outlineLvl w:val="1"/>
        <w:rPr>
          <w:rFonts w:hint="eastAsia" w:ascii="宋体" w:hAnsi="宋体"/>
          <w:b w:val="0"/>
          <w:bCs w:val="0"/>
          <w:color w:val="000000" w:themeColor="text1"/>
          <w:sz w:val="24"/>
          <w:szCs w:val="21"/>
          <w14:textFill>
            <w14:solidFill>
              <w14:schemeClr w14:val="tx1"/>
            </w14:solidFill>
          </w14:textFill>
        </w:rPr>
      </w:pPr>
      <w:r>
        <w:rPr>
          <w:rFonts w:hint="eastAsia" w:ascii="宋体" w:hAnsi="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01B93250">
      <w:pPr>
        <w:pageBreakBefore w:val="0"/>
        <w:widowControl/>
        <w:numPr>
          <w:ilvl w:val="0"/>
          <w:numId w:val="0"/>
        </w:numPr>
        <w:kinsoku/>
        <w:wordWrap/>
        <w:topLinePunct w:val="0"/>
        <w:autoSpaceDE/>
        <w:autoSpaceDN/>
        <w:bidi w:val="0"/>
        <w:spacing w:line="460" w:lineRule="exact"/>
        <w:ind w:firstLine="482" w:firstLineChars="200"/>
        <w:jc w:val="both"/>
        <w:textAlignment w:val="auto"/>
        <w:outlineLvl w:val="1"/>
        <w:rPr>
          <w:rFonts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lang w:val="en-US" w:eastAsia="zh-CN"/>
          <w14:textFill>
            <w14:solidFill>
              <w14:schemeClr w14:val="tx1"/>
            </w14:solidFill>
          </w14:textFill>
        </w:rPr>
        <w:t>1.</w:t>
      </w:r>
      <w:r>
        <w:rPr>
          <w:rFonts w:hint="eastAsia" w:ascii="宋体" w:hAnsi="宋体" w:cs="宋体"/>
          <w:b/>
          <w:bCs/>
          <w:color w:val="000000" w:themeColor="text1"/>
          <w:sz w:val="24"/>
          <w:szCs w:val="28"/>
          <w14:textFill>
            <w14:solidFill>
              <w14:schemeClr w14:val="tx1"/>
            </w14:solidFill>
          </w14:textFill>
        </w:rPr>
        <w:t>响应文件构成和格式</w:t>
      </w:r>
    </w:p>
    <w:p w14:paraId="060525E5">
      <w:pPr>
        <w:pageBreakBefore w:val="0"/>
        <w:widowControl/>
        <w:kinsoku/>
        <w:wordWrap/>
        <w:topLinePunct w:val="0"/>
        <w:autoSpaceDE/>
        <w:autoSpaceDN/>
        <w:bidi w:val="0"/>
        <w:spacing w:line="460" w:lineRule="exact"/>
        <w:ind w:firstLine="480" w:firstLineChars="200"/>
        <w:textAlignment w:val="auto"/>
        <w:outlineLvl w:val="1"/>
        <w:rPr>
          <w:rFonts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投标人应按照本须知响应文件构成和格式及第七部分提供的格式编写</w:t>
      </w: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，不得缺少</w:t>
      </w: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要求填写的表格或提交的资料。</w:t>
      </w:r>
    </w:p>
    <w:p w14:paraId="2EAA4C8F">
      <w:pPr>
        <w:pStyle w:val="4"/>
        <w:pageBreakBefore w:val="0"/>
        <w:numPr>
          <w:ilvl w:val="0"/>
          <w:numId w:val="0"/>
        </w:numPr>
        <w:kinsoku/>
        <w:wordWrap/>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磋商报价</w:t>
      </w:r>
    </w:p>
    <w:p w14:paraId="62BBC3CE">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8"/>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4B87A04E">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（2）供应商应在响应报价表中标明本次招标所要求的货物、服务且验收合格的所有费用。</w:t>
      </w:r>
    </w:p>
    <w:p w14:paraId="5F82B065">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cs="宋体"/>
          <w:color w:val="000000" w:themeColor="text1"/>
          <w:sz w:val="24"/>
          <w:szCs w:val="24"/>
          <w14:textFill>
            <w14:solidFill>
              <w14:schemeClr w14:val="tx1"/>
            </w14:solidFill>
          </w14:textFill>
        </w:rPr>
        <w:t>采购人不再</w:t>
      </w:r>
      <w:r>
        <w:rPr>
          <w:rFonts w:hint="eastAsia" w:ascii="宋体" w:hAnsi="宋体" w:cs="宋体"/>
          <w:color w:val="000000" w:themeColor="text1"/>
          <w:sz w:val="24"/>
          <w:szCs w:val="24"/>
          <w:lang w:eastAsia="zh-CN"/>
          <w14:textFill>
            <w14:solidFill>
              <w14:schemeClr w14:val="tx1"/>
            </w14:solidFill>
          </w14:textFill>
        </w:rPr>
        <w:t>承担其他任何</w:t>
      </w:r>
      <w:r>
        <w:rPr>
          <w:rFonts w:hint="eastAsia" w:ascii="宋体" w:hAnsi="宋体" w:cs="宋体"/>
          <w:color w:val="000000" w:themeColor="text1"/>
          <w:sz w:val="24"/>
          <w:szCs w:val="24"/>
          <w14:textFill>
            <w14:solidFill>
              <w14:schemeClr w14:val="tx1"/>
            </w14:solidFill>
          </w14:textFill>
        </w:rPr>
        <w:t>费用</w:t>
      </w:r>
      <w:r>
        <w:rPr>
          <w:rFonts w:hint="eastAsia" w:ascii="宋体" w:hAnsi="宋体" w:cs="宋体"/>
          <w:color w:val="000000" w:themeColor="text1"/>
          <w:spacing w:val="4"/>
          <w:sz w:val="24"/>
          <w14:textFill>
            <w14:solidFill>
              <w14:schemeClr w14:val="tx1"/>
            </w14:solidFill>
          </w14:textFill>
        </w:rPr>
        <w:t>。</w:t>
      </w:r>
    </w:p>
    <w:p w14:paraId="67B6A434">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cs="宋体"/>
          <w:color w:val="000000" w:themeColor="text1"/>
          <w:sz w:val="24"/>
          <w14:textFill>
            <w14:solidFill>
              <w14:schemeClr w14:val="tx1"/>
            </w14:solidFill>
          </w14:textFill>
        </w:rPr>
        <w:t>（4）响应报价表应有法定代表人或被授权人的签字。</w:t>
      </w:r>
    </w:p>
    <w:p w14:paraId="66F5635B">
      <w:pPr>
        <w:pStyle w:val="4"/>
        <w:pageBreakBefore w:val="0"/>
        <w:numPr>
          <w:ilvl w:val="0"/>
          <w:numId w:val="0"/>
        </w:numPr>
        <w:kinsoku/>
        <w:wordWrap/>
        <w:overflowPunct/>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磋商货币</w:t>
      </w:r>
    </w:p>
    <w:p w14:paraId="645F7CED">
      <w:pPr>
        <w:pageBreakBefore w:val="0"/>
        <w:widowControl/>
        <w:kinsoku/>
        <w:wordWrap/>
        <w:overflowPunct/>
        <w:topLinePunct w:val="0"/>
        <w:autoSpaceDE/>
        <w:autoSpaceDN/>
        <w:bidi w:val="0"/>
        <w:spacing w:line="460" w:lineRule="exact"/>
        <w:ind w:firstLine="480" w:firstLineChars="200"/>
        <w:textAlignment w:val="auto"/>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1EF350A3">
      <w:pPr>
        <w:pStyle w:val="4"/>
        <w:pageBreakBefore w:val="0"/>
        <w:numPr>
          <w:ilvl w:val="0"/>
          <w:numId w:val="0"/>
        </w:numPr>
        <w:kinsoku/>
        <w:wordWrap/>
        <w:overflowPunct/>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响应有效期</w:t>
      </w:r>
    </w:p>
    <w:p w14:paraId="4DF64409">
      <w:pPr>
        <w:pageBreakBefore w:val="0"/>
        <w:kinsoku/>
        <w:wordWrap/>
        <w:overflowPunct/>
        <w:topLinePunct w:val="0"/>
        <w:autoSpaceDE/>
        <w:autoSpaceDN/>
        <w:bidi w:val="0"/>
        <w:adjustRightInd w:val="0"/>
        <w:snapToGrid w:val="0"/>
        <w:spacing w:line="460" w:lineRule="exact"/>
        <w:ind w:firstLine="480"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pageBreakBefore w:val="0"/>
        <w:numPr>
          <w:ilvl w:val="0"/>
          <w:numId w:val="0"/>
        </w:numPr>
        <w:kinsoku/>
        <w:wordWrap/>
        <w:overflowPunct/>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响应文件的格式、装订、密封和签署</w:t>
      </w:r>
    </w:p>
    <w:p w14:paraId="07C5BAAA">
      <w:pPr>
        <w:pageBreakBefore w:val="0"/>
        <w:kinsoku/>
        <w:wordWrap/>
        <w:overflowPunct/>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5.1供应商须依据竞争性磋商文件内容和响应文件格式的要求编制响应文件；响应文件的正本和副本须用A4纸打印，并编制目录和页码，确保纸质</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应与电子</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478F8878">
      <w:pPr>
        <w:pageBreakBefore w:val="0"/>
        <w:kinsoku/>
        <w:wordWrap/>
        <w:overflowPunct/>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5.2响应文件的装订</w:t>
      </w:r>
    </w:p>
    <w:p w14:paraId="2EE10757">
      <w:pPr>
        <w:pageBreakBefore w:val="0"/>
        <w:kinsoku/>
        <w:wordWrap/>
        <w:overflowPunct/>
        <w:topLinePunct w:val="0"/>
        <w:autoSpaceDE/>
        <w:autoSpaceDN/>
        <w:bidi w:val="0"/>
        <w:spacing w:line="460" w:lineRule="exact"/>
        <w:ind w:firstLine="480" w:firstLineChars="200"/>
        <w:jc w:val="left"/>
        <w:textAlignment w:val="auto"/>
        <w:rPr>
          <w:rFonts w:ascii="宋体" w:hAnsi="宋体" w:cs="宋体"/>
          <w:color w:val="000000" w:themeColor="text1"/>
          <w:sz w:val="24"/>
          <w:szCs w:val="28"/>
          <w:highlight w:val="yellow"/>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eastAsia="宋体" w:cs="宋体"/>
          <w:color w:val="000000" w:themeColor="text1"/>
          <w:kern w:val="2"/>
          <w:sz w:val="24"/>
          <w:szCs w:val="24"/>
          <w:lang w:val="en-US" w:eastAsia="zh-CN" w:bidi="ar-SA"/>
          <w14:textFill>
            <w14:solidFill>
              <w14:schemeClr w14:val="tx1"/>
            </w14:solidFill>
          </w14:textFill>
        </w:rPr>
        <w:t>壹份</w:t>
      </w:r>
      <w:r>
        <w:rPr>
          <w:rFonts w:hint="eastAsia" w:ascii="宋体" w:hAnsi="宋体"/>
          <w:color w:val="000000" w:themeColor="text1"/>
          <w:sz w:val="24"/>
          <w:szCs w:val="24"/>
          <w14:textFill>
            <w14:solidFill>
              <w14:schemeClr w14:val="tx1"/>
            </w14:solidFill>
          </w14:textFill>
        </w:rPr>
        <w:t>除在</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color w:val="000000" w:themeColor="text1"/>
          <w:sz w:val="24"/>
          <w:szCs w:val="24"/>
          <w14:textFill>
            <w14:solidFill>
              <w14:schemeClr w14:val="tx1"/>
            </w14:solidFill>
          </w14:textFill>
        </w:rPr>
        <w:t>文件正副本中装订外，</w:t>
      </w:r>
      <w:r>
        <w:rPr>
          <w:rFonts w:hint="eastAsia" w:ascii="宋体" w:hAnsi="宋体"/>
          <w:color w:val="000000" w:themeColor="text1"/>
          <w:sz w:val="24"/>
          <w:szCs w:val="24"/>
          <w:lang w:val="en-US" w:eastAsia="zh-CN"/>
          <w14:textFill>
            <w14:solidFill>
              <w14:schemeClr w14:val="tx1"/>
            </w14:solidFill>
          </w14:textFill>
        </w:rPr>
        <w:t>另外</w:t>
      </w:r>
      <w:r>
        <w:rPr>
          <w:rFonts w:hint="eastAsia" w:ascii="宋体" w:hAnsi="宋体"/>
          <w:color w:val="000000" w:themeColor="text1"/>
          <w:sz w:val="24"/>
          <w:szCs w:val="24"/>
          <w14:textFill>
            <w14:solidFill>
              <w14:schemeClr w14:val="tx1"/>
            </w14:solidFill>
          </w14:textFill>
        </w:rPr>
        <w:t>制作一份单独封装在</w:t>
      </w:r>
      <w:r>
        <w:rPr>
          <w:rFonts w:hint="eastAsia" w:ascii="宋体" w:hAnsi="宋体"/>
          <w:color w:val="000000" w:themeColor="text1"/>
          <w:sz w:val="24"/>
          <w:szCs w:val="24"/>
          <w:lang w:val="en-US" w:eastAsia="zh-CN"/>
          <w14:textFill>
            <w14:solidFill>
              <w14:schemeClr w14:val="tx1"/>
            </w14:solidFill>
          </w14:textFill>
        </w:rPr>
        <w:t>封袋</w:t>
      </w:r>
      <w:r>
        <w:rPr>
          <w:rFonts w:hint="eastAsia" w:ascii="宋体" w:hAnsi="宋体"/>
          <w:color w:val="000000" w:themeColor="text1"/>
          <w:sz w:val="24"/>
          <w:szCs w:val="24"/>
          <w14:textFill>
            <w14:solidFill>
              <w14:schemeClr w14:val="tx1"/>
            </w14:solidFill>
          </w14:textFill>
        </w:rPr>
        <w:t>中，封袋正面要</w:t>
      </w:r>
      <w:r>
        <w:rPr>
          <w:rFonts w:hint="eastAsia" w:ascii="宋体" w:hAnsi="宋体" w:eastAsia="宋体" w:cs="宋体"/>
          <w:color w:val="000000" w:themeColor="text1"/>
          <w:kern w:val="2"/>
          <w:sz w:val="24"/>
          <w:szCs w:val="24"/>
          <w:lang w:val="en-US" w:eastAsia="zh-CN" w:bidi="ar-SA"/>
          <w14:textFill>
            <w14:solidFill>
              <w14:schemeClr w14:val="tx1"/>
            </w14:solidFill>
          </w14:textFill>
        </w:rPr>
        <w:t>标明</w:t>
      </w:r>
      <w:r>
        <w:rPr>
          <w:rFonts w:hint="eastAsia" w:ascii="宋体" w:hAnsi="宋体" w:cs="宋体"/>
          <w:color w:val="000000" w:themeColor="text1"/>
          <w:kern w:val="2"/>
          <w:sz w:val="24"/>
          <w:szCs w:val="24"/>
          <w:lang w:val="en-US" w:eastAsia="zh-CN" w:bidi="ar-SA"/>
          <w14:textFill>
            <w14:solidFill>
              <w14:schemeClr w14:val="tx1"/>
            </w14:solidFill>
          </w14:textFill>
        </w:rPr>
        <w:t>“资格证明文件”</w:t>
      </w:r>
      <w:r>
        <w:rPr>
          <w:rFonts w:hint="eastAsia" w:ascii="宋体" w:hAnsi="宋体"/>
          <w:color w:val="000000" w:themeColor="text1"/>
          <w:sz w:val="24"/>
          <w:szCs w:val="24"/>
          <w14:textFill>
            <w14:solidFill>
              <w14:schemeClr w14:val="tx1"/>
            </w14:solidFill>
          </w14:textFill>
        </w:rPr>
        <w:t>并加盖投标人公章。</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000000" w:themeColor="text1"/>
          <w:kern w:val="0"/>
          <w:sz w:val="24"/>
          <w:szCs w:val="24"/>
          <w:lang w:val="en-US" w:eastAsia="zh-CN"/>
          <w14:textFill>
            <w14:solidFill>
              <w14:schemeClr w14:val="tx1"/>
            </w14:solidFill>
          </w14:textFill>
        </w:rPr>
        <w:t>投标</w:t>
      </w:r>
      <w:r>
        <w:rPr>
          <w:rFonts w:hint="eastAsia" w:ascii="宋体" w:hAnsi="宋体" w:eastAsia="宋体" w:cs="宋体"/>
          <w:color w:val="000000" w:themeColor="text1"/>
          <w:kern w:val="2"/>
          <w:sz w:val="24"/>
          <w:szCs w:val="24"/>
          <w:lang w:val="en-US" w:eastAsia="zh-CN" w:bidi="ar-SA"/>
          <w14:textFill>
            <w14:solidFill>
              <w14:schemeClr w14:val="tx1"/>
            </w14:solidFill>
          </w14:textFill>
        </w:rPr>
        <w:t>单位公章正本</w:t>
      </w:r>
      <w:r>
        <w:rPr>
          <w:rFonts w:hint="eastAsia" w:ascii="宋体" w:hAnsi="宋体"/>
          <w:color w:val="000000" w:themeColor="text1"/>
          <w:kern w:val="0"/>
          <w:sz w:val="24"/>
          <w:szCs w:val="24"/>
          <w:lang w:val="en-US" w:eastAsia="zh-CN"/>
          <w14:textFill>
            <w14:solidFill>
              <w14:schemeClr w14:val="tx1"/>
            </w14:solidFill>
          </w14:textFill>
        </w:rPr>
        <w:t>响应</w:t>
      </w:r>
      <w:r>
        <w:rPr>
          <w:rFonts w:hint="eastAsia" w:ascii="宋体" w:hAnsi="宋体" w:eastAsia="宋体" w:cs="宋体"/>
          <w:color w:val="000000" w:themeColor="text1"/>
          <w:kern w:val="2"/>
          <w:sz w:val="24"/>
          <w:szCs w:val="24"/>
          <w:lang w:val="en-US" w:eastAsia="zh-CN" w:bidi="ar-SA"/>
          <w14:textFill>
            <w14:solidFill>
              <w14:schemeClr w14:val="tx1"/>
            </w14:solidFill>
          </w14:textFill>
        </w:rPr>
        <w:t>文件全部内容的扫描件，格式为PDF），电子版放置正本密封袋内</w:t>
      </w:r>
      <w:r>
        <w:rPr>
          <w:rFonts w:hint="eastAsia" w:ascii="宋体" w:hAnsi="宋体" w:cs="宋体"/>
          <w:color w:val="000000" w:themeColor="text1"/>
          <w:kern w:val="2"/>
          <w:sz w:val="24"/>
          <w:szCs w:val="24"/>
          <w:lang w:val="en-US" w:eastAsia="zh-CN" w:bidi="ar-SA"/>
          <w14:textFill>
            <w14:solidFill>
              <w14:schemeClr w14:val="tx1"/>
            </w14:solidFill>
          </w14:textFill>
        </w:rPr>
        <w:t>。</w:t>
      </w:r>
    </w:p>
    <w:p w14:paraId="3CAC9FD4">
      <w:pPr>
        <w:pageBreakBefore w:val="0"/>
        <w:kinsoku/>
        <w:wordWrap/>
        <w:overflowPunct/>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5.3响应文件的签署</w:t>
      </w:r>
    </w:p>
    <w:p w14:paraId="171F4E1E">
      <w:pPr>
        <w:pageBreakBefore w:val="0"/>
        <w:numPr>
          <w:ilvl w:val="0"/>
          <w:numId w:val="3"/>
        </w:numPr>
        <w:kinsoku/>
        <w:wordWrap/>
        <w:overflowPunct/>
        <w:topLinePunct w:val="0"/>
        <w:autoSpaceDE/>
        <w:autoSpaceDN/>
        <w:bidi w:val="0"/>
        <w:spacing w:line="460" w:lineRule="exact"/>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供应商应在</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正副本中指定的页面落款处填写供应商全称，并按要求加盖公章及签字</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包括</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的封面）侧面还需加盖骑缝章。</w:t>
      </w:r>
    </w:p>
    <w:p w14:paraId="472BE9A4">
      <w:pPr>
        <w:pageBreakBefore w:val="0"/>
        <w:numPr>
          <w:ilvl w:val="0"/>
          <w:numId w:val="3"/>
        </w:numPr>
        <w:kinsoku/>
        <w:wordWrap/>
        <w:overflowPunct/>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254CDEF">
      <w:pPr>
        <w:keepNext w:val="0"/>
        <w:keepLines w:val="0"/>
        <w:pageBreakBefore w:val="0"/>
        <w:numPr>
          <w:ilvl w:val="0"/>
          <w:numId w:val="3"/>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因响应文件字迹潦草或表达不清所引起的不利后果由供应商承担。</w:t>
      </w:r>
    </w:p>
    <w:p w14:paraId="6ED41D5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5.4响应文件的密封</w:t>
      </w:r>
    </w:p>
    <w:p w14:paraId="7D1A372E">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文件、响应文件正本、副本应分开封装在单独的封袋中（封袋不得有破损），且在封袋正面标明“正本”“副本”</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lang w:val="en-US" w:eastAsia="zh-CN"/>
          <w14:textFill>
            <w14:solidFill>
              <w14:schemeClr w14:val="tx1"/>
            </w14:solidFill>
          </w14:textFill>
        </w:rPr>
        <w:t>资格证明</w:t>
      </w:r>
      <w:r>
        <w:rPr>
          <w:rFonts w:hint="eastAsia" w:ascii="宋体" w:hAnsi="宋体" w:cs="宋体"/>
          <w:color w:val="000000" w:themeColor="text1"/>
          <w:sz w:val="24"/>
          <w:szCs w:val="28"/>
          <w14:textFill>
            <w14:solidFill>
              <w14:schemeClr w14:val="tx1"/>
            </w14:solidFill>
          </w14:textFill>
        </w:rPr>
        <w:t>文件</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，电子版放置正本密封袋内。封袋应加贴封条，并在封线处加盖供应商</w:t>
      </w:r>
      <w:r>
        <w:rPr>
          <w:rFonts w:hint="eastAsia" w:ascii="宋体" w:hAnsi="宋体" w:cs="宋体"/>
          <w:color w:val="000000" w:themeColor="text1"/>
          <w:sz w:val="24"/>
          <w:szCs w:val="28"/>
          <w:lang w:val="en-US" w:eastAsia="zh-CN"/>
          <w14:textFill>
            <w14:solidFill>
              <w14:schemeClr w14:val="tx1"/>
            </w14:solidFill>
          </w14:textFill>
        </w:rPr>
        <w:t>公章</w:t>
      </w:r>
      <w:r>
        <w:rPr>
          <w:rFonts w:hint="eastAsia" w:ascii="宋体" w:hAnsi="宋体" w:cs="宋体"/>
          <w:color w:val="000000" w:themeColor="text1"/>
          <w:sz w:val="24"/>
          <w:szCs w:val="28"/>
          <w14:textFill>
            <w14:solidFill>
              <w14:schemeClr w14:val="tx1"/>
            </w14:solidFill>
          </w14:textFill>
        </w:rPr>
        <w:t>，封袋正面要粘贴供应商全称、项目名称、编号等标识</w:t>
      </w:r>
      <w:r>
        <w:rPr>
          <w:rFonts w:hint="eastAsia" w:ascii="宋体" w:hAnsi="宋体" w:cs="宋体"/>
          <w:color w:val="000000" w:themeColor="text1"/>
          <w:sz w:val="24"/>
          <w:szCs w:val="28"/>
          <w:lang w:eastAsia="zh-CN"/>
          <w14:textFill>
            <w14:solidFill>
              <w14:schemeClr w14:val="tx1"/>
            </w14:solidFill>
          </w14:textFill>
        </w:rPr>
        <w:t>且</w:t>
      </w:r>
      <w:r>
        <w:rPr>
          <w:rFonts w:hint="eastAsia" w:ascii="宋体" w:hAnsi="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cs="宋体"/>
          <w:color w:val="000000" w:themeColor="text1"/>
          <w:sz w:val="24"/>
          <w:szCs w:val="28"/>
          <w14:textFill>
            <w14:solidFill>
              <w14:schemeClr w14:val="tx1"/>
            </w14:solidFill>
          </w14:textFill>
        </w:rPr>
        <w:t>。</w:t>
      </w:r>
    </w:p>
    <w:p w14:paraId="2C93C5B0">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auto"/>
          <w:kern w:val="0"/>
          <w:sz w:val="24"/>
          <w:szCs w:val="24"/>
        </w:rPr>
      </w:pPr>
      <w:r>
        <w:rPr>
          <w:rFonts w:hint="eastAsia" w:ascii="宋体" w:hAnsi="宋体" w:cs="宋体"/>
          <w:color w:val="000000" w:themeColor="text1"/>
          <w:sz w:val="24"/>
          <w:szCs w:val="28"/>
          <w14:textFill>
            <w14:solidFill>
              <w14:schemeClr w14:val="tx1"/>
            </w14:solidFill>
          </w14:textFill>
        </w:rPr>
        <w:t>如果供应商未按上述要求密封及加写标记，误投或过早启封的响应文件，将自行承担其</w:t>
      </w:r>
    </w:p>
    <w:p w14:paraId="65861A4B">
      <w:pPr>
        <w:keepNext w:val="0"/>
        <w:keepLines w:val="0"/>
        <w:pageBreakBefore w:val="0"/>
        <w:kinsoku/>
        <w:wordWrap/>
        <w:overflowPunct/>
        <w:topLinePunct w:val="0"/>
        <w:autoSpaceDE/>
        <w:autoSpaceDN/>
        <w:bidi w:val="0"/>
        <w:adjustRightInd/>
        <w:snapToGrid/>
        <w:spacing w:line="450" w:lineRule="exact"/>
        <w:jc w:val="left"/>
        <w:textAlignment w:val="auto"/>
        <w:rPr>
          <w:rFonts w:ascii="宋体" w:hAnsi="宋体" w:cs="宋体"/>
          <w:color w:val="000000" w:themeColor="text1"/>
          <w:sz w:val="24"/>
          <w:szCs w:val="28"/>
          <w14:textFill>
            <w14:solidFill>
              <w14:schemeClr w14:val="tx1"/>
            </w14:solidFill>
          </w14:textFill>
        </w:rPr>
      </w:pPr>
      <w:bookmarkStart w:id="33" w:name="_Toc29200"/>
      <w:bookmarkStart w:id="34" w:name="_Toc536202300"/>
      <w:r>
        <w:rPr>
          <w:rFonts w:hint="eastAsia" w:ascii="宋体" w:hAnsi="宋体" w:cs="宋体"/>
          <w:color w:val="000000" w:themeColor="text1"/>
          <w:sz w:val="24"/>
          <w:szCs w:val="28"/>
          <w14:textFill>
            <w14:solidFill>
              <w14:schemeClr w14:val="tx1"/>
            </w14:solidFill>
          </w14:textFill>
        </w:rPr>
        <w:t>响应文件被视为无效响应文件的风险。</w:t>
      </w:r>
    </w:p>
    <w:p w14:paraId="46DDD2F2">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5.5本次磋商只接受简体中文文字的响应文件；如响应文件中出现外文资料，必须配以中文译文。否则，由此引发的一切责任由供应商自负。</w:t>
      </w:r>
    </w:p>
    <w:p w14:paraId="5F8128F6">
      <w:pPr>
        <w:pageBreakBefore w:val="0"/>
        <w:widowControl/>
        <w:kinsoku/>
        <w:wordWrap/>
        <w:overflowPunct/>
        <w:topLinePunct w:val="0"/>
        <w:autoSpaceDE/>
        <w:autoSpaceDN/>
        <w:bidi w:val="0"/>
        <w:adjustRightInd/>
        <w:snapToGrid/>
        <w:spacing w:line="450" w:lineRule="exact"/>
        <w:ind w:firstLine="480" w:firstLineChars="200"/>
        <w:textAlignment w:val="auto"/>
        <w:rPr>
          <w:rFonts w:ascii="宋体" w:hAnsi="宋体" w:cs="宋体"/>
          <w:color w:val="000000" w:themeColor="text1"/>
          <w:kern w:val="0"/>
          <w:sz w:val="24"/>
          <w:szCs w:val="28"/>
          <w14:textFill>
            <w14:solidFill>
              <w14:schemeClr w14:val="tx1"/>
            </w14:solidFill>
          </w14:textFill>
        </w:rPr>
      </w:pPr>
      <w:r>
        <w:rPr>
          <w:rFonts w:hint="eastAsia" w:ascii="宋体" w:hAnsi="宋体" w:cs="宋体"/>
          <w:color w:val="000000" w:themeColor="text1"/>
          <w:kern w:val="0"/>
          <w:sz w:val="24"/>
          <w:szCs w:val="28"/>
          <w14:textFill>
            <w14:solidFill>
              <w14:schemeClr w14:val="tx1"/>
            </w14:solidFill>
          </w14:textFill>
        </w:rPr>
        <w:t>5.6拒绝接受以电话、传真、电子邮件形式的磋商。</w:t>
      </w:r>
    </w:p>
    <w:p w14:paraId="36AC25A8">
      <w:pPr>
        <w:pageBreakBefore w:val="0"/>
        <w:widowControl/>
        <w:numPr>
          <w:ilvl w:val="0"/>
          <w:numId w:val="2"/>
        </w:numPr>
        <w:kinsoku/>
        <w:wordWrap/>
        <w:overflowPunct/>
        <w:topLinePunct w:val="0"/>
        <w:autoSpaceDE/>
        <w:autoSpaceDN/>
        <w:bidi w:val="0"/>
        <w:adjustRightInd/>
        <w:snapToGrid/>
        <w:spacing w:line="450" w:lineRule="exact"/>
        <w:ind w:firstLine="562" w:firstLineChars="200"/>
        <w:jc w:val="center"/>
        <w:textAlignment w:val="auto"/>
        <w:outlineLvl w:val="1"/>
        <w:rPr>
          <w:rFonts w:ascii="宋体" w:hAnsi="宋体" w:cs="宋体"/>
          <w:b/>
          <w:bCs/>
          <w:color w:val="000000" w:themeColor="text1"/>
          <w:kern w:val="0"/>
          <w:sz w:val="28"/>
          <w:szCs w:val="32"/>
          <w14:textFill>
            <w14:solidFill>
              <w14:schemeClr w14:val="tx1"/>
            </w14:solidFill>
          </w14:textFill>
        </w:rPr>
      </w:pPr>
      <w:r>
        <w:rPr>
          <w:rFonts w:hint="eastAsia" w:ascii="宋体" w:hAnsi="宋体" w:cs="宋体"/>
          <w:b/>
          <w:bCs/>
          <w:color w:val="000000" w:themeColor="text1"/>
          <w:kern w:val="0"/>
          <w:sz w:val="28"/>
          <w:szCs w:val="32"/>
          <w14:textFill>
            <w14:solidFill>
              <w14:schemeClr w14:val="tx1"/>
            </w14:solidFill>
          </w14:textFill>
        </w:rPr>
        <w:t xml:space="preserve">响应文件的递交 </w:t>
      </w:r>
    </w:p>
    <w:p w14:paraId="66E9B297">
      <w:pPr>
        <w:pStyle w:val="4"/>
        <w:pageBreakBefore w:val="0"/>
        <w:numPr>
          <w:ilvl w:val="0"/>
          <w:numId w:val="0"/>
        </w:numPr>
        <w:kinsoku/>
        <w:wordWrap/>
        <w:overflowPunct/>
        <w:topLinePunct w:val="0"/>
        <w:autoSpaceDE/>
        <w:autoSpaceDN/>
        <w:bidi w:val="0"/>
        <w:adjustRightInd/>
        <w:snapToGrid/>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响应文件递交</w:t>
      </w:r>
    </w:p>
    <w:p w14:paraId="195E8CFC">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1791087">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3D5071BF">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1.3代理机构不接受邮寄的响应文件；</w:t>
      </w:r>
    </w:p>
    <w:p w14:paraId="3CBD9500">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1.4无论供应商成交与否，其响应文件恕不退还。</w:t>
      </w:r>
    </w:p>
    <w:p w14:paraId="017E369D">
      <w:pPr>
        <w:pStyle w:val="4"/>
        <w:pageBreakBefore w:val="0"/>
        <w:numPr>
          <w:ilvl w:val="0"/>
          <w:numId w:val="0"/>
        </w:numPr>
        <w:kinsoku/>
        <w:wordWrap/>
        <w:overflowPunct/>
        <w:topLinePunct w:val="0"/>
        <w:autoSpaceDE/>
        <w:autoSpaceDN/>
        <w:bidi w:val="0"/>
        <w:adjustRightInd/>
        <w:snapToGrid/>
        <w:spacing w:line="45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响应文件的修改和撤回</w:t>
      </w:r>
    </w:p>
    <w:p w14:paraId="60F993D5">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5189DD90">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4437123B">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4CD60CBB">
      <w:pPr>
        <w:pageBreakBefore w:val="0"/>
        <w:widowControl/>
        <w:tabs>
          <w:tab w:val="left" w:pos="0"/>
        </w:tabs>
        <w:kinsoku/>
        <w:wordWrap/>
        <w:overflowPunct/>
        <w:topLinePunct w:val="0"/>
        <w:autoSpaceDE/>
        <w:autoSpaceDN/>
        <w:bidi w:val="0"/>
        <w:adjustRightInd/>
        <w:snapToGrid/>
        <w:spacing w:line="45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2.4投标截止时间之后，供应商不得补充、修改响应文件。</w:t>
      </w:r>
    </w:p>
    <w:p w14:paraId="5AE14BEA">
      <w:pPr>
        <w:pageBreakBefore w:val="0"/>
        <w:widowControl/>
        <w:numPr>
          <w:ilvl w:val="0"/>
          <w:numId w:val="2"/>
        </w:numPr>
        <w:kinsoku/>
        <w:wordWrap/>
        <w:overflowPunct/>
        <w:topLinePunct w:val="0"/>
        <w:autoSpaceDE/>
        <w:autoSpaceDN/>
        <w:bidi w:val="0"/>
        <w:adjustRightInd/>
        <w:snapToGrid/>
        <w:spacing w:line="450" w:lineRule="exact"/>
        <w:ind w:firstLine="562" w:firstLineChars="200"/>
        <w:jc w:val="center"/>
        <w:textAlignment w:val="auto"/>
        <w:outlineLvl w:val="1"/>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磋商、评审、定标</w:t>
      </w:r>
    </w:p>
    <w:p w14:paraId="0E2CBC96">
      <w:pPr>
        <w:pStyle w:val="4"/>
        <w:pageBreakBefore w:val="0"/>
        <w:numPr>
          <w:ilvl w:val="0"/>
          <w:numId w:val="0"/>
        </w:numPr>
        <w:kinsoku/>
        <w:wordWrap/>
        <w:overflowPunct/>
        <w:topLinePunct w:val="0"/>
        <w:autoSpaceDE/>
        <w:autoSpaceDN/>
        <w:bidi w:val="0"/>
        <w:adjustRightInd/>
        <w:snapToGrid/>
        <w:spacing w:line="450" w:lineRule="exact"/>
        <w:ind w:firstLine="482" w:firstLineChars="200"/>
        <w:textAlignment w:val="auto"/>
        <w:rPr>
          <w:rFonts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lang w:val="en-US" w:eastAsia="zh-CN"/>
          <w14:textFill>
            <w14:solidFill>
              <w14:schemeClr w14:val="tx1"/>
            </w14:solidFill>
          </w14:textFill>
        </w:rPr>
        <w:t>1.</w:t>
      </w:r>
      <w:r>
        <w:rPr>
          <w:rFonts w:hint="eastAsia" w:ascii="宋体" w:hAnsi="宋体" w:cs="宋体"/>
          <w:b/>
          <w:bCs/>
          <w:color w:val="000000" w:themeColor="text1"/>
          <w:sz w:val="24"/>
          <w:szCs w:val="28"/>
          <w14:textFill>
            <w14:solidFill>
              <w14:schemeClr w14:val="tx1"/>
            </w14:solidFill>
          </w14:textFill>
        </w:rPr>
        <w:t>磋商</w:t>
      </w:r>
    </w:p>
    <w:p w14:paraId="5796E038">
      <w:pPr>
        <w:pStyle w:val="4"/>
        <w:keepNext w:val="0"/>
        <w:keepLines w:val="0"/>
        <w:pageBreakBefore w:val="0"/>
        <w:widowControl w:val="0"/>
        <w:suppressLineNumbers w:val="0"/>
        <w:kinsoku/>
        <w:wordWrap/>
        <w:overflowPunct/>
        <w:topLinePunct w:val="0"/>
        <w:autoSpaceDE/>
        <w:autoSpaceDN/>
        <w:bidi w:val="0"/>
        <w:adjustRightInd/>
        <w:snapToGrid/>
        <w:spacing w:line="450" w:lineRule="exact"/>
        <w:ind w:left="0"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cs="宋体"/>
          <w:b w:val="0"/>
          <w:bCs w:val="0"/>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bookmarkEnd w:id="33"/>
    <w:bookmarkEnd w:id="34"/>
    <w:p w14:paraId="533F2FA5">
      <w:pPr>
        <w:pageBreakBefore w:val="0"/>
        <w:widowControl/>
        <w:tabs>
          <w:tab w:val="left" w:pos="0"/>
        </w:tabs>
        <w:kinsoku/>
        <w:wordWrap/>
        <w:topLinePunct w:val="0"/>
        <w:autoSpaceDE/>
        <w:autoSpaceDN/>
        <w:bidi w:val="0"/>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1.2磋商时，当众查验</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密封情况，由投标人或者其推选的代表检查</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的密封情况，以确认各投标人的</w:t>
      </w:r>
      <w:r>
        <w:rPr>
          <w:rFonts w:hint="eastAsia" w:ascii="宋体" w:hAnsi="宋体" w:cs="宋体"/>
          <w:color w:val="000000" w:themeColor="text1"/>
          <w:sz w:val="24"/>
          <w:szCs w:val="28"/>
          <w:lang w:eastAsia="zh-CN"/>
          <w14:textFill>
            <w14:solidFill>
              <w14:schemeClr w14:val="tx1"/>
            </w14:solidFill>
          </w14:textFill>
        </w:rPr>
        <w:t>响应文件</w:t>
      </w:r>
      <w:r>
        <w:rPr>
          <w:rFonts w:hint="eastAsia" w:ascii="宋体" w:hAnsi="宋体" w:cs="宋体"/>
          <w:color w:val="000000" w:themeColor="text1"/>
          <w:sz w:val="24"/>
          <w:szCs w:val="28"/>
          <w14:textFill>
            <w14:solidFill>
              <w14:schemeClr w14:val="tx1"/>
            </w14:solidFill>
          </w14:textFill>
        </w:rPr>
        <w:t>密封情况是否与递交时一致，没有被提前启封等异常情况。</w:t>
      </w:r>
    </w:p>
    <w:p w14:paraId="26490F5D">
      <w:pPr>
        <w:pageBreakBefore w:val="0"/>
        <w:kinsoku/>
        <w:wordWrap/>
        <w:overflowPunct w:val="0"/>
        <w:topLinePunct w:val="0"/>
        <w:autoSpaceDE/>
        <w:autoSpaceDN/>
        <w:bidi w:val="0"/>
        <w:adjustRightInd w:val="0"/>
        <w:snapToGrid w:val="0"/>
        <w:spacing w:line="460" w:lineRule="exact"/>
        <w:ind w:firstLine="600" w:firstLineChars="25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1.3经确认无误后，</w:t>
      </w:r>
      <w:r>
        <w:rPr>
          <w:rFonts w:hint="eastAsia" w:ascii="宋体" w:hAnsi="宋体" w:cs="宋体"/>
          <w:color w:val="000000" w:themeColor="text1"/>
          <w:sz w:val="24"/>
          <w:szCs w:val="24"/>
          <w14:textFill>
            <w14:solidFill>
              <w14:schemeClr w14:val="tx1"/>
            </w14:solidFill>
          </w14:textFill>
        </w:rPr>
        <w:t>对密封合格的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由代理机构工作人员现场拆封开启，密封不合格的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以及按照“响应文件的修改和撤回”规定，提交了可接受的“撤回”通知书的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将不予拆封。</w:t>
      </w:r>
    </w:p>
    <w:p w14:paraId="03CC88EA">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拆封后，宣读投标人名称</w:t>
      </w:r>
      <w:r>
        <w:rPr>
          <w:rFonts w:hint="eastAsia" w:ascii="宋体" w:hAnsi="宋体" w:cs="宋体"/>
          <w:bCs/>
          <w:color w:val="000000" w:themeColor="text1"/>
          <w:sz w:val="24"/>
          <w:szCs w:val="24"/>
          <w14:textFill>
            <w14:solidFill>
              <w14:schemeClr w14:val="tx1"/>
            </w14:solidFill>
          </w14:textFill>
        </w:rPr>
        <w:t>。</w:t>
      </w:r>
    </w:p>
    <w:p w14:paraId="339C09B4">
      <w:pPr>
        <w:pStyle w:val="4"/>
        <w:pageBreakBefore w:val="0"/>
        <w:kinsoku/>
        <w:wordWrap/>
        <w:topLinePunct w:val="0"/>
        <w:autoSpaceDE/>
        <w:autoSpaceDN/>
        <w:bidi w:val="0"/>
        <w:spacing w:line="46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磋商小组</w:t>
      </w:r>
    </w:p>
    <w:p w14:paraId="5B442D50">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24B73E9">
      <w:pPr>
        <w:pageBreakBefore w:val="0"/>
        <w:kinsoku/>
        <w:wordWrap/>
        <w:topLinePunct w:val="0"/>
        <w:autoSpaceDE/>
        <w:autoSpaceDN/>
        <w:bidi w:val="0"/>
        <w:spacing w:line="460" w:lineRule="exact"/>
        <w:ind w:firstLine="458" w:firstLineChars="191"/>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290AFC79">
      <w:pPr>
        <w:pageBreakBefore w:val="0"/>
        <w:tabs>
          <w:tab w:val="left" w:pos="1200"/>
        </w:tabs>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（2）对所有响应文件逐一进行资格性、符合性审查，并</w:t>
      </w:r>
      <w:r>
        <w:rPr>
          <w:rFonts w:hint="eastAsia" w:ascii="宋体" w:hAnsi="宋体" w:cs="宋体"/>
          <w:color w:val="000000" w:themeColor="text1"/>
          <w:sz w:val="24"/>
          <w:lang w:eastAsia="zh-CN"/>
          <w14:textFill>
            <w14:solidFill>
              <w14:schemeClr w14:val="tx1"/>
            </w14:solidFill>
          </w14:textFill>
        </w:rPr>
        <w:t>作出评价</w:t>
      </w:r>
      <w:r>
        <w:rPr>
          <w:rFonts w:hint="eastAsia" w:ascii="宋体" w:hAnsi="宋体" w:cs="宋体"/>
          <w:color w:val="000000" w:themeColor="text1"/>
          <w:sz w:val="24"/>
          <w14:textFill>
            <w14:solidFill>
              <w14:schemeClr w14:val="tx1"/>
            </w14:solidFill>
          </w14:textFill>
        </w:rPr>
        <w:t>；</w:t>
      </w:r>
    </w:p>
    <w:p w14:paraId="0CA6A452">
      <w:pPr>
        <w:pageBreakBefore w:val="0"/>
        <w:tabs>
          <w:tab w:val="left" w:pos="1200"/>
        </w:tabs>
        <w:kinsoku/>
        <w:wordWrap/>
        <w:topLinePunct w:val="0"/>
        <w:autoSpaceDE/>
        <w:autoSpaceDN/>
        <w:bidi w:val="0"/>
        <w:spacing w:line="460" w:lineRule="exact"/>
        <w:ind w:firstLine="458" w:firstLineChars="191"/>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1F956473">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（4）要求供应商对响应文件有关事项作出解释或澄清；</w:t>
      </w:r>
    </w:p>
    <w:p w14:paraId="293B0C60">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37A8429F">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cs="宋体"/>
          <w:color w:val="000000" w:themeColor="text1"/>
          <w:sz w:val="24"/>
          <w:lang w:eastAsia="zh-CN"/>
          <w14:textFill>
            <w14:solidFill>
              <w14:schemeClr w14:val="tx1"/>
            </w14:solidFill>
          </w14:textFill>
        </w:rPr>
        <w:t>作出</w:t>
      </w:r>
      <w:r>
        <w:rPr>
          <w:rFonts w:hint="eastAsia" w:ascii="宋体" w:hAnsi="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590B6EFB">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（7）对评审情况以及在评审过程中获悉的国家秘密、商业秘密负有保密责任；</w:t>
      </w:r>
    </w:p>
    <w:p w14:paraId="72A97CD1">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 配合财政部门的投诉处理工作；</w:t>
      </w:r>
    </w:p>
    <w:p w14:paraId="2C8696C8">
      <w:pPr>
        <w:pageBreakBefore w:val="0"/>
        <w:kinsoku/>
        <w:wordWrap/>
        <w:topLinePunct w:val="0"/>
        <w:autoSpaceDE/>
        <w:autoSpaceDN/>
        <w:bidi w:val="0"/>
        <w:spacing w:line="46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（9）配合采购人、采购代理机构答复供应商提出的质疑。</w:t>
      </w:r>
    </w:p>
    <w:p w14:paraId="51E104B6">
      <w:pPr>
        <w:pageBreakBefore w:val="0"/>
        <w:kinsoku/>
        <w:wordWrap/>
        <w:topLinePunct w:val="0"/>
        <w:autoSpaceDE/>
        <w:autoSpaceDN/>
        <w:bidi w:val="0"/>
        <w:spacing w:line="460" w:lineRule="exact"/>
        <w:ind w:firstLine="482" w:firstLineChars="200"/>
        <w:textAlignment w:val="auto"/>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响应文件的初审</w:t>
      </w:r>
    </w:p>
    <w:p w14:paraId="0D4659C2">
      <w:pPr>
        <w:pageBreakBefore w:val="0"/>
        <w:kinsoku/>
        <w:wordWrap/>
        <w:topLinePunct w:val="0"/>
        <w:autoSpaceDE/>
        <w:autoSpaceDN/>
        <w:bidi w:val="0"/>
        <w:spacing w:line="460" w:lineRule="exact"/>
        <w:ind w:firstLine="360" w:firstLineChars="15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（1）初审分为资格性审查和符合性审查。</w:t>
      </w:r>
    </w:p>
    <w:p w14:paraId="74F36C75">
      <w:pPr>
        <w:pageBreakBefore w:val="0"/>
        <w:kinsoku/>
        <w:wordWrap/>
        <w:topLinePunct w:val="0"/>
        <w:autoSpaceDE/>
        <w:autoSpaceDN/>
        <w:bidi w:val="0"/>
        <w:spacing w:line="460" w:lineRule="exact"/>
        <w:ind w:firstLine="360" w:firstLineChars="1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（2）资格性审查：依据磋商文件</w:t>
      </w:r>
      <w:r>
        <w:rPr>
          <w:rFonts w:hint="eastAsia" w:ascii="宋体" w:hAnsi="宋体" w:cs="宋体"/>
          <w:color w:val="000000" w:themeColor="text1"/>
          <w:sz w:val="24"/>
          <w:lang w:val="en-US" w:eastAsia="zh-CN"/>
          <w14:textFill>
            <w14:solidFill>
              <w14:schemeClr w14:val="tx1"/>
            </w14:solidFill>
          </w14:textFill>
        </w:rPr>
        <w:t>须知前附表第10项投标人资格要求</w:t>
      </w:r>
      <w:r>
        <w:rPr>
          <w:rFonts w:hint="eastAsia" w:ascii="宋体" w:hAnsi="宋体" w:cs="宋体"/>
          <w:color w:val="000000" w:themeColor="text1"/>
          <w:sz w:val="24"/>
          <w14:textFill>
            <w14:solidFill>
              <w14:schemeClr w14:val="tx1"/>
            </w14:solidFill>
          </w14:textFill>
        </w:rPr>
        <w:t>的规定，对供应商的资格证明文件进行审查，以确定供应商是否具备磋商资格。</w:t>
      </w:r>
    </w:p>
    <w:p w14:paraId="6785D89E">
      <w:pPr>
        <w:pageBreakBefore w:val="0"/>
        <w:kinsoku/>
        <w:wordWrap/>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（3）符合性审查：依据磋商文件规定，从响应文件的有效性、完整性和对磋商文件的响应程度进行审查。</w:t>
      </w:r>
    </w:p>
    <w:p w14:paraId="496AE14B">
      <w:pPr>
        <w:pageBreakBefore w:val="0"/>
        <w:kinsoku/>
        <w:wordWrap/>
        <w:topLinePunct w:val="0"/>
        <w:autoSpaceDE/>
        <w:autoSpaceDN/>
        <w:bidi w:val="0"/>
        <w:adjustRightInd w:val="0"/>
        <w:snapToGrid w:val="0"/>
        <w:spacing w:line="460" w:lineRule="exact"/>
        <w:ind w:left="0" w:leftChars="0" w:right="0" w:rightChars="0" w:firstLine="480" w:firstLineChars="200"/>
        <w:textAlignment w:val="auto"/>
        <w:rPr>
          <w:rFonts w:hint="eastAsia" w:ascii="宋体" w:hAnsi="宋体" w:cs="宋体"/>
          <w:color w:val="000000" w:themeColor="text1"/>
          <w:sz w:val="24"/>
          <w14:textFill>
            <w14:solidFill>
              <w14:schemeClr w14:val="tx1"/>
            </w14:solidFill>
          </w14:textFill>
        </w:rPr>
      </w:pPr>
    </w:p>
    <w:tbl>
      <w:tblPr>
        <w:tblStyle w:val="35"/>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62"/>
        <w:gridCol w:w="3775"/>
        <w:gridCol w:w="1003"/>
        <w:gridCol w:w="1498"/>
      </w:tblGrid>
      <w:tr w14:paraId="20B9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4660164">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236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983AC2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符合性审查项</w:t>
            </w:r>
          </w:p>
        </w:tc>
        <w:tc>
          <w:tcPr>
            <w:tcW w:w="377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DCA59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通过条件</w:t>
            </w:r>
          </w:p>
        </w:tc>
        <w:tc>
          <w:tcPr>
            <w:tcW w:w="1003"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F06622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结论</w:t>
            </w:r>
          </w:p>
        </w:tc>
        <w:tc>
          <w:tcPr>
            <w:tcW w:w="1498"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EC9C17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center"/>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未通过原因</w:t>
            </w:r>
          </w:p>
        </w:tc>
      </w:tr>
      <w:tr w14:paraId="6B7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660" w:type="dxa"/>
            <w:tcBorders>
              <w:top w:val="single" w:color="auto" w:sz="4" w:space="0"/>
              <w:left w:val="single" w:color="auto" w:sz="4" w:space="0"/>
              <w:bottom w:val="single" w:color="auto" w:sz="4" w:space="0"/>
              <w:right w:val="single" w:color="auto" w:sz="4" w:space="0"/>
            </w:tcBorders>
          </w:tcPr>
          <w:p w14:paraId="4F32D8D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w:t>
            </w:r>
          </w:p>
        </w:tc>
        <w:tc>
          <w:tcPr>
            <w:tcW w:w="2362" w:type="dxa"/>
            <w:tcBorders>
              <w:top w:val="single" w:color="auto" w:sz="4" w:space="0"/>
              <w:left w:val="single" w:color="auto" w:sz="4" w:space="0"/>
              <w:bottom w:val="single" w:color="auto" w:sz="4" w:space="0"/>
              <w:right w:val="single" w:color="auto" w:sz="4" w:space="0"/>
            </w:tcBorders>
          </w:tcPr>
          <w:p w14:paraId="73405AC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正、副本数量及装订方式</w:t>
            </w:r>
          </w:p>
        </w:tc>
        <w:tc>
          <w:tcPr>
            <w:tcW w:w="3775" w:type="dxa"/>
            <w:tcBorders>
              <w:top w:val="single" w:color="auto" w:sz="4" w:space="0"/>
              <w:left w:val="single" w:color="auto" w:sz="4" w:space="0"/>
              <w:bottom w:val="single" w:color="auto" w:sz="4" w:space="0"/>
              <w:right w:val="single" w:color="auto" w:sz="4" w:space="0"/>
            </w:tcBorders>
            <w:vAlign w:val="center"/>
          </w:tcPr>
          <w:p w14:paraId="7496B9F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均符合</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w:t>
            </w:r>
          </w:p>
        </w:tc>
        <w:tc>
          <w:tcPr>
            <w:tcW w:w="1003" w:type="dxa"/>
            <w:tcBorders>
              <w:top w:val="single" w:color="auto" w:sz="4" w:space="0"/>
              <w:left w:val="single" w:color="auto" w:sz="4" w:space="0"/>
              <w:bottom w:val="single" w:color="auto" w:sz="4" w:space="0"/>
              <w:right w:val="single" w:color="auto" w:sz="4" w:space="0"/>
            </w:tcBorders>
          </w:tcPr>
          <w:p w14:paraId="52B4BF5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0DF37AF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5869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9" w:hRule="atLeast"/>
        </w:trPr>
        <w:tc>
          <w:tcPr>
            <w:tcW w:w="660" w:type="dxa"/>
            <w:tcBorders>
              <w:top w:val="single" w:color="auto" w:sz="4" w:space="0"/>
              <w:left w:val="single" w:color="auto" w:sz="4" w:space="0"/>
              <w:bottom w:val="single" w:color="auto" w:sz="4" w:space="0"/>
              <w:right w:val="single" w:color="auto" w:sz="4" w:space="0"/>
            </w:tcBorders>
          </w:tcPr>
          <w:p w14:paraId="5B610AF9">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w:t>
            </w:r>
          </w:p>
        </w:tc>
        <w:tc>
          <w:tcPr>
            <w:tcW w:w="2362" w:type="dxa"/>
            <w:tcBorders>
              <w:top w:val="single" w:color="auto" w:sz="4" w:space="0"/>
              <w:left w:val="single" w:color="auto" w:sz="4" w:space="0"/>
              <w:bottom w:val="single" w:color="auto" w:sz="4" w:space="0"/>
              <w:right w:val="single" w:color="auto" w:sz="4" w:space="0"/>
            </w:tcBorders>
          </w:tcPr>
          <w:p w14:paraId="4A85BC23">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封面、投标函、法定代表人委托授权书三处的项目名称、项目编号、标段</w:t>
            </w:r>
            <w:r>
              <w:rPr>
                <w:rFonts w:hint="eastAsia" w:ascii="宋体" w:hAnsi="宋体" w:cs="宋体"/>
                <w:bCs/>
                <w:color w:val="000000" w:themeColor="text1"/>
                <w:kern w:val="0"/>
                <w:sz w:val="24"/>
                <w:szCs w:val="24"/>
                <w:lang w:eastAsia="zh-CN"/>
                <w14:textFill>
                  <w14:solidFill>
                    <w14:schemeClr w14:val="tx1"/>
                  </w14:solidFill>
                </w14:textFill>
              </w:rPr>
              <w:t>（</w:t>
            </w:r>
            <w:r>
              <w:rPr>
                <w:rFonts w:hint="eastAsia" w:ascii="宋体" w:hAnsi="宋体" w:cs="宋体"/>
                <w:bCs/>
                <w:color w:val="000000" w:themeColor="text1"/>
                <w:kern w:val="0"/>
                <w:sz w:val="24"/>
                <w:szCs w:val="24"/>
                <w:lang w:val="en-US" w:eastAsia="zh-CN"/>
                <w14:textFill>
                  <w14:solidFill>
                    <w14:schemeClr w14:val="tx1"/>
                  </w14:solidFill>
                </w14:textFill>
              </w:rPr>
              <w:t>未划分标段的除外</w:t>
            </w:r>
            <w:r>
              <w:rPr>
                <w:rFonts w:hint="eastAsia" w:ascii="宋体" w:hAnsi="宋体" w:cs="宋体"/>
                <w:bCs/>
                <w:color w:val="000000" w:themeColor="text1"/>
                <w:kern w:val="0"/>
                <w:sz w:val="24"/>
                <w:szCs w:val="24"/>
                <w:lang w:eastAsia="zh-CN"/>
                <w14:textFill>
                  <w14:solidFill>
                    <w14:schemeClr w14:val="tx1"/>
                  </w14:solidFill>
                </w14:textFill>
              </w:rPr>
              <w:t>）</w:t>
            </w:r>
          </w:p>
        </w:tc>
        <w:tc>
          <w:tcPr>
            <w:tcW w:w="3775" w:type="dxa"/>
            <w:tcBorders>
              <w:top w:val="single" w:color="auto" w:sz="4" w:space="0"/>
              <w:left w:val="single" w:color="auto" w:sz="4" w:space="0"/>
              <w:bottom w:val="single" w:color="auto" w:sz="4" w:space="0"/>
              <w:right w:val="single" w:color="auto" w:sz="4" w:space="0"/>
            </w:tcBorders>
            <w:vAlign w:val="center"/>
          </w:tcPr>
          <w:p w14:paraId="5CA66F7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三处均无遗漏，且与所投项目名称、项目编号、标段完全一致。</w:t>
            </w:r>
          </w:p>
        </w:tc>
        <w:tc>
          <w:tcPr>
            <w:tcW w:w="1003" w:type="dxa"/>
            <w:tcBorders>
              <w:top w:val="single" w:color="auto" w:sz="4" w:space="0"/>
              <w:left w:val="single" w:color="auto" w:sz="4" w:space="0"/>
              <w:bottom w:val="single" w:color="auto" w:sz="4" w:space="0"/>
              <w:right w:val="single" w:color="auto" w:sz="4" w:space="0"/>
            </w:tcBorders>
          </w:tcPr>
          <w:p w14:paraId="76F2A6A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134E6AF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53B0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660" w:type="dxa"/>
            <w:tcBorders>
              <w:top w:val="single" w:color="auto" w:sz="4" w:space="0"/>
              <w:left w:val="single" w:color="auto" w:sz="4" w:space="0"/>
              <w:bottom w:val="single" w:color="auto" w:sz="4" w:space="0"/>
              <w:right w:val="single" w:color="auto" w:sz="4" w:space="0"/>
            </w:tcBorders>
          </w:tcPr>
          <w:p w14:paraId="059295C4">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w:t>
            </w:r>
          </w:p>
        </w:tc>
        <w:tc>
          <w:tcPr>
            <w:tcW w:w="2362" w:type="dxa"/>
            <w:tcBorders>
              <w:top w:val="single" w:color="auto" w:sz="4" w:space="0"/>
              <w:left w:val="single" w:color="auto" w:sz="4" w:space="0"/>
              <w:bottom w:val="single" w:color="auto" w:sz="4" w:space="0"/>
              <w:right w:val="single" w:color="auto" w:sz="4" w:space="0"/>
            </w:tcBorders>
            <w:vAlign w:val="center"/>
          </w:tcPr>
          <w:p w14:paraId="2E4DB8D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签署、盖章</w:t>
            </w:r>
          </w:p>
        </w:tc>
        <w:tc>
          <w:tcPr>
            <w:tcW w:w="3775" w:type="dxa"/>
            <w:tcBorders>
              <w:top w:val="single" w:color="auto" w:sz="4" w:space="0"/>
              <w:left w:val="single" w:color="auto" w:sz="4" w:space="0"/>
              <w:bottom w:val="single" w:color="auto" w:sz="4" w:space="0"/>
              <w:right w:val="single" w:color="auto" w:sz="4" w:space="0"/>
            </w:tcBorders>
          </w:tcPr>
          <w:p w14:paraId="7F76B1F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均按</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要求签字、盖章。（《评标要素及分值一览表》中要求提供的证明材料除外）。</w:t>
            </w:r>
          </w:p>
        </w:tc>
        <w:tc>
          <w:tcPr>
            <w:tcW w:w="1003" w:type="dxa"/>
            <w:tcBorders>
              <w:top w:val="single" w:color="auto" w:sz="4" w:space="0"/>
              <w:left w:val="single" w:color="auto" w:sz="4" w:space="0"/>
              <w:bottom w:val="single" w:color="auto" w:sz="4" w:space="0"/>
              <w:right w:val="single" w:color="auto" w:sz="4" w:space="0"/>
            </w:tcBorders>
          </w:tcPr>
          <w:p w14:paraId="03AC826F">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199BB19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4BCB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0" w:hRule="atLeast"/>
        </w:trPr>
        <w:tc>
          <w:tcPr>
            <w:tcW w:w="660" w:type="dxa"/>
            <w:tcBorders>
              <w:top w:val="single" w:color="auto" w:sz="4" w:space="0"/>
              <w:left w:val="single" w:color="auto" w:sz="4" w:space="0"/>
              <w:bottom w:val="single" w:color="auto" w:sz="4" w:space="0"/>
              <w:right w:val="single" w:color="auto" w:sz="4" w:space="0"/>
            </w:tcBorders>
          </w:tcPr>
          <w:p w14:paraId="23DA0650">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4</w:t>
            </w:r>
          </w:p>
        </w:tc>
        <w:tc>
          <w:tcPr>
            <w:tcW w:w="2362" w:type="dxa"/>
            <w:tcBorders>
              <w:top w:val="single" w:color="auto" w:sz="4" w:space="0"/>
              <w:left w:val="single" w:color="auto" w:sz="4" w:space="0"/>
              <w:bottom w:val="single" w:color="auto" w:sz="4" w:space="0"/>
              <w:right w:val="single" w:color="auto" w:sz="4" w:space="0"/>
            </w:tcBorders>
            <w:vAlign w:val="center"/>
          </w:tcPr>
          <w:p w14:paraId="6EA15D2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Cs/>
                <w:color w:val="000000" w:themeColor="text1"/>
                <w:kern w:val="0"/>
                <w:sz w:val="24"/>
                <w:szCs w:val="24"/>
                <w:highlight w:val="red"/>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组成</w:t>
            </w:r>
          </w:p>
        </w:tc>
        <w:tc>
          <w:tcPr>
            <w:tcW w:w="3775" w:type="dxa"/>
            <w:tcBorders>
              <w:top w:val="single" w:color="auto" w:sz="4" w:space="0"/>
              <w:left w:val="single" w:color="auto" w:sz="4" w:space="0"/>
              <w:bottom w:val="single" w:color="auto" w:sz="4" w:space="0"/>
              <w:right w:val="single" w:color="auto" w:sz="4" w:space="0"/>
            </w:tcBorders>
          </w:tcPr>
          <w:p w14:paraId="334FE750">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cs="宋体"/>
                <w:color w:val="000000" w:themeColor="text1"/>
                <w:sz w:val="24"/>
                <w:szCs w:val="24"/>
                <w14:textFill>
                  <w14:solidFill>
                    <w14:schemeClr w14:val="tx1"/>
                  </w14:solidFill>
                </w14:textFill>
              </w:rPr>
              <w:t>应包含以下内容：</w:t>
            </w:r>
          </w:p>
          <w:p w14:paraId="2B0AB8D5">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第一章   响应函</w:t>
            </w:r>
          </w:p>
          <w:p w14:paraId="7973CD50">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第二章   响应报价表</w:t>
            </w:r>
          </w:p>
          <w:p w14:paraId="59304F94">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第三章   供应商</w:t>
            </w:r>
            <w:r>
              <w:rPr>
                <w:rFonts w:hint="default" w:ascii="宋体" w:hAnsi="宋体" w:cs="宋体"/>
                <w:color w:val="000000" w:themeColor="text1"/>
                <w:kern w:val="0"/>
                <w:sz w:val="24"/>
                <w:szCs w:val="24"/>
                <w:lang w:val="en-US" w:eastAsia="zh-CN"/>
                <w14:textFill>
                  <w14:solidFill>
                    <w14:schemeClr w14:val="tx1"/>
                  </w14:solidFill>
                </w14:textFill>
              </w:rPr>
              <w:t>资格证明文件</w:t>
            </w:r>
          </w:p>
          <w:p w14:paraId="3C24E1D3">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第四章</w:t>
            </w:r>
            <w:r>
              <w:rPr>
                <w:rFonts w:hint="default" w:ascii="宋体" w:hAnsi="宋体" w:cs="宋体"/>
                <w:color w:val="000000" w:themeColor="text1"/>
                <w:kern w:val="0"/>
                <w:sz w:val="24"/>
                <w:szCs w:val="24"/>
                <w:lang w:val="en-US" w:eastAsia="zh-CN"/>
                <w14:textFill>
                  <w14:solidFill>
                    <w14:schemeClr w14:val="tx1"/>
                  </w14:solidFill>
                </w14:textFill>
              </w:rPr>
              <w:t xml:space="preserve">   技术商务响应偏离表</w:t>
            </w:r>
          </w:p>
          <w:p w14:paraId="6EAB0D17">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第五章</w:t>
            </w:r>
            <w:r>
              <w:rPr>
                <w:rFonts w:hint="default" w:ascii="宋体" w:hAnsi="宋体" w:cs="宋体"/>
                <w:color w:val="000000" w:themeColor="text1"/>
                <w:kern w:val="0"/>
                <w:sz w:val="24"/>
                <w:szCs w:val="24"/>
                <w:lang w:val="en-US" w:eastAsia="zh-CN"/>
                <w14:textFill>
                  <w14:solidFill>
                    <w14:schemeClr w14:val="tx1"/>
                  </w14:solidFill>
                </w14:textFill>
              </w:rPr>
              <w:t xml:space="preserve">   响应</w:t>
            </w:r>
            <w:r>
              <w:rPr>
                <w:rFonts w:hint="default" w:ascii="宋体" w:hAnsi="宋体" w:cs="宋体"/>
                <w:color w:val="000000" w:themeColor="text1"/>
                <w:kern w:val="0"/>
                <w:sz w:val="24"/>
                <w:szCs w:val="24"/>
                <w14:textFill>
                  <w14:solidFill>
                    <w14:schemeClr w14:val="tx1"/>
                  </w14:solidFill>
                </w14:textFill>
              </w:rPr>
              <w:t>方案</w:t>
            </w:r>
          </w:p>
          <w:p w14:paraId="35CEF573">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exact"/>
              <w:ind w:left="0" w:right="0"/>
              <w:textAlignment w:val="auto"/>
              <w:rPr>
                <w:rFonts w:hint="default" w:ascii="宋体" w:hAnsi="宋体" w:cs="宋体"/>
                <w:color w:val="000000" w:themeColor="text1"/>
                <w:kern w:val="0"/>
                <w:sz w:val="24"/>
                <w:szCs w:val="24"/>
                <w14:textFill>
                  <w14:solidFill>
                    <w14:schemeClr w14:val="tx1"/>
                  </w14:solidFill>
                </w14:textFill>
              </w:rPr>
            </w:pPr>
            <w:r>
              <w:rPr>
                <w:rFonts w:hint="default" w:ascii="宋体" w:hAnsi="宋体" w:cs="宋体"/>
                <w:color w:val="000000" w:themeColor="text1"/>
                <w:kern w:val="0"/>
                <w:sz w:val="24"/>
                <w:szCs w:val="24"/>
                <w14:textFill>
                  <w14:solidFill>
                    <w14:schemeClr w14:val="tx1"/>
                  </w14:solidFill>
                </w14:textFill>
              </w:rPr>
              <w:t>第六章</w:t>
            </w:r>
            <w:r>
              <w:rPr>
                <w:rFonts w:hint="default" w:ascii="宋体" w:hAnsi="宋体" w:cs="宋体"/>
                <w:color w:val="000000" w:themeColor="text1"/>
                <w:kern w:val="0"/>
                <w:sz w:val="24"/>
                <w:szCs w:val="24"/>
                <w:lang w:val="en-US" w:eastAsia="zh-CN"/>
                <w14:textFill>
                  <w14:solidFill>
                    <w14:schemeClr w14:val="tx1"/>
                  </w14:solidFill>
                </w14:textFill>
              </w:rPr>
              <w:t xml:space="preserve">   </w:t>
            </w:r>
            <w:r>
              <w:rPr>
                <w:rFonts w:hint="default" w:ascii="宋体" w:hAnsi="宋体" w:cs="宋体"/>
                <w:color w:val="000000" w:themeColor="text1"/>
                <w:kern w:val="0"/>
                <w:sz w:val="24"/>
                <w:szCs w:val="24"/>
                <w14:textFill>
                  <w14:solidFill>
                    <w14:schemeClr w14:val="tx1"/>
                  </w14:solidFill>
                </w14:textFill>
              </w:rPr>
              <w:t>供应商承诺书</w:t>
            </w:r>
          </w:p>
        </w:tc>
        <w:tc>
          <w:tcPr>
            <w:tcW w:w="1003" w:type="dxa"/>
            <w:tcBorders>
              <w:top w:val="single" w:color="auto" w:sz="4" w:space="0"/>
              <w:left w:val="single" w:color="auto" w:sz="4" w:space="0"/>
              <w:bottom w:val="single" w:color="auto" w:sz="4" w:space="0"/>
              <w:right w:val="single" w:color="auto" w:sz="4" w:space="0"/>
            </w:tcBorders>
          </w:tcPr>
          <w:p w14:paraId="0180030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4F8AB63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52C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trPr>
        <w:tc>
          <w:tcPr>
            <w:tcW w:w="660" w:type="dxa"/>
            <w:tcBorders>
              <w:top w:val="single" w:color="auto" w:sz="4" w:space="0"/>
              <w:left w:val="single" w:color="auto" w:sz="4" w:space="0"/>
              <w:bottom w:val="single" w:color="auto" w:sz="4" w:space="0"/>
              <w:right w:val="single" w:color="auto" w:sz="4" w:space="0"/>
            </w:tcBorders>
          </w:tcPr>
          <w:p w14:paraId="0F1CB30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5</w:t>
            </w:r>
          </w:p>
        </w:tc>
        <w:tc>
          <w:tcPr>
            <w:tcW w:w="2362" w:type="dxa"/>
            <w:tcBorders>
              <w:top w:val="single" w:color="auto" w:sz="4" w:space="0"/>
              <w:left w:val="single" w:color="auto" w:sz="4" w:space="0"/>
              <w:bottom w:val="single" w:color="auto" w:sz="4" w:space="0"/>
              <w:right w:val="single" w:color="auto" w:sz="4" w:space="0"/>
            </w:tcBorders>
            <w:vAlign w:val="center"/>
          </w:tcPr>
          <w:p w14:paraId="43D4E91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响应文件</w:t>
            </w:r>
            <w:r>
              <w:rPr>
                <w:rFonts w:hint="eastAsia" w:ascii="宋体" w:hAnsi="宋体" w:cs="宋体"/>
                <w:bCs/>
                <w:color w:val="000000" w:themeColor="text1"/>
                <w:kern w:val="0"/>
                <w:sz w:val="24"/>
                <w:szCs w:val="24"/>
                <w14:textFill>
                  <w14:solidFill>
                    <w14:schemeClr w14:val="tx1"/>
                  </w14:solidFill>
                </w14:textFill>
              </w:rPr>
              <w:t>的计量单位、语言、报价货币、投标有效期</w:t>
            </w:r>
          </w:p>
        </w:tc>
        <w:tc>
          <w:tcPr>
            <w:tcW w:w="3775" w:type="dxa"/>
            <w:tcBorders>
              <w:top w:val="single" w:color="auto" w:sz="4" w:space="0"/>
              <w:left w:val="single" w:color="auto" w:sz="4" w:space="0"/>
              <w:bottom w:val="single" w:color="auto" w:sz="4" w:space="0"/>
              <w:right w:val="single" w:color="auto" w:sz="4" w:space="0"/>
            </w:tcBorders>
            <w:vAlign w:val="center"/>
          </w:tcPr>
          <w:p w14:paraId="0DCCE122">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计量单位、语言、报价货币、投标有效期均符合</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的要求。</w:t>
            </w:r>
          </w:p>
        </w:tc>
        <w:tc>
          <w:tcPr>
            <w:tcW w:w="1003" w:type="dxa"/>
            <w:tcBorders>
              <w:top w:val="single" w:color="auto" w:sz="4" w:space="0"/>
              <w:left w:val="single" w:color="auto" w:sz="4" w:space="0"/>
              <w:bottom w:val="single" w:color="auto" w:sz="4" w:space="0"/>
              <w:right w:val="single" w:color="auto" w:sz="4" w:space="0"/>
            </w:tcBorders>
            <w:vAlign w:val="center"/>
          </w:tcPr>
          <w:p w14:paraId="11B9D38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58B9D3D2">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62F4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trPr>
        <w:tc>
          <w:tcPr>
            <w:tcW w:w="660" w:type="dxa"/>
            <w:tcBorders>
              <w:top w:val="single" w:color="auto" w:sz="4" w:space="0"/>
              <w:left w:val="single" w:color="auto" w:sz="4" w:space="0"/>
              <w:bottom w:val="single" w:color="auto" w:sz="4" w:space="0"/>
              <w:right w:val="single" w:color="auto" w:sz="4" w:space="0"/>
            </w:tcBorders>
          </w:tcPr>
          <w:p w14:paraId="41E38773">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6</w:t>
            </w:r>
          </w:p>
        </w:tc>
        <w:tc>
          <w:tcPr>
            <w:tcW w:w="2362" w:type="dxa"/>
            <w:tcBorders>
              <w:top w:val="single" w:color="auto" w:sz="4" w:space="0"/>
              <w:left w:val="single" w:color="auto" w:sz="4" w:space="0"/>
              <w:bottom w:val="single" w:color="auto" w:sz="4" w:space="0"/>
              <w:right w:val="single" w:color="auto" w:sz="4" w:space="0"/>
            </w:tcBorders>
            <w:vAlign w:val="center"/>
          </w:tcPr>
          <w:p w14:paraId="1DE35362">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投标报价</w:t>
            </w:r>
          </w:p>
        </w:tc>
        <w:tc>
          <w:tcPr>
            <w:tcW w:w="3775" w:type="dxa"/>
            <w:tcBorders>
              <w:top w:val="single" w:color="auto" w:sz="4" w:space="0"/>
              <w:left w:val="single" w:color="auto" w:sz="4" w:space="0"/>
              <w:bottom w:val="single" w:color="auto" w:sz="4" w:space="0"/>
              <w:right w:val="single" w:color="auto" w:sz="4" w:space="0"/>
            </w:tcBorders>
          </w:tcPr>
          <w:p w14:paraId="3E27697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（1）投标报价符合唯一性要求</w:t>
            </w:r>
            <w:r>
              <w:rPr>
                <w:rFonts w:hint="eastAsia" w:ascii="宋体" w:hAnsi="宋体" w:cs="宋体"/>
                <w:bCs/>
                <w:color w:val="000000" w:themeColor="text1"/>
                <w:kern w:val="0"/>
                <w:sz w:val="24"/>
                <w:szCs w:val="24"/>
                <w:lang w:eastAsia="zh-CN"/>
                <w14:textFill>
                  <w14:solidFill>
                    <w14:schemeClr w14:val="tx1"/>
                  </w14:solidFill>
                </w14:textFill>
              </w:rPr>
              <w:t>；</w:t>
            </w:r>
          </w:p>
          <w:p w14:paraId="4AD0623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（2）开标一览表填写符合要求</w:t>
            </w:r>
            <w:r>
              <w:rPr>
                <w:rFonts w:hint="eastAsia" w:ascii="宋体" w:hAnsi="宋体" w:cs="宋体"/>
                <w:bCs/>
                <w:color w:val="000000" w:themeColor="text1"/>
                <w:kern w:val="0"/>
                <w:sz w:val="24"/>
                <w:szCs w:val="24"/>
                <w:lang w:eastAsia="zh-CN"/>
                <w14:textFill>
                  <w14:solidFill>
                    <w14:schemeClr w14:val="tx1"/>
                  </w14:solidFill>
                </w14:textFill>
              </w:rPr>
              <w:t>；</w:t>
            </w:r>
          </w:p>
          <w:p w14:paraId="61A30DE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（3）未超出采购预算或</w:t>
            </w: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规定的最高限价</w:t>
            </w:r>
            <w:r>
              <w:rPr>
                <w:rFonts w:hint="eastAsia" w:ascii="宋体" w:hAnsi="宋体" w:cs="宋体"/>
                <w:bCs/>
                <w:color w:val="000000" w:themeColor="text1"/>
                <w:kern w:val="0"/>
                <w:sz w:val="24"/>
                <w:szCs w:val="24"/>
                <w:lang w:eastAsia="zh-CN"/>
                <w14:textFill>
                  <w14:solidFill>
                    <w14:schemeClr w14:val="tx1"/>
                  </w14:solidFill>
                </w14:textFill>
              </w:rPr>
              <w:t>。</w:t>
            </w:r>
          </w:p>
        </w:tc>
        <w:tc>
          <w:tcPr>
            <w:tcW w:w="1003" w:type="dxa"/>
            <w:tcBorders>
              <w:top w:val="single" w:color="auto" w:sz="4" w:space="0"/>
              <w:left w:val="single" w:color="auto" w:sz="4" w:space="0"/>
              <w:bottom w:val="single" w:color="auto" w:sz="4" w:space="0"/>
              <w:right w:val="single" w:color="auto" w:sz="4" w:space="0"/>
            </w:tcBorders>
          </w:tcPr>
          <w:p w14:paraId="1EE708CF">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6E382699">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2D28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660" w:type="dxa"/>
            <w:tcBorders>
              <w:top w:val="single" w:color="auto" w:sz="4" w:space="0"/>
              <w:left w:val="single" w:color="auto" w:sz="4" w:space="0"/>
              <w:bottom w:val="single" w:color="auto" w:sz="4" w:space="0"/>
              <w:right w:val="single" w:color="auto" w:sz="4" w:space="0"/>
            </w:tcBorders>
          </w:tcPr>
          <w:p w14:paraId="3146CF1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7</w:t>
            </w:r>
          </w:p>
        </w:tc>
        <w:tc>
          <w:tcPr>
            <w:tcW w:w="2362" w:type="dxa"/>
            <w:tcBorders>
              <w:top w:val="single" w:color="auto" w:sz="4" w:space="0"/>
              <w:left w:val="single" w:color="auto" w:sz="4" w:space="0"/>
              <w:bottom w:val="single" w:color="auto" w:sz="4" w:space="0"/>
              <w:right w:val="single" w:color="auto" w:sz="4" w:space="0"/>
            </w:tcBorders>
            <w:vAlign w:val="center"/>
          </w:tcPr>
          <w:p w14:paraId="0359D44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jc w:val="center"/>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lang w:eastAsia="zh-CN"/>
                <w14:textFill>
                  <w14:solidFill>
                    <w14:schemeClr w14:val="tx1"/>
                  </w14:solidFill>
                </w14:textFill>
              </w:rPr>
              <w:t>磋商文件</w:t>
            </w:r>
            <w:r>
              <w:rPr>
                <w:rFonts w:hint="eastAsia" w:ascii="宋体" w:hAnsi="宋体" w:cs="宋体"/>
                <w:bCs/>
                <w:color w:val="000000" w:themeColor="text1"/>
                <w:kern w:val="0"/>
                <w:sz w:val="24"/>
                <w:szCs w:val="24"/>
                <w14:textFill>
                  <w14:solidFill>
                    <w14:schemeClr w14:val="tx1"/>
                  </w14:solidFill>
                </w14:textFill>
              </w:rPr>
              <w:t>要求的实质性条款</w:t>
            </w:r>
          </w:p>
        </w:tc>
        <w:tc>
          <w:tcPr>
            <w:tcW w:w="3775" w:type="dxa"/>
            <w:tcBorders>
              <w:top w:val="single" w:color="auto" w:sz="4" w:space="0"/>
              <w:left w:val="single" w:color="auto" w:sz="4" w:space="0"/>
              <w:bottom w:val="single" w:color="auto" w:sz="4" w:space="0"/>
              <w:right w:val="single" w:color="auto" w:sz="4" w:space="0"/>
            </w:tcBorders>
            <w:vAlign w:val="center"/>
          </w:tcPr>
          <w:p w14:paraId="16237AC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完全响应</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要求的各项实质性条款。</w:t>
            </w:r>
          </w:p>
        </w:tc>
        <w:tc>
          <w:tcPr>
            <w:tcW w:w="1003" w:type="dxa"/>
            <w:tcBorders>
              <w:top w:val="single" w:color="auto" w:sz="4" w:space="0"/>
              <w:left w:val="single" w:color="auto" w:sz="4" w:space="0"/>
              <w:bottom w:val="single" w:color="auto" w:sz="4" w:space="0"/>
              <w:right w:val="single" w:color="auto" w:sz="4" w:space="0"/>
            </w:tcBorders>
          </w:tcPr>
          <w:p w14:paraId="3EA5032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73CDADB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r w14:paraId="79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660" w:type="dxa"/>
            <w:tcBorders>
              <w:top w:val="single" w:color="auto" w:sz="4" w:space="0"/>
              <w:left w:val="single" w:color="auto" w:sz="4" w:space="0"/>
              <w:bottom w:val="single" w:color="auto" w:sz="4" w:space="0"/>
              <w:right w:val="single" w:color="auto" w:sz="4" w:space="0"/>
            </w:tcBorders>
          </w:tcPr>
          <w:p w14:paraId="17A422BF">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2362" w:type="dxa"/>
            <w:tcBorders>
              <w:top w:val="single" w:color="auto" w:sz="4" w:space="0"/>
              <w:left w:val="single" w:color="auto" w:sz="4" w:space="0"/>
              <w:bottom w:val="single" w:color="auto" w:sz="4" w:space="0"/>
              <w:right w:val="single" w:color="auto" w:sz="4" w:space="0"/>
            </w:tcBorders>
            <w:vAlign w:val="center"/>
          </w:tcPr>
          <w:p w14:paraId="3804F7E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center"/>
              <w:textAlignment w:val="auto"/>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合同主要条款响应</w:t>
            </w:r>
          </w:p>
        </w:tc>
        <w:tc>
          <w:tcPr>
            <w:tcW w:w="3775" w:type="dxa"/>
            <w:tcBorders>
              <w:top w:val="single" w:color="auto" w:sz="4" w:space="0"/>
              <w:left w:val="single" w:color="auto" w:sz="4" w:space="0"/>
              <w:bottom w:val="single" w:color="auto" w:sz="4" w:space="0"/>
              <w:right w:val="single" w:color="auto" w:sz="4" w:space="0"/>
            </w:tcBorders>
            <w:vAlign w:val="center"/>
          </w:tcPr>
          <w:p w14:paraId="648BD2E0">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jc w:val="left"/>
              <w:textAlignment w:val="auto"/>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完全理解并接受</w:t>
            </w:r>
            <w:r>
              <w:rPr>
                <w:rFonts w:hint="eastAsia" w:ascii="宋体" w:hAnsi="宋体" w:cs="宋体"/>
                <w:color w:val="000000" w:themeColor="text1"/>
                <w:sz w:val="24"/>
                <w:szCs w:val="24"/>
                <w:lang w:eastAsia="zh-CN"/>
                <w14:textFill>
                  <w14:solidFill>
                    <w14:schemeClr w14:val="tx1"/>
                  </w14:solidFill>
                </w14:textFill>
              </w:rPr>
              <w:t>磋商文件</w:t>
            </w:r>
            <w:r>
              <w:rPr>
                <w:rFonts w:hint="eastAsia" w:ascii="宋体" w:hAnsi="宋体" w:cs="宋体"/>
                <w:color w:val="000000" w:themeColor="text1"/>
                <w:sz w:val="24"/>
                <w:szCs w:val="24"/>
                <w14:textFill>
                  <w14:solidFill>
                    <w14:schemeClr w14:val="tx1"/>
                  </w14:solidFill>
                </w14:textFill>
              </w:rPr>
              <w:t>合同主要条款。</w:t>
            </w:r>
          </w:p>
        </w:tc>
        <w:tc>
          <w:tcPr>
            <w:tcW w:w="1003" w:type="dxa"/>
            <w:tcBorders>
              <w:top w:val="single" w:color="auto" w:sz="4" w:space="0"/>
              <w:left w:val="single" w:color="auto" w:sz="4" w:space="0"/>
              <w:bottom w:val="single" w:color="auto" w:sz="4" w:space="0"/>
              <w:right w:val="single" w:color="auto" w:sz="4" w:space="0"/>
            </w:tcBorders>
          </w:tcPr>
          <w:p w14:paraId="52D16C0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c>
          <w:tcPr>
            <w:tcW w:w="1498" w:type="dxa"/>
            <w:tcBorders>
              <w:top w:val="single" w:color="auto" w:sz="4" w:space="0"/>
              <w:left w:val="single" w:color="auto" w:sz="4" w:space="0"/>
              <w:bottom w:val="single" w:color="auto" w:sz="4" w:space="0"/>
              <w:right w:val="single" w:color="auto" w:sz="4" w:space="0"/>
            </w:tcBorders>
          </w:tcPr>
          <w:p w14:paraId="6801AAA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exact"/>
              <w:ind w:left="0" w:right="0" w:firstLine="200"/>
              <w:textAlignment w:val="auto"/>
              <w:rPr>
                <w:rFonts w:hint="default" w:ascii="宋体" w:hAnsi="宋体" w:cs="宋体"/>
                <w:b/>
                <w:bCs/>
                <w:color w:val="000000" w:themeColor="text1"/>
                <w:kern w:val="0"/>
                <w:sz w:val="24"/>
                <w:szCs w:val="24"/>
                <w14:textFill>
                  <w14:solidFill>
                    <w14:schemeClr w14:val="tx1"/>
                  </w14:solidFill>
                </w14:textFill>
              </w:rPr>
            </w:pPr>
          </w:p>
        </w:tc>
      </w:tr>
    </w:tbl>
    <w:p w14:paraId="78C213F3">
      <w:pPr>
        <w:spacing w:line="360" w:lineRule="auto"/>
        <w:ind w:firstLine="360" w:firstLineChars="150"/>
        <w:rPr>
          <w:rFonts w:ascii="宋体" w:hAnsi="宋体" w:cs="宋体"/>
          <w:color w:val="000000" w:themeColor="text1"/>
          <w:sz w:val="24"/>
          <w14:textFill>
            <w14:solidFill>
              <w14:schemeClr w14:val="tx1"/>
            </w14:solidFill>
          </w14:textFill>
        </w:rPr>
      </w:pPr>
      <w:bookmarkStart w:id="35" w:name="_Toc3736"/>
      <w:r>
        <w:rPr>
          <w:rFonts w:hint="eastAsia" w:ascii="宋体" w:hAnsi="宋体" w:cs="宋体"/>
          <w:color w:val="000000" w:themeColor="text1"/>
          <w:sz w:val="24"/>
          <w14:textFill>
            <w14:solidFill>
              <w14:schemeClr w14:val="tx1"/>
            </w14:solidFill>
          </w14:textFill>
        </w:rPr>
        <w:t>（4）磋商时，响应文件中出现下列情况，修正原则为：</w:t>
      </w:r>
    </w:p>
    <w:p w14:paraId="3F29A6EB">
      <w:pPr>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响应文件中响应报价表内容与响应文件中明细内容不一致的，以响应报价表为准；</w:t>
      </w:r>
    </w:p>
    <w:p w14:paraId="02367303">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大写金额和小写金额不一致的，以大写金额为准；</w:t>
      </w:r>
    </w:p>
    <w:p w14:paraId="29807A10">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单价金额小数点或者百分比有明显错位的，以响应报价表的总价为准，并修改单价；</w:t>
      </w:r>
    </w:p>
    <w:p w14:paraId="02135FA1">
      <w:pPr>
        <w:pageBreakBefore w:val="0"/>
        <w:widowControl/>
        <w:numPr>
          <w:ilvl w:val="0"/>
          <w:numId w:val="0"/>
        </w:numPr>
        <w:wordWrap/>
        <w:topLinePunct w:val="0"/>
        <w:autoSpaceDE/>
        <w:autoSpaceDN/>
        <w:bidi w:val="0"/>
        <w:spacing w:line="360" w:lineRule="auto"/>
        <w:ind w:leftChars="200" w:right="0" w:rightChars="0" w:firstLine="240" w:firstLineChars="100"/>
        <w:jc w:val="both"/>
        <w:textAlignment w:val="auto"/>
        <w:outlineLvl w:val="1"/>
        <w:rPr>
          <w:rFonts w:hint="eastAsia" w:ascii="宋体" w:hAnsi="宋体" w:eastAsia="宋体" w:cs="宋体"/>
          <w:b/>
          <w:bCs/>
          <w:color w:val="auto"/>
          <w:kern w:val="0"/>
          <w:sz w:val="28"/>
          <w:szCs w:val="32"/>
        </w:rPr>
      </w:pPr>
      <w:r>
        <w:rPr>
          <w:rFonts w:hint="eastAsia" w:ascii="宋体" w:hAnsi="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总价金额与按单价汇总金额不一致的，以单价金额计算结果为准；</w:t>
      </w:r>
      <w:r>
        <w:rPr>
          <w:rFonts w:hint="eastAsia" w:ascii="宋体" w:hAnsi="宋体" w:eastAsia="宋体" w:cs="宋体"/>
          <w:b/>
          <w:bCs/>
          <w:color w:val="auto"/>
          <w:kern w:val="0"/>
          <w:sz w:val="28"/>
          <w:szCs w:val="32"/>
        </w:rPr>
        <w:t xml:space="preserve"> </w:t>
      </w:r>
      <w:bookmarkEnd w:id="35"/>
    </w:p>
    <w:p w14:paraId="7AB93000">
      <w:pPr>
        <w:keepNext w:val="0"/>
        <w:keepLines w:val="0"/>
        <w:pageBreakBefore w:val="0"/>
        <w:widowControl/>
        <w:numPr>
          <w:ilvl w:val="0"/>
          <w:numId w:val="0"/>
        </w:numPr>
        <w:wordWrap/>
        <w:overflowPunct/>
        <w:topLinePunct w:val="0"/>
        <w:autoSpaceDE/>
        <w:autoSpaceDN/>
        <w:bidi w:val="0"/>
        <w:adjustRightInd/>
        <w:snapToGrid/>
        <w:spacing w:line="450" w:lineRule="exact"/>
        <w:ind w:leftChars="200" w:right="0" w:rightChars="0" w:firstLine="240" w:firstLineChars="100"/>
        <w:jc w:val="both"/>
        <w:textAlignment w:val="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响应文件正本与副本不一致的，以正本为准；</w:t>
      </w:r>
    </w:p>
    <w:p w14:paraId="41CA3FD3">
      <w:pPr>
        <w:keepNext w:val="0"/>
        <w:keepLines w:val="0"/>
        <w:pageBreakBefore w:val="0"/>
        <w:widowControl/>
        <w:numPr>
          <w:ilvl w:val="0"/>
          <w:numId w:val="0"/>
        </w:numPr>
        <w:wordWrap/>
        <w:overflowPunct/>
        <w:topLinePunct w:val="0"/>
        <w:autoSpaceDE/>
        <w:autoSpaceDN/>
        <w:bidi w:val="0"/>
        <w:adjustRightInd/>
        <w:snapToGrid/>
        <w:spacing w:line="450" w:lineRule="exact"/>
        <w:ind w:leftChars="200" w:right="0" w:rightChars="0" w:firstLine="240" w:firstLineChars="100"/>
        <w:jc w:val="both"/>
        <w:textAlignment w:val="auto"/>
        <w:outlineLvl w:val="1"/>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F</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多处内容交叉不符时，以磋商小组评审结果为准；</w:t>
      </w:r>
    </w:p>
    <w:p w14:paraId="0F8C7386">
      <w:pPr>
        <w:keepNext w:val="0"/>
        <w:keepLines w:val="0"/>
        <w:pageBreakBefore w:val="0"/>
        <w:widowControl/>
        <w:numPr>
          <w:ilvl w:val="0"/>
          <w:numId w:val="0"/>
        </w:numPr>
        <w:wordWrap/>
        <w:overflowPunct/>
        <w:topLinePunct w:val="0"/>
        <w:autoSpaceDE/>
        <w:autoSpaceDN/>
        <w:bidi w:val="0"/>
        <w:adjustRightInd/>
        <w:snapToGrid/>
        <w:spacing w:line="450" w:lineRule="exact"/>
        <w:ind w:leftChars="200" w:right="0" w:rightChars="0" w:firstLine="240" w:firstLineChars="100"/>
        <w:jc w:val="both"/>
        <w:textAlignment w:val="auto"/>
        <w:outlineLvl w:val="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G</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文字与图表不符的，以文字为准。</w:t>
      </w:r>
    </w:p>
    <w:p w14:paraId="1DDDBF75">
      <w:pPr>
        <w:keepNext w:val="0"/>
        <w:keepLines w:val="0"/>
        <w:pageBreakBefore w:val="0"/>
        <w:wordWrap/>
        <w:overflowPunct/>
        <w:topLinePunct w:val="0"/>
        <w:autoSpaceDE/>
        <w:autoSpaceDN/>
        <w:bidi w:val="0"/>
        <w:adjustRightInd/>
        <w:snapToGrid/>
        <w:spacing w:line="45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8206DF">
      <w:pPr>
        <w:keepNext w:val="0"/>
        <w:keepLines w:val="0"/>
        <w:pageBreakBefore w:val="0"/>
        <w:wordWrap/>
        <w:overflowPunct/>
        <w:topLinePunct w:val="0"/>
        <w:autoSpaceDE/>
        <w:autoSpaceDN/>
        <w:bidi w:val="0"/>
        <w:adjustRightInd/>
        <w:snapToGrid/>
        <w:spacing w:line="45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（5）磋商开始后，直到向成交供应商授予合同为止，凡审查、澄清、评价和比较磋商的有关资料，磋商小组成员均不得向供应商及与磋商无关的其他人透露。</w:t>
      </w:r>
    </w:p>
    <w:p w14:paraId="57D38FF0">
      <w:pPr>
        <w:keepNext w:val="0"/>
        <w:keepLines w:val="0"/>
        <w:pageBreakBefore w:val="0"/>
        <w:kinsoku w:val="0"/>
        <w:wordWrap/>
        <w:overflowPunct/>
        <w:topLinePunct w:val="0"/>
        <w:autoSpaceDE/>
        <w:autoSpaceDN/>
        <w:bidi w:val="0"/>
        <w:adjustRightInd/>
        <w:snapToGrid/>
        <w:spacing w:line="450" w:lineRule="exact"/>
        <w:ind w:firstLine="482" w:firstLineChars="200"/>
        <w:textAlignment w:val="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4.</w:t>
      </w:r>
      <w:r>
        <w:rPr>
          <w:rFonts w:hint="eastAsia" w:ascii="宋体" w:hAnsi="宋体" w:cs="宋体"/>
          <w:b/>
          <w:color w:val="000000" w:themeColor="text1"/>
          <w:sz w:val="24"/>
          <w14:textFill>
            <w14:solidFill>
              <w14:schemeClr w14:val="tx1"/>
            </w14:solidFill>
          </w14:textFill>
        </w:rPr>
        <w:t>有下列情形之一的，视为供应商串通投标，磋商小组应当认定其响应文件无效：</w:t>
      </w:r>
    </w:p>
    <w:p w14:paraId="3185A41B">
      <w:pPr>
        <w:keepNext w:val="0"/>
        <w:keepLines w:val="0"/>
        <w:pageBreakBefore w:val="0"/>
        <w:wordWrap/>
        <w:overflowPunct/>
        <w:topLinePunct w:val="0"/>
        <w:autoSpaceDE/>
        <w:autoSpaceDN/>
        <w:bidi w:val="0"/>
        <w:adjustRightInd/>
        <w:snapToGrid/>
        <w:spacing w:line="450" w:lineRule="exact"/>
        <w:ind w:firstLine="600" w:firstLineChars="250"/>
        <w:textAlignment w:val="auto"/>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A</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不同供应商的响应文件由同一单位或者个人编制；</w:t>
      </w:r>
    </w:p>
    <w:p w14:paraId="0EFA1193">
      <w:pPr>
        <w:keepNext w:val="0"/>
        <w:keepLines w:val="0"/>
        <w:pageBreakBefore w:val="0"/>
        <w:widowControl/>
        <w:wordWrap/>
        <w:overflowPunct/>
        <w:topLinePunct w:val="0"/>
        <w:autoSpaceDE/>
        <w:autoSpaceDN/>
        <w:bidi w:val="0"/>
        <w:adjustRightInd/>
        <w:snapToGrid/>
        <w:spacing w:line="450" w:lineRule="exact"/>
        <w:ind w:firstLine="600" w:firstLineChars="2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B</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 xml:space="preserve">不同供应商委托同一单位或者个人办理磋商事宜； </w:t>
      </w:r>
    </w:p>
    <w:p w14:paraId="3E0C82B4">
      <w:pPr>
        <w:keepNext w:val="0"/>
        <w:keepLines w:val="0"/>
        <w:pageBreakBefore w:val="0"/>
        <w:widowControl/>
        <w:wordWrap/>
        <w:overflowPunct/>
        <w:topLinePunct w:val="0"/>
        <w:autoSpaceDE/>
        <w:autoSpaceDN/>
        <w:bidi w:val="0"/>
        <w:adjustRightInd/>
        <w:snapToGrid/>
        <w:spacing w:line="450" w:lineRule="exact"/>
        <w:ind w:firstLine="600" w:firstLineChars="2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C</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不同供应商的响应文件载明的项目管理成员或者联系人员为同一人；</w:t>
      </w:r>
    </w:p>
    <w:p w14:paraId="741621A1">
      <w:pPr>
        <w:keepNext w:val="0"/>
        <w:keepLines w:val="0"/>
        <w:pageBreakBefore w:val="0"/>
        <w:widowControl/>
        <w:wordWrap/>
        <w:overflowPunct/>
        <w:topLinePunct w:val="0"/>
        <w:autoSpaceDE/>
        <w:autoSpaceDN/>
        <w:bidi w:val="0"/>
        <w:adjustRightInd/>
        <w:snapToGrid/>
        <w:spacing w:line="450" w:lineRule="exact"/>
        <w:ind w:firstLine="600" w:firstLineChars="2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D</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不同供应商的响应文件异常一致或者磋商报价呈规律性差异；</w:t>
      </w:r>
    </w:p>
    <w:p w14:paraId="0A84B996">
      <w:pPr>
        <w:keepNext w:val="0"/>
        <w:keepLines w:val="0"/>
        <w:pageBreakBefore w:val="0"/>
        <w:widowControl/>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E</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不同供应商的响应文件相互混装</w:t>
      </w:r>
      <w:r>
        <w:rPr>
          <w:rFonts w:hint="eastAsia" w:ascii="宋体" w:hAnsi="宋体" w:cs="宋体"/>
          <w:color w:val="000000" w:themeColor="text1"/>
          <w:sz w:val="24"/>
          <w:lang w:eastAsia="zh-CN"/>
          <w14:textFill>
            <w14:solidFill>
              <w14:schemeClr w14:val="tx1"/>
            </w14:solidFill>
          </w14:textFill>
        </w:rPr>
        <w:t>。</w:t>
      </w:r>
    </w:p>
    <w:p w14:paraId="5E327D83">
      <w:pPr>
        <w:pStyle w:val="4"/>
        <w:keepNext w:val="0"/>
        <w:keepLines w:val="0"/>
        <w:pageBreakBefore w:val="0"/>
        <w:wordWrap/>
        <w:overflowPunct/>
        <w:topLinePunct w:val="0"/>
        <w:autoSpaceDE/>
        <w:autoSpaceDN/>
        <w:bidi w:val="0"/>
        <w:adjustRightInd/>
        <w:snapToGrid/>
        <w:spacing w:line="450" w:lineRule="exact"/>
        <w:ind w:firstLine="482"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澄清</w:t>
      </w:r>
    </w:p>
    <w:p w14:paraId="5016B789">
      <w:pPr>
        <w:keepNext w:val="0"/>
        <w:keepLines w:val="0"/>
        <w:pageBreakBefore w:val="0"/>
        <w:widowControl/>
        <w:wordWrap/>
        <w:overflowPunct/>
        <w:topLinePunct w:val="0"/>
        <w:autoSpaceDE/>
        <w:autoSpaceDN/>
        <w:bidi w:val="0"/>
        <w:adjustRightInd/>
        <w:snapToGrid/>
        <w:spacing w:line="450" w:lineRule="exact"/>
        <w:ind w:firstLine="360" w:firstLineChars="1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5A805">
      <w:pPr>
        <w:keepNext w:val="0"/>
        <w:keepLines w:val="0"/>
        <w:pageBreakBefore w:val="0"/>
        <w:widowControl/>
        <w:wordWrap/>
        <w:overflowPunct/>
        <w:topLinePunct w:val="0"/>
        <w:autoSpaceDE/>
        <w:autoSpaceDN/>
        <w:bidi w:val="0"/>
        <w:adjustRightInd/>
        <w:snapToGrid/>
        <w:spacing w:line="450" w:lineRule="exact"/>
        <w:ind w:firstLine="360" w:firstLineChars="1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（2）实质性内容包括但不限于：服务期、付款方式、安全指标、质量指标、主要技术指标等。</w:t>
      </w:r>
    </w:p>
    <w:p w14:paraId="05E61F25">
      <w:pPr>
        <w:keepNext w:val="0"/>
        <w:keepLines w:val="0"/>
        <w:pageBreakBefore w:val="0"/>
        <w:widowControl/>
        <w:wordWrap/>
        <w:overflowPunct/>
        <w:topLinePunct w:val="0"/>
        <w:autoSpaceDE/>
        <w:autoSpaceDN/>
        <w:bidi w:val="0"/>
        <w:adjustRightInd/>
        <w:snapToGrid/>
        <w:spacing w:line="450" w:lineRule="exact"/>
        <w:ind w:firstLine="360" w:firstLineChars="1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（3）磋商小组要求供应商澄清、说明或者更正响应文件应当以书面形式作出，并由其法定代表人或被授权人签字。</w:t>
      </w:r>
    </w:p>
    <w:p w14:paraId="256F9E09">
      <w:pPr>
        <w:keepNext w:val="0"/>
        <w:keepLines w:val="0"/>
        <w:pageBreakBefore w:val="0"/>
        <w:wordWrap/>
        <w:overflowPunct/>
        <w:topLinePunct w:val="0"/>
        <w:autoSpaceDE/>
        <w:autoSpaceDN/>
        <w:bidi w:val="0"/>
        <w:adjustRightInd/>
        <w:snapToGrid/>
        <w:spacing w:line="450" w:lineRule="exact"/>
        <w:ind w:firstLine="360" w:firstLineChars="15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（4）在磋商过程中，磋商小组可以根据磋商文件和磋商情况实质性变动采购需求中的技术、服务要求以及合同草案条款，但不得变动磋商文件中的其他内容。实质性变动的内容，须经采购人代表确认。</w:t>
      </w:r>
    </w:p>
    <w:p w14:paraId="7FD8B6D2">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36" w:name="_Toc536202313"/>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644D8E86">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w:t>
      </w:r>
    </w:p>
    <w:p w14:paraId="49056CA6">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kern w:val="2"/>
          <w:sz w:val="24"/>
          <w:szCs w:val="24"/>
          <w:lang w:val="en-US" w:eastAsia="zh-CN" w:bidi="ar"/>
        </w:rPr>
        <w:t>采用综合评分法：在满足磋商文件所有实质性要求前提下，提交最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报价。如采购需求没有实质性变化，各供应商的报价应不高于一次报价，</w:t>
      </w:r>
      <w:r>
        <w:rPr>
          <w:rFonts w:hint="eastAsia" w:ascii="宋体" w:hAnsi="宋体" w:cs="宋体"/>
          <w:kern w:val="2"/>
          <w:sz w:val="24"/>
          <w:szCs w:val="24"/>
          <w:lang w:val="en-US" w:eastAsia="zh-CN" w:bidi="ar"/>
        </w:rPr>
        <w:t>最后</w:t>
      </w:r>
      <w:r>
        <w:rPr>
          <w:rFonts w:hint="eastAsia" w:ascii="宋体" w:hAnsi="宋体" w:eastAsia="宋体" w:cs="宋体"/>
          <w:kern w:val="2"/>
          <w:sz w:val="24"/>
          <w:szCs w:val="24"/>
          <w:lang w:val="en-US" w:eastAsia="zh-CN" w:bidi="ar"/>
        </w:rPr>
        <w:t>报价高于一次报价的，为无效报价，按无效文件处理。最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3EE31DA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color w:val="auto"/>
          <w:sz w:val="24"/>
        </w:rPr>
        <w:t xml:space="preserve"> </w:t>
      </w: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1E189579">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1B50A110">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628437C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529B8D6">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6F3D0E81">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6915F294">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28C784A">
      <w:pPr>
        <w:pageBreakBefore w:val="0"/>
        <w:kinsoku/>
        <w:wordWrap/>
        <w:overflowPunct/>
        <w:topLinePunct w:val="0"/>
        <w:autoSpaceDE/>
        <w:autoSpaceDN/>
        <w:bidi w:val="0"/>
        <w:adjustRightInd/>
        <w:snapToGrid/>
        <w:spacing w:line="440" w:lineRule="exact"/>
        <w:ind w:firstLine="360" w:firstLineChars="150"/>
        <w:textAlignment w:val="auto"/>
        <w:rPr>
          <w:rFonts w:ascii="宋体" w:hAnsi="宋体" w:cs="宋体"/>
          <w:color w:val="000000" w:themeColor="text1"/>
          <w:sz w:val="24"/>
          <w:lang w:val="zh-CN"/>
          <w14:textFill>
            <w14:solidFill>
              <w14:schemeClr w14:val="tx1"/>
            </w14:solidFill>
          </w14:textFill>
        </w:rPr>
      </w:pPr>
      <w:r>
        <w:rPr>
          <w:rFonts w:hint="eastAsia" w:ascii="宋体" w:hAnsi="宋体" w:eastAsia="宋体" w:cs="宋体"/>
          <w:kern w:val="2"/>
          <w:sz w:val="24"/>
          <w:szCs w:val="21"/>
          <w:lang w:val="en-US" w:eastAsia="zh-CN" w:bidi="ar"/>
        </w:rPr>
        <w:t>（5）磋商小组须对畸高、畸低的重大差异评分进行复核或书面说明理由。</w:t>
      </w:r>
    </w:p>
    <w:p w14:paraId="63651A49">
      <w:pPr>
        <w:pStyle w:val="4"/>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定标</w:t>
      </w:r>
    </w:p>
    <w:p w14:paraId="004E3CC2">
      <w:pPr>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3B4B4A99">
      <w:pPr>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7.2代理机构收到采购单位“</w:t>
      </w:r>
      <w:r>
        <w:rPr>
          <w:rFonts w:hint="eastAsia" w:ascii="宋体" w:hAnsi="宋体" w:cs="宋体"/>
          <w:color w:val="000000" w:themeColor="text1"/>
          <w:sz w:val="24"/>
          <w:szCs w:val="28"/>
          <w:lang w:val="en-US" w:eastAsia="zh-CN"/>
          <w14:textFill>
            <w14:solidFill>
              <w14:schemeClr w14:val="tx1"/>
            </w14:solidFill>
          </w14:textFill>
        </w:rPr>
        <w:t>成交</w:t>
      </w:r>
      <w:r>
        <w:rPr>
          <w:rFonts w:hint="eastAsia" w:ascii="宋体" w:hAnsi="宋体" w:cs="宋体"/>
          <w:color w:val="000000" w:themeColor="text1"/>
          <w:sz w:val="24"/>
          <w:szCs w:val="28"/>
          <w14:textFill>
            <w14:solidFill>
              <w14:schemeClr w14:val="tx1"/>
            </w14:solidFill>
          </w14:textFill>
        </w:rPr>
        <w:t>复函”后2个工作日</w:t>
      </w:r>
      <w:r>
        <w:rPr>
          <w:rFonts w:hint="eastAsia" w:ascii="宋体" w:hAnsi="宋体" w:cs="宋体"/>
          <w:color w:val="000000" w:themeColor="text1"/>
          <w:sz w:val="24"/>
          <w:szCs w:val="28"/>
          <w:lang w:val="en-US" w:eastAsia="zh-CN"/>
          <w14:textFill>
            <w14:solidFill>
              <w14:schemeClr w14:val="tx1"/>
            </w14:solidFill>
          </w14:textFill>
        </w:rPr>
        <w:t>内</w:t>
      </w:r>
      <w:r>
        <w:rPr>
          <w:rFonts w:hint="eastAsia" w:ascii="宋体" w:hAnsi="宋体" w:cs="宋体"/>
          <w:color w:val="000000" w:themeColor="text1"/>
          <w:sz w:val="24"/>
          <w:szCs w:val="28"/>
          <w14:textFill>
            <w14:solidFill>
              <w14:schemeClr w14:val="tx1"/>
            </w14:solidFill>
          </w14:textFill>
        </w:rPr>
        <w:t>，在财政部门指定的政府采购信息媒体上发布公告，并向成交供应商发出“成交通知书”。</w:t>
      </w:r>
    </w:p>
    <w:p w14:paraId="33CCEB15">
      <w:pPr>
        <w:pageBreakBefore w:val="0"/>
        <w:widowControl/>
        <w:numPr>
          <w:ilvl w:val="0"/>
          <w:numId w:val="2"/>
        </w:numPr>
        <w:kinsoku/>
        <w:wordWrap/>
        <w:overflowPunct/>
        <w:topLinePunct w:val="0"/>
        <w:autoSpaceDE/>
        <w:autoSpaceDN/>
        <w:bidi w:val="0"/>
        <w:adjustRightInd/>
        <w:snapToGrid/>
        <w:spacing w:line="440" w:lineRule="exact"/>
        <w:ind w:firstLine="562" w:firstLineChars="200"/>
        <w:jc w:val="center"/>
        <w:textAlignment w:val="auto"/>
        <w:outlineLvl w:val="1"/>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签订合同</w:t>
      </w:r>
    </w:p>
    <w:p w14:paraId="2E9DADA4">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成交后，成交供应商在收到成交通知书后</w:t>
      </w:r>
      <w:r>
        <w:rPr>
          <w:rFonts w:hint="eastAsia" w:ascii="宋体" w:hAnsi="宋体" w:cs="宋体"/>
          <w:color w:val="000000" w:themeColor="text1"/>
          <w:sz w:val="24"/>
          <w:lang w:val="en-US" w:eastAsia="zh-CN"/>
          <w14:textFill>
            <w14:solidFill>
              <w14:schemeClr w14:val="tx1"/>
            </w14:solidFill>
          </w14:textFill>
        </w:rPr>
        <w:t>二十五</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）个日历日内，应按磋商文件的要求与采购人洽谈合同条款，并签订供货合同，同时送监督机构备案，磋商文件及成交供应商的响应文件均作为合同的组成部分；</w:t>
      </w:r>
    </w:p>
    <w:p w14:paraId="420BECDD">
      <w:pPr>
        <w:pageBreakBefore w:val="0"/>
        <w:kinsoku/>
        <w:wordWrap/>
        <w:overflowPunct/>
        <w:topLinePunct w:val="0"/>
        <w:autoSpaceDE/>
        <w:autoSpaceDN/>
        <w:bidi w:val="0"/>
        <w:adjustRightInd/>
        <w:snapToGrid/>
        <w:spacing w:line="44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采购人不得向成交供应商提出超出磋商文件以外的任何要求作为签订合同的条件，不得与成交供应商订立背离磋商文件确定的合同文本以及采购服务要求实质性内容的协议。</w:t>
      </w:r>
    </w:p>
    <w:p w14:paraId="569AA032">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FABC443">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政府采购合同在执行过程中，确需修改、变更时，应当按照相应的审核批准程序办理。</w:t>
      </w:r>
    </w:p>
    <w:p w14:paraId="5C56EDAF">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磋商文件、响应文件、澄清等为政府采购合同的组成部分，具有同等法律效力。</w:t>
      </w:r>
    </w:p>
    <w:p w14:paraId="62AAAF6B">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政府采购管理部门在合同履行期间以及履行期后，可以随时检查项目的执行情况，对采购标准、采购内容进行调查核实，并对发现的问题进行处理。</w:t>
      </w:r>
    </w:p>
    <w:p w14:paraId="21214739">
      <w:pPr>
        <w:pageBreakBefore w:val="0"/>
        <w:widowControl/>
        <w:numPr>
          <w:ilvl w:val="0"/>
          <w:numId w:val="2"/>
        </w:numPr>
        <w:kinsoku/>
        <w:wordWrap/>
        <w:overflowPunct/>
        <w:topLinePunct w:val="0"/>
        <w:autoSpaceDE/>
        <w:autoSpaceDN/>
        <w:bidi w:val="0"/>
        <w:adjustRightInd/>
        <w:snapToGrid/>
        <w:spacing w:line="460" w:lineRule="exact"/>
        <w:ind w:firstLine="562" w:firstLineChars="200"/>
        <w:jc w:val="center"/>
        <w:textAlignment w:val="auto"/>
        <w:outlineLvl w:val="1"/>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代理服务费</w:t>
      </w:r>
    </w:p>
    <w:p w14:paraId="62A18F2C">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kern w:val="2"/>
          <w:sz w:val="24"/>
          <w:szCs w:val="28"/>
          <w:lang w:val="en-US" w:eastAsia="zh-CN" w:bidi="ar-SA"/>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参照国家计委关于印发《招标代理服务收费管理暂行办法》的通知（计价格[2002]1980号）和《国家发展改革委办公厅关于招标代理服务收费有关问题的通知》（发改办价格[2003]857号）规定标准计取</w:t>
      </w:r>
      <w:r>
        <w:rPr>
          <w:rFonts w:hint="eastAsia" w:ascii="宋体" w:hAnsi="宋体" w:cs="宋体"/>
          <w:color w:val="000000" w:themeColor="text1"/>
          <w:sz w:val="24"/>
          <w:szCs w:val="28"/>
          <w:lang w:eastAsia="zh-CN"/>
          <w14:textFill>
            <w14:solidFill>
              <w14:schemeClr w14:val="tx1"/>
            </w14:solidFill>
          </w14:textFill>
        </w:rPr>
        <w:t>。</w:t>
      </w:r>
    </w:p>
    <w:p w14:paraId="2229AE82">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采购代理机构开户名称：安康尚昊招标代理有限公司  </w:t>
      </w:r>
    </w:p>
    <w:p w14:paraId="31471711">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开户行名称：中国建设银行股份有限公司安康分行营业部  </w:t>
      </w:r>
    </w:p>
    <w:p w14:paraId="4286E267">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账号</w:t>
      </w:r>
      <w:r>
        <w:rPr>
          <w:rFonts w:hint="eastAsia" w:ascii="宋体" w:hAnsi="宋体" w:cs="宋体"/>
          <w:color w:val="000000" w:themeColor="text1"/>
          <w:sz w:val="24"/>
          <w:szCs w:val="28"/>
          <w14:textFill>
            <w14:solidFill>
              <w14:schemeClr w14:val="tx1"/>
            </w14:solidFill>
          </w14:textFill>
        </w:rPr>
        <w:t>：61050166371100000492</w:t>
      </w:r>
    </w:p>
    <w:p w14:paraId="733DDC69">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2.本次项目代理服务费由成交供应商支付，</w:t>
      </w:r>
      <w:r>
        <w:rPr>
          <w:rFonts w:hint="eastAsia" w:ascii="宋体" w:hAnsi="宋体" w:cs="宋体"/>
          <w:color w:val="000000" w:themeColor="text1"/>
          <w:sz w:val="24"/>
          <w:szCs w:val="28"/>
          <w14:textFill>
            <w14:solidFill>
              <w14:schemeClr w14:val="tx1"/>
            </w14:solidFill>
          </w14:textFill>
        </w:rPr>
        <w:t>代理服务费以转账、电汇或现金等形式交纳。</w:t>
      </w:r>
    </w:p>
    <w:p w14:paraId="1A5B91D3">
      <w:pPr>
        <w:keepNext w:val="0"/>
        <w:keepLines w:val="0"/>
        <w:pageBreakBefore w:val="0"/>
        <w:widowControl/>
        <w:numPr>
          <w:ilvl w:val="0"/>
          <w:numId w:val="2"/>
        </w:numPr>
        <w:kinsoku/>
        <w:wordWrap/>
        <w:overflowPunct/>
        <w:topLinePunct w:val="0"/>
        <w:autoSpaceDE/>
        <w:autoSpaceDN/>
        <w:bidi w:val="0"/>
        <w:adjustRightInd/>
        <w:snapToGrid/>
        <w:spacing w:line="460" w:lineRule="exact"/>
        <w:ind w:firstLine="0"/>
        <w:jc w:val="center"/>
        <w:textAlignment w:val="auto"/>
        <w:outlineLvl w:val="1"/>
        <w:rPr>
          <w:rFonts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质疑和投诉</w:t>
      </w:r>
    </w:p>
    <w:p w14:paraId="3F70AA63">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质疑或投诉的接收和处理应当按照《中华人民共和国政府采购法》及其实施条例、《政府采购质疑和投诉办法</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财政部关于加强政府采购供应商投诉受理审查工作的通知》等的相关规定办理。</w:t>
      </w:r>
    </w:p>
    <w:p w14:paraId="17178DE1">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A3DA835">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（1）对采购文件提出质疑的，为收到采购文件之日或者采购文件公告期限届满之日；</w:t>
      </w:r>
    </w:p>
    <w:p w14:paraId="4EE42730">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（2）对采购过程提出质疑的，为各采购程序环节结束之日；</w:t>
      </w:r>
    </w:p>
    <w:p w14:paraId="443470DC">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（3）对中标或者成交结果提出质疑的，为中标或者成交结果公告期限届满之日。</w:t>
      </w:r>
    </w:p>
    <w:p w14:paraId="64556F91">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供应商应当在法定质疑期内一次性提出针对同一采购程序环节的质疑。</w:t>
      </w:r>
    </w:p>
    <w:p w14:paraId="2CC2CB16">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3.</w:t>
      </w:r>
      <w:r>
        <w:rPr>
          <w:rFonts w:hint="eastAsia" w:ascii="宋体" w:hAnsi="宋体" w:cs="宋体"/>
          <w:color w:val="000000" w:themeColor="text1"/>
          <w:sz w:val="24"/>
          <w:szCs w:val="28"/>
          <w14:textFill>
            <w14:solidFill>
              <w14:schemeClr w14:val="tx1"/>
            </w14:solidFill>
          </w14:textFill>
        </w:rPr>
        <w:t>质疑函应当包括下列主要内容：</w:t>
      </w:r>
    </w:p>
    <w:p w14:paraId="48B1FC71">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（1）供应商的姓名或者名称、地址、邮编、联系人及联系电话；</w:t>
      </w:r>
    </w:p>
    <w:p w14:paraId="4F420309">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（2）质疑项目的名称、编号；</w:t>
      </w:r>
    </w:p>
    <w:p w14:paraId="21652DE7">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（3）具体、明确的质疑事项和与质疑事项相关的请求；</w:t>
      </w:r>
    </w:p>
    <w:p w14:paraId="753CF0BC">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（4）事实依据；</w:t>
      </w:r>
    </w:p>
    <w:p w14:paraId="670FEAF9">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（5）必要的法律依据；</w:t>
      </w:r>
    </w:p>
    <w:p w14:paraId="40128EB5">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（6）提出质疑的日期。</w:t>
      </w:r>
    </w:p>
    <w:p w14:paraId="661F7D74">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4.</w:t>
      </w:r>
      <w:r>
        <w:rPr>
          <w:rFonts w:hint="eastAsia" w:ascii="宋体" w:hAnsi="宋体" w:cs="宋体"/>
          <w:color w:val="000000" w:themeColor="text1"/>
          <w:sz w:val="24"/>
          <w:szCs w:val="28"/>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33FE294F">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cs="宋体"/>
          <w:color w:val="000000" w:themeColor="text1"/>
          <w:sz w:val="24"/>
          <w:szCs w:val="28"/>
          <w:lang w:eastAsia="zh-CN"/>
          <w14:textFill>
            <w14:solidFill>
              <w14:schemeClr w14:val="tx1"/>
            </w14:solidFill>
          </w14:textFill>
        </w:rPr>
        <w:t>5.</w:t>
      </w:r>
      <w:r>
        <w:rPr>
          <w:rFonts w:hint="eastAsia" w:ascii="宋体" w:hAnsi="宋体" w:cs="宋体"/>
          <w:color w:val="000000" w:themeColor="text1"/>
          <w:sz w:val="24"/>
          <w:szCs w:val="28"/>
          <w14:textFill>
            <w14:solidFill>
              <w14:schemeClr w14:val="tx1"/>
            </w14:solidFill>
          </w14:textFill>
        </w:rPr>
        <w:t>质疑函内容不得含有虚假、恶意</w:t>
      </w:r>
      <w:r>
        <w:rPr>
          <w:rFonts w:hint="eastAsia" w:ascii="宋体" w:hAnsi="宋体" w:cs="宋体"/>
          <w:color w:val="000000" w:themeColor="text1"/>
          <w:sz w:val="24"/>
          <w:szCs w:val="28"/>
          <w:lang w:eastAsia="zh-CN"/>
          <w14:textFill>
            <w14:solidFill>
              <w14:schemeClr w14:val="tx1"/>
            </w14:solidFill>
          </w14:textFill>
        </w:rPr>
        <w:t>成分</w:t>
      </w:r>
      <w:r>
        <w:rPr>
          <w:rFonts w:hint="eastAsia" w:ascii="宋体" w:hAnsi="宋体" w:cs="宋体"/>
          <w:color w:val="000000" w:themeColor="text1"/>
          <w:sz w:val="24"/>
          <w:szCs w:val="28"/>
          <w14:textFill>
            <w14:solidFill>
              <w14:schemeClr w14:val="tx1"/>
            </w14:solidFill>
          </w14:textFill>
        </w:rPr>
        <w:t>。依照谁主张谁举证的原则，提出质疑者必须同</w:t>
      </w:r>
    </w:p>
    <w:bookmarkEnd w:id="36"/>
    <w:p w14:paraId="0E02203D">
      <w:pPr>
        <w:keepNext w:val="0"/>
        <w:keepLines w:val="0"/>
        <w:pageBreakBefore w:val="0"/>
        <w:kinsoku/>
        <w:wordWrap/>
        <w:overflowPunct/>
        <w:topLinePunct w:val="0"/>
        <w:autoSpaceDE/>
        <w:autoSpaceDN/>
        <w:bidi w:val="0"/>
        <w:adjustRightInd/>
        <w:snapToGrid/>
        <w:spacing w:line="460" w:lineRule="exact"/>
        <w:jc w:val="left"/>
        <w:textAlignment w:val="auto"/>
        <w:rPr>
          <w:rFonts w:ascii="宋体" w:hAnsi="宋体" w:cs="宋体"/>
          <w:color w:val="000000" w:themeColor="text1"/>
          <w:sz w:val="24"/>
          <w:szCs w:val="28"/>
          <w14:textFill>
            <w14:solidFill>
              <w14:schemeClr w14:val="tx1"/>
            </w14:solidFill>
          </w14:textFill>
        </w:rPr>
      </w:pPr>
      <w:bookmarkStart w:id="37" w:name="_Toc536202314"/>
      <w:bookmarkStart w:id="38" w:name="_Toc12947"/>
      <w:r>
        <w:rPr>
          <w:rFonts w:hint="eastAsia" w:ascii="宋体" w:hAnsi="宋体" w:cs="宋体"/>
          <w:color w:val="000000" w:themeColor="text1"/>
          <w:sz w:val="24"/>
          <w:szCs w:val="28"/>
          <w14:textFill>
            <w14:solidFill>
              <w14:schemeClr w14:val="tx1"/>
            </w14:solidFill>
          </w14:textFill>
        </w:rPr>
        <w:t>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4CE52A0F">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6.</w:t>
      </w:r>
      <w:r>
        <w:rPr>
          <w:rFonts w:hint="eastAsia" w:ascii="宋体" w:hAnsi="宋体" w:cs="宋体"/>
          <w:color w:val="000000" w:themeColor="text1"/>
          <w:sz w:val="24"/>
          <w:szCs w:val="28"/>
          <w14:textFill>
            <w14:solidFill>
              <w14:schemeClr w14:val="tx1"/>
            </w14:solidFill>
          </w14:textFill>
        </w:rPr>
        <w:t>质疑函接收方式：</w:t>
      </w:r>
      <w:r>
        <w:rPr>
          <w:rFonts w:ascii="宋体" w:hAnsi="宋体" w:eastAsia="宋体" w:cs="宋体"/>
          <w:color w:val="auto"/>
          <w:sz w:val="24"/>
          <w:szCs w:val="24"/>
        </w:rPr>
        <w:t>接受</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cs="宋体"/>
          <w:color w:val="000000" w:themeColor="text1"/>
          <w:sz w:val="24"/>
          <w:szCs w:val="28"/>
          <w14:textFill>
            <w14:solidFill>
              <w14:schemeClr w14:val="tx1"/>
            </w14:solidFill>
          </w14:textFill>
        </w:rPr>
        <w:t xml:space="preserve">。 </w:t>
      </w:r>
    </w:p>
    <w:p w14:paraId="78CA86EA">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7.</w:t>
      </w:r>
      <w:r>
        <w:rPr>
          <w:rFonts w:hint="eastAsia" w:ascii="宋体" w:hAnsi="宋体" w:cs="宋体"/>
          <w:color w:val="000000" w:themeColor="text1"/>
          <w:sz w:val="24"/>
          <w:szCs w:val="28"/>
          <w14:textFill>
            <w14:solidFill>
              <w14:schemeClr w14:val="tx1"/>
            </w14:solidFill>
          </w14:textFill>
        </w:rPr>
        <w:t>质疑受理部门：安康尚昊招标代理有限公司</w:t>
      </w:r>
    </w:p>
    <w:p w14:paraId="31DD6582">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   质疑受理电话：13991519725</w:t>
      </w:r>
    </w:p>
    <w:p w14:paraId="396AF5FB">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8.</w:t>
      </w:r>
      <w:r>
        <w:rPr>
          <w:rFonts w:hint="eastAsia" w:ascii="宋体" w:hAnsi="宋体" w:cs="宋体"/>
          <w:color w:val="000000" w:themeColor="text1"/>
          <w:sz w:val="24"/>
          <w:szCs w:val="28"/>
          <w14:textFill>
            <w14:solidFill>
              <w14:schemeClr w14:val="tx1"/>
            </w14:solidFill>
          </w14:textFill>
        </w:rPr>
        <w:t>提交质疑函地点：安康市高新区高新观澜8幢2单元801室</w:t>
      </w:r>
    </w:p>
    <w:p w14:paraId="704B5945">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cs="宋体"/>
          <w:color w:val="000000" w:themeColor="text1"/>
          <w:sz w:val="24"/>
          <w:szCs w:val="28"/>
          <w14:textFill>
            <w14:solidFill>
              <w14:schemeClr w14:val="tx1"/>
            </w14:solidFill>
          </w14:textFill>
        </w:rPr>
        <w:t>。</w:t>
      </w:r>
    </w:p>
    <w:p w14:paraId="539EABB3">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如所质疑的问题比较复杂，采购人或者采购代理机构在规定的答复时间内无法回复，应事先告知提出质疑的供应商，同时向同级政府采购监督管理部门报告。</w:t>
      </w:r>
    </w:p>
    <w:p w14:paraId="2BB17F12">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w:t>
      </w:r>
      <w:r>
        <w:rPr>
          <w:rFonts w:hint="eastAsia" w:ascii="宋体" w:hAnsi="宋体" w:cs="宋体"/>
          <w:color w:val="000000" w:themeColor="text1"/>
          <w:sz w:val="24"/>
          <w:szCs w:val="28"/>
          <w:lang w:eastAsia="zh-CN"/>
          <w14:textFill>
            <w14:solidFill>
              <w14:schemeClr w14:val="tx1"/>
            </w14:solidFill>
          </w14:textFill>
        </w:rPr>
        <w:t>0.</w:t>
      </w:r>
      <w:r>
        <w:rPr>
          <w:rFonts w:hint="eastAsia" w:ascii="宋体" w:hAnsi="宋体" w:cs="宋体"/>
          <w:color w:val="000000" w:themeColor="text1"/>
          <w:sz w:val="24"/>
          <w:szCs w:val="28"/>
          <w14:textFill>
            <w14:solidFill>
              <w14:schemeClr w14:val="tx1"/>
            </w14:solidFill>
          </w14:textFill>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14B127A3">
      <w:pPr>
        <w:spacing w:line="360" w:lineRule="auto"/>
        <w:ind w:firstLine="480" w:firstLineChars="200"/>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w:t>
      </w:r>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质疑函应当使用中文。</w:t>
      </w:r>
    </w:p>
    <w:p w14:paraId="4AFF90C2">
      <w:pPr>
        <w:widowControl/>
        <w:numPr>
          <w:ilvl w:val="0"/>
          <w:numId w:val="2"/>
        </w:numPr>
        <w:spacing w:line="360" w:lineRule="auto"/>
        <w:ind w:firstLine="0"/>
        <w:jc w:val="center"/>
        <w:outlineLvl w:val="1"/>
        <w:rPr>
          <w:rFonts w:ascii="宋体" w:hAnsi="宋体" w:cs="宋体"/>
          <w:b/>
          <w:bCs/>
          <w:color w:val="000000" w:themeColor="text1"/>
          <w:kern w:val="0"/>
          <w:sz w:val="24"/>
          <w:szCs w:val="28"/>
          <w14:textFill>
            <w14:solidFill>
              <w14:schemeClr w14:val="tx1"/>
            </w14:solidFill>
          </w14:textFill>
        </w:rPr>
      </w:pPr>
      <w:r>
        <w:rPr>
          <w:rFonts w:hint="eastAsia" w:ascii="宋体" w:hAnsi="宋体" w:cs="宋体"/>
          <w:b/>
          <w:bCs/>
          <w:color w:val="000000" w:themeColor="text1"/>
          <w:kern w:val="0"/>
          <w:sz w:val="24"/>
          <w:szCs w:val="28"/>
          <w14:textFill>
            <w14:solidFill>
              <w14:schemeClr w14:val="tx1"/>
            </w14:solidFill>
          </w14:textFill>
        </w:rPr>
        <w:t>其他</w:t>
      </w:r>
    </w:p>
    <w:p w14:paraId="7CE465C4">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1.</w:t>
      </w:r>
      <w:r>
        <w:rPr>
          <w:rFonts w:hint="eastAsia" w:ascii="宋体" w:hAnsi="宋体" w:cs="宋体"/>
          <w:color w:val="000000" w:themeColor="text1"/>
          <w:sz w:val="24"/>
          <w:szCs w:val="28"/>
          <w14:textFill>
            <w14:solidFill>
              <w14:schemeClr w14:val="tx1"/>
            </w14:solidFill>
          </w14:textFill>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4DE8E5B">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（1）因情况变化，不再符合规定的竞争性磋商采购方式适用情形的；</w:t>
      </w:r>
    </w:p>
    <w:p w14:paraId="389E60B7">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（2）出现影响采购公正的违法、违规行为的；</w:t>
      </w:r>
    </w:p>
    <w:p w14:paraId="1D481661">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DC9B865">
      <w:pPr>
        <w:spacing w:line="360" w:lineRule="auto"/>
        <w:ind w:firstLine="480" w:firstLineChars="200"/>
        <w:jc w:val="left"/>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（4）因重大变故，采购任务取消的。</w:t>
      </w:r>
    </w:p>
    <w:p w14:paraId="63C0D63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000000" w:themeColor="text1"/>
          <w:sz w:val="24"/>
          <w:szCs w:val="28"/>
          <w:lang w:eastAsia="zh-CN"/>
          <w14:textFill>
            <w14:solidFill>
              <w14:schemeClr w14:val="tx1"/>
            </w14:solidFill>
          </w14:textFill>
        </w:rPr>
        <w:t>2.</w:t>
      </w:r>
      <w:r>
        <w:rPr>
          <w:rFonts w:hint="eastAsia" w:ascii="宋体" w:hAnsi="宋体" w:cs="宋体"/>
          <w:color w:val="000000" w:themeColor="text1"/>
          <w:sz w:val="24"/>
          <w:szCs w:val="28"/>
          <w14:textFill>
            <w14:solidFill>
              <w14:schemeClr w14:val="tx1"/>
            </w14:solidFill>
          </w14:textFill>
        </w:rPr>
        <w:t>磋商失败后，除采购任务取消外，将重新组织采购。</w:t>
      </w:r>
      <w:bookmarkEnd w:id="37"/>
      <w:bookmarkEnd w:id="38"/>
    </w:p>
    <w:p w14:paraId="0750B6C0">
      <w:pPr>
        <w:pageBreakBefore w:val="0"/>
        <w:widowControl/>
        <w:wordWrap/>
        <w:overflowPunct/>
        <w:topLinePunct w:val="0"/>
        <w:autoSpaceDE/>
        <w:autoSpaceDN/>
        <w:bidi w:val="0"/>
        <w:adjustRightInd/>
        <w:snapToGrid/>
        <w:spacing w:line="500" w:lineRule="exact"/>
        <w:ind w:left="0" w:leftChars="0" w:right="0" w:rightChars="0"/>
        <w:jc w:val="center"/>
        <w:textAlignment w:val="auto"/>
        <w:rPr>
          <w:rFonts w:hint="eastAsia"/>
          <w:color w:val="auto"/>
          <w:sz w:val="36"/>
          <w:lang w:val="en-US" w:eastAsia="zh-CN"/>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rtlGutter w:val="0"/>
          <w:docGrid w:type="lines" w:linePitch="333" w:charSpace="0"/>
        </w:sectPr>
      </w:pPr>
      <w:bookmarkStart w:id="39" w:name="_Toc19543345"/>
    </w:p>
    <w:p w14:paraId="13528101">
      <w:pPr>
        <w:keepNext w:val="0"/>
        <w:keepLines w:val="0"/>
        <w:pageBreakBefore w:val="0"/>
        <w:widowControl/>
        <w:kinsoku/>
        <w:wordWrap/>
        <w:overflowPunct/>
        <w:topLinePunct w:val="0"/>
        <w:autoSpaceDE/>
        <w:autoSpaceDN/>
        <w:bidi w:val="0"/>
        <w:adjustRightInd/>
        <w:snapToGrid/>
        <w:spacing w:line="360" w:lineRule="auto"/>
        <w:ind w:left="0" w:leftChars="0" w:right="0" w:rightChars="0"/>
        <w:jc w:val="center"/>
        <w:textAlignment w:val="auto"/>
        <w:outlineLvl w:val="0"/>
        <w:rPr>
          <w:b/>
          <w:bCs/>
          <w:color w:val="auto"/>
          <w:sz w:val="36"/>
        </w:rPr>
      </w:pPr>
      <w:bookmarkStart w:id="40" w:name="_Toc8026"/>
      <w:r>
        <w:rPr>
          <w:rFonts w:hint="eastAsia"/>
          <w:b/>
          <w:bCs/>
          <w:color w:val="auto"/>
          <w:sz w:val="36"/>
          <w:lang w:val="en-US" w:eastAsia="zh-CN"/>
        </w:rPr>
        <w:t xml:space="preserve">第四部分 </w:t>
      </w:r>
      <w:r>
        <w:rPr>
          <w:rFonts w:hint="eastAsia"/>
          <w:b/>
          <w:bCs/>
          <w:color w:val="auto"/>
          <w:sz w:val="36"/>
        </w:rPr>
        <w:t>评分</w:t>
      </w:r>
      <w:r>
        <w:rPr>
          <w:b/>
          <w:bCs/>
          <w:color w:val="auto"/>
          <w:sz w:val="36"/>
        </w:rPr>
        <w:t>标准</w:t>
      </w:r>
      <w:bookmarkEnd w:id="39"/>
      <w:bookmarkEnd w:id="40"/>
      <w:bookmarkStart w:id="41" w:name="_Toc262"/>
    </w:p>
    <w:tbl>
      <w:tblPr>
        <w:tblStyle w:val="35"/>
        <w:tblW w:w="55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357"/>
        <w:gridCol w:w="6540"/>
        <w:gridCol w:w="907"/>
        <w:gridCol w:w="945"/>
      </w:tblGrid>
      <w:tr w14:paraId="735B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298" w:type="pct"/>
            <w:noWrap w:val="0"/>
            <w:vAlign w:val="center"/>
          </w:tcPr>
          <w:p w14:paraId="0DF53E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654" w:type="pct"/>
            <w:noWrap w:val="0"/>
            <w:vAlign w:val="center"/>
          </w:tcPr>
          <w:p w14:paraId="155F38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评分因素</w:t>
            </w:r>
          </w:p>
          <w:p w14:paraId="3D2E9A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w:t>
            </w:r>
            <w:r>
              <w:rPr>
                <w:rFonts w:hint="eastAsia" w:ascii="宋体" w:hAnsi="宋体" w:eastAsia="宋体" w:cs="宋体"/>
                <w:b/>
                <w:bCs/>
                <w:color w:val="auto"/>
                <w:sz w:val="24"/>
              </w:rPr>
              <w:t>分值</w:t>
            </w:r>
          </w:p>
        </w:tc>
        <w:tc>
          <w:tcPr>
            <w:tcW w:w="3154" w:type="pct"/>
            <w:noWrap w:val="0"/>
            <w:vAlign w:val="center"/>
          </w:tcPr>
          <w:p w14:paraId="6B364C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评分标准</w:t>
            </w:r>
          </w:p>
        </w:tc>
        <w:tc>
          <w:tcPr>
            <w:tcW w:w="437" w:type="pct"/>
            <w:noWrap w:val="0"/>
            <w:vAlign w:val="center"/>
          </w:tcPr>
          <w:p w14:paraId="54E5B2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hanging="482" w:hangingChars="20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主观/</w:t>
            </w:r>
          </w:p>
          <w:p w14:paraId="6B2525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hanging="482" w:hangingChars="20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客观</w:t>
            </w:r>
          </w:p>
        </w:tc>
        <w:tc>
          <w:tcPr>
            <w:tcW w:w="455" w:type="pct"/>
            <w:noWrap w:val="0"/>
            <w:vAlign w:val="center"/>
          </w:tcPr>
          <w:p w14:paraId="181317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最高</w:t>
            </w:r>
          </w:p>
          <w:p w14:paraId="56BDF6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得分</w:t>
            </w:r>
          </w:p>
        </w:tc>
      </w:tr>
      <w:tr w14:paraId="674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98" w:type="pct"/>
            <w:noWrap w:val="0"/>
            <w:vAlign w:val="center"/>
          </w:tcPr>
          <w:p w14:paraId="0A5595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1</w:t>
            </w:r>
          </w:p>
        </w:tc>
        <w:tc>
          <w:tcPr>
            <w:tcW w:w="654" w:type="pct"/>
            <w:noWrap w:val="0"/>
            <w:vAlign w:val="center"/>
          </w:tcPr>
          <w:p w14:paraId="36034F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投标</w:t>
            </w:r>
          </w:p>
          <w:p w14:paraId="4C99CC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报价</w:t>
            </w:r>
          </w:p>
          <w:p w14:paraId="0C3858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rPr>
            </w:pPr>
            <w:r>
              <w:rPr>
                <w:rFonts w:hint="eastAsia" w:ascii="宋体" w:hAnsi="宋体" w:eastAsia="宋体" w:cs="宋体"/>
                <w:b/>
                <w:bCs/>
                <w:color w:val="auto"/>
                <w:sz w:val="24"/>
              </w:rPr>
              <w:t>（</w:t>
            </w:r>
            <w:r>
              <w:rPr>
                <w:rFonts w:hint="eastAsia" w:ascii="宋体" w:hAnsi="宋体" w:cs="宋体"/>
                <w:b/>
                <w:bCs/>
                <w:color w:val="auto"/>
                <w:sz w:val="24"/>
                <w:lang w:val="en-US" w:eastAsia="zh-CN"/>
              </w:rPr>
              <w:t>20</w:t>
            </w:r>
            <w:r>
              <w:rPr>
                <w:rFonts w:hint="eastAsia" w:ascii="宋体" w:hAnsi="宋体" w:eastAsia="宋体" w:cs="宋体"/>
                <w:b/>
                <w:bCs/>
                <w:color w:val="auto"/>
                <w:sz w:val="24"/>
              </w:rPr>
              <w:t>分）</w:t>
            </w:r>
          </w:p>
        </w:tc>
        <w:tc>
          <w:tcPr>
            <w:tcW w:w="3154" w:type="pct"/>
            <w:noWrap w:val="0"/>
            <w:vAlign w:val="center"/>
          </w:tcPr>
          <w:p w14:paraId="2112FA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文件要求且响应价格最低的响应报价为评标基准价，其价格分为满分。其他供应商的价格分统一按照下列公式计算：</w:t>
            </w:r>
          </w:p>
          <w:p w14:paraId="373343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价格分=(评标基准价／响应报价)×报价分值    </w:t>
            </w:r>
          </w:p>
          <w:p w14:paraId="2350A3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color w:val="auto"/>
                <w:sz w:val="24"/>
                <w:lang w:eastAsia="zh-CN"/>
              </w:rPr>
              <w:t>1.</w:t>
            </w:r>
            <w:r>
              <w:rPr>
                <w:rFonts w:hint="eastAsia" w:ascii="宋体" w:hAnsi="宋体" w:eastAsia="宋体" w:cs="宋体"/>
                <w:color w:val="auto"/>
                <w:sz w:val="24"/>
              </w:rPr>
              <w:t>计算分数时四舍五入取小数点后两位；</w:t>
            </w:r>
          </w:p>
          <w:p w14:paraId="514C3E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落实政府采购政策：参见供应商须知前附表。</w:t>
            </w:r>
          </w:p>
        </w:tc>
        <w:tc>
          <w:tcPr>
            <w:tcW w:w="437" w:type="pct"/>
            <w:noWrap w:val="0"/>
            <w:vAlign w:val="center"/>
          </w:tcPr>
          <w:p w14:paraId="575D53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客观</w:t>
            </w:r>
          </w:p>
        </w:tc>
        <w:tc>
          <w:tcPr>
            <w:tcW w:w="455" w:type="pct"/>
            <w:noWrap w:val="0"/>
            <w:vAlign w:val="center"/>
          </w:tcPr>
          <w:p w14:paraId="2DE2D3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20</w:t>
            </w:r>
            <w:r>
              <w:rPr>
                <w:rFonts w:hint="eastAsia" w:ascii="宋体" w:hAnsi="宋体" w:eastAsia="宋体" w:cs="宋体"/>
                <w:b/>
                <w:bCs/>
                <w:color w:val="auto"/>
                <w:sz w:val="24"/>
                <w:lang w:val="en-US" w:eastAsia="zh-CN"/>
              </w:rPr>
              <w:t>分</w:t>
            </w:r>
          </w:p>
        </w:tc>
      </w:tr>
      <w:tr w14:paraId="3627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298" w:type="pct"/>
            <w:noWrap w:val="0"/>
            <w:vAlign w:val="center"/>
          </w:tcPr>
          <w:p w14:paraId="2E37DE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2</w:t>
            </w:r>
          </w:p>
        </w:tc>
        <w:tc>
          <w:tcPr>
            <w:tcW w:w="654" w:type="pct"/>
            <w:noWrap w:val="0"/>
            <w:vAlign w:val="center"/>
          </w:tcPr>
          <w:p w14:paraId="56E096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default" w:ascii="宋体" w:hAnsi="宋体" w:eastAsia="宋体" w:cs="宋体"/>
                <w:b/>
                <w:bCs/>
                <w:kern w:val="0"/>
                <w:sz w:val="24"/>
                <w:szCs w:val="24"/>
                <w:lang w:val="en-US" w:eastAsia="zh-CN" w:bidi="ar"/>
              </w:rPr>
              <w:t>整体组织管理方案</w:t>
            </w:r>
          </w:p>
          <w:p w14:paraId="3CD514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kern w:val="0"/>
                <w:sz w:val="24"/>
                <w:szCs w:val="24"/>
                <w:lang w:val="en-US" w:eastAsia="zh-CN" w:bidi="ar"/>
              </w:rPr>
              <w:t>（10分）</w:t>
            </w:r>
          </w:p>
        </w:tc>
        <w:tc>
          <w:tcPr>
            <w:tcW w:w="3154" w:type="pct"/>
            <w:noWrap w:val="0"/>
            <w:vAlign w:val="center"/>
          </w:tcPr>
          <w:p w14:paraId="691E02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cs="宋体"/>
                <w:b/>
                <w:bCs/>
                <w:sz w:val="24"/>
                <w:szCs w:val="24"/>
              </w:rPr>
            </w:pPr>
            <w:r>
              <w:rPr>
                <w:rFonts w:hint="default" w:ascii="宋体" w:hAnsi="宋体" w:eastAsia="宋体" w:cs="宋体"/>
                <w:b/>
                <w:bCs/>
                <w:kern w:val="0"/>
                <w:sz w:val="24"/>
                <w:szCs w:val="24"/>
                <w:lang w:val="en-US" w:eastAsia="zh-CN" w:bidi="ar"/>
              </w:rPr>
              <w:t>项目整体组织管理方案</w:t>
            </w:r>
            <w:r>
              <w:rPr>
                <w:rFonts w:hint="eastAsia" w:ascii="宋体" w:hAnsi="宋体" w:eastAsia="宋体" w:cs="宋体"/>
                <w:b/>
                <w:bCs/>
                <w:kern w:val="0"/>
                <w:sz w:val="24"/>
                <w:szCs w:val="24"/>
                <w:lang w:val="en-US" w:eastAsia="zh-CN" w:bidi="ar"/>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10</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w:t>
            </w:r>
            <w:r>
              <w:rPr>
                <w:rFonts w:hint="default"/>
                <w:color w:val="000000"/>
                <w:sz w:val="24"/>
                <w:szCs w:val="24"/>
              </w:rPr>
              <w:t>组织架构层级清晰，分阶段进度计划完整细化，多方对接、人员分工、过程管控机制完善</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8-10</w:t>
            </w:r>
            <w:r>
              <w:rPr>
                <w:rFonts w:hint="eastAsia"/>
                <w:color w:val="000000"/>
                <w:sz w:val="24"/>
                <w:szCs w:val="24"/>
                <w:lang w:val="en-US" w:eastAsia="zh-CN"/>
              </w:rPr>
              <w:t>分</w:t>
            </w:r>
            <w:r>
              <w:rPr>
                <w:rFonts w:hint="default"/>
                <w:color w:val="000000"/>
                <w:sz w:val="24"/>
                <w:szCs w:val="24"/>
              </w:rPr>
              <w:t>；具备完整项目组织架构与进度安排，分工、对接机制基本齐全，细化管控措施略有欠缺</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4-7</w:t>
            </w:r>
            <w:r>
              <w:rPr>
                <w:rFonts w:hint="eastAsia"/>
                <w:color w:val="000000"/>
                <w:sz w:val="24"/>
                <w:szCs w:val="24"/>
                <w:lang w:val="en-US" w:eastAsia="zh-CN"/>
              </w:rPr>
              <w:t>分</w:t>
            </w:r>
            <w:r>
              <w:rPr>
                <w:rFonts w:hint="default"/>
                <w:color w:val="000000"/>
                <w:sz w:val="24"/>
                <w:szCs w:val="24"/>
              </w:rPr>
              <w:t>；组织架构与进度规划较为简略，缺少分阶段管控措施</w:t>
            </w:r>
            <w:r>
              <w:rPr>
                <w:rFonts w:hint="eastAsia"/>
                <w:color w:val="000000"/>
                <w:sz w:val="24"/>
                <w:szCs w:val="24"/>
                <w:lang w:val="en-US" w:eastAsia="zh-CN"/>
              </w:rPr>
              <w:t>得分</w:t>
            </w:r>
            <w:r>
              <w:rPr>
                <w:rFonts w:hint="eastAsia" w:ascii="宋体" w:hAnsi="宋体" w:eastAsia="宋体" w:cs="宋体"/>
                <w:color w:val="000000"/>
                <w:sz w:val="24"/>
                <w:szCs w:val="24"/>
                <w:lang w:val="en-US" w:eastAsia="zh-CN"/>
              </w:rPr>
              <w:t>1-3</w:t>
            </w:r>
            <w:r>
              <w:rPr>
                <w:rFonts w:hint="default"/>
                <w:color w:val="000000"/>
                <w:sz w:val="24"/>
                <w:szCs w:val="24"/>
              </w:rPr>
              <w:t>；</w:t>
            </w:r>
            <w:r>
              <w:rPr>
                <w:rFonts w:hint="eastAsia"/>
                <w:color w:val="000000"/>
                <w:sz w:val="24"/>
                <w:szCs w:val="24"/>
                <w:lang w:val="en-US" w:eastAsia="zh-CN"/>
              </w:rPr>
              <w:t>未提供不得分。</w:t>
            </w:r>
          </w:p>
        </w:tc>
        <w:tc>
          <w:tcPr>
            <w:tcW w:w="437" w:type="pct"/>
            <w:noWrap w:val="0"/>
            <w:vAlign w:val="center"/>
          </w:tcPr>
          <w:p w14:paraId="5629A8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val="0"/>
                <w:bCs w:val="0"/>
                <w:kern w:val="0"/>
                <w:sz w:val="24"/>
                <w:szCs w:val="24"/>
                <w:lang w:val="en-US" w:eastAsia="zh-CN" w:bidi="ar"/>
              </w:rPr>
              <w:t>主观</w:t>
            </w:r>
          </w:p>
        </w:tc>
        <w:tc>
          <w:tcPr>
            <w:tcW w:w="455" w:type="pct"/>
            <w:noWrap w:val="0"/>
            <w:vAlign w:val="center"/>
          </w:tcPr>
          <w:p w14:paraId="5BA084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10分</w:t>
            </w:r>
          </w:p>
        </w:tc>
      </w:tr>
      <w:tr w14:paraId="236A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8" w:type="pct"/>
            <w:vMerge w:val="restart"/>
            <w:noWrap w:val="0"/>
            <w:vAlign w:val="center"/>
          </w:tcPr>
          <w:p w14:paraId="08C4C9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3</w:t>
            </w:r>
          </w:p>
        </w:tc>
        <w:tc>
          <w:tcPr>
            <w:tcW w:w="654" w:type="pct"/>
            <w:vMerge w:val="restart"/>
            <w:noWrap w:val="0"/>
            <w:vAlign w:val="center"/>
          </w:tcPr>
          <w:p w14:paraId="3768BC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实施</w:t>
            </w:r>
          </w:p>
          <w:p w14:paraId="767A46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方案</w:t>
            </w:r>
          </w:p>
          <w:p w14:paraId="0A1B31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color w:val="auto"/>
                <w:sz w:val="24"/>
                <w:lang w:val="en-US" w:eastAsia="zh-CN"/>
              </w:rPr>
            </w:pPr>
            <w:r>
              <w:rPr>
                <w:rFonts w:hint="eastAsia" w:ascii="宋体" w:hAnsi="宋体" w:cs="宋体"/>
                <w:b/>
                <w:bCs/>
                <w:color w:val="auto"/>
                <w:sz w:val="24"/>
                <w:lang w:val="en-US" w:eastAsia="zh-CN"/>
              </w:rPr>
              <w:t>（25分）</w:t>
            </w:r>
          </w:p>
        </w:tc>
        <w:tc>
          <w:tcPr>
            <w:tcW w:w="3154" w:type="pct"/>
            <w:noWrap w:val="0"/>
            <w:vAlign w:val="center"/>
          </w:tcPr>
          <w:p w14:paraId="1DC5B9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bCs/>
                <w:color w:val="auto"/>
                <w:sz w:val="24"/>
              </w:rPr>
            </w:pPr>
            <w:r>
              <w:rPr>
                <w:rFonts w:hint="eastAsia" w:ascii="宋体" w:hAnsi="宋体" w:cs="宋体"/>
                <w:b/>
                <w:bCs/>
                <w:sz w:val="24"/>
                <w:szCs w:val="24"/>
              </w:rPr>
              <w:t>宣传视频摄制方案：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5</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w:t>
            </w:r>
            <w:r>
              <w:rPr>
                <w:rFonts w:hint="default"/>
                <w:color w:val="000000"/>
                <w:sz w:val="24"/>
                <w:szCs w:val="24"/>
              </w:rPr>
              <w:t>方案内容完善，</w:t>
            </w:r>
            <w:r>
              <w:rPr>
                <w:rFonts w:hint="eastAsia"/>
                <w:color w:val="000000"/>
                <w:sz w:val="24"/>
                <w:szCs w:val="24"/>
                <w:lang w:val="en-US" w:eastAsia="zh-CN"/>
              </w:rPr>
              <w:t>全面</w:t>
            </w:r>
            <w:r>
              <w:rPr>
                <w:rFonts w:hint="default"/>
                <w:color w:val="000000"/>
                <w:sz w:val="24"/>
                <w:szCs w:val="24"/>
              </w:rPr>
              <w:t>贴合本赛事展演需求</w:t>
            </w:r>
            <w:r>
              <w:rPr>
                <w:rFonts w:hint="eastAsia"/>
                <w:color w:val="000000"/>
                <w:sz w:val="24"/>
                <w:szCs w:val="24"/>
                <w:lang w:eastAsia="zh-CN"/>
              </w:rPr>
              <w:t>，</w:t>
            </w:r>
            <w:r>
              <w:rPr>
                <w:rFonts w:hint="eastAsia"/>
                <w:color w:val="000000"/>
                <w:sz w:val="24"/>
                <w:szCs w:val="24"/>
                <w:lang w:val="en-US" w:eastAsia="zh-CN"/>
              </w:rPr>
              <w:t>可行性强得</w:t>
            </w:r>
            <w:r>
              <w:rPr>
                <w:rFonts w:hint="eastAsia" w:ascii="宋体" w:hAnsi="宋体" w:eastAsia="宋体" w:cs="宋体"/>
                <w:color w:val="000000"/>
                <w:sz w:val="24"/>
                <w:szCs w:val="24"/>
                <w:lang w:val="en-US" w:eastAsia="zh-CN"/>
              </w:rPr>
              <w:t>5</w:t>
            </w:r>
            <w:r>
              <w:rPr>
                <w:rFonts w:hint="eastAsia"/>
                <w:color w:val="000000"/>
                <w:sz w:val="24"/>
                <w:szCs w:val="24"/>
                <w:lang w:val="en-US" w:eastAsia="zh-CN"/>
              </w:rPr>
              <w:t>分</w:t>
            </w:r>
            <w:r>
              <w:rPr>
                <w:rFonts w:hint="default"/>
                <w:color w:val="000000"/>
                <w:sz w:val="24"/>
                <w:szCs w:val="24"/>
              </w:rPr>
              <w:t>；方案内容基本齐全，少量内容有欠缺</w:t>
            </w:r>
            <w:r>
              <w:rPr>
                <w:rFonts w:hint="eastAsia"/>
                <w:color w:val="000000"/>
                <w:sz w:val="24"/>
                <w:szCs w:val="24"/>
                <w:lang w:eastAsia="zh-CN"/>
              </w:rPr>
              <w:t>，</w:t>
            </w:r>
            <w:r>
              <w:rPr>
                <w:rFonts w:hint="eastAsia"/>
                <w:color w:val="000000"/>
                <w:sz w:val="24"/>
                <w:szCs w:val="24"/>
                <w:lang w:val="en-US" w:eastAsia="zh-CN"/>
              </w:rPr>
              <w:t>具有一定可行性得</w:t>
            </w:r>
            <w:r>
              <w:rPr>
                <w:rFonts w:hint="eastAsia" w:ascii="宋体" w:hAnsi="宋体" w:eastAsia="宋体" w:cs="宋体"/>
                <w:color w:val="000000"/>
                <w:sz w:val="24"/>
                <w:szCs w:val="24"/>
                <w:lang w:val="en-US" w:eastAsia="zh-CN"/>
              </w:rPr>
              <w:t>3-4</w:t>
            </w:r>
            <w:r>
              <w:rPr>
                <w:rFonts w:hint="eastAsia"/>
                <w:color w:val="000000"/>
                <w:sz w:val="24"/>
                <w:szCs w:val="24"/>
                <w:lang w:val="en-US" w:eastAsia="zh-CN"/>
              </w:rPr>
              <w:t>分；</w:t>
            </w:r>
            <w:r>
              <w:rPr>
                <w:rFonts w:hint="default"/>
                <w:color w:val="000000"/>
                <w:sz w:val="24"/>
                <w:szCs w:val="24"/>
              </w:rPr>
              <w:t>方案内容简略，关键内容缺失较多</w:t>
            </w:r>
            <w:r>
              <w:rPr>
                <w:rFonts w:hint="eastAsia"/>
                <w:color w:val="000000"/>
                <w:sz w:val="24"/>
                <w:szCs w:val="24"/>
                <w:lang w:eastAsia="zh-CN"/>
              </w:rPr>
              <w:t>，</w:t>
            </w:r>
            <w:r>
              <w:rPr>
                <w:rFonts w:hint="eastAsia"/>
                <w:color w:val="000000"/>
                <w:sz w:val="24"/>
                <w:szCs w:val="24"/>
                <w:lang w:val="en-US" w:eastAsia="zh-CN"/>
              </w:rPr>
              <w:t>缺乏可行性得</w:t>
            </w:r>
            <w:r>
              <w:rPr>
                <w:rFonts w:hint="eastAsia" w:ascii="宋体" w:hAnsi="宋体" w:eastAsia="宋体" w:cs="宋体"/>
                <w:color w:val="000000"/>
                <w:sz w:val="24"/>
                <w:szCs w:val="24"/>
                <w:lang w:val="en-US" w:eastAsia="zh-CN"/>
              </w:rPr>
              <w:t>1-2</w:t>
            </w:r>
            <w:r>
              <w:rPr>
                <w:rFonts w:hint="eastAsia"/>
                <w:color w:val="000000"/>
                <w:sz w:val="24"/>
                <w:szCs w:val="24"/>
                <w:lang w:val="en-US" w:eastAsia="zh-CN"/>
              </w:rPr>
              <w:t>分；未提供不得分。</w:t>
            </w:r>
          </w:p>
        </w:tc>
        <w:tc>
          <w:tcPr>
            <w:tcW w:w="437" w:type="pct"/>
            <w:noWrap w:val="0"/>
            <w:vAlign w:val="center"/>
          </w:tcPr>
          <w:p w14:paraId="2B9F6E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sz w:val="24"/>
                <w:szCs w:val="24"/>
              </w:rPr>
            </w:pPr>
            <w:r>
              <w:rPr>
                <w:rFonts w:hint="eastAsia" w:ascii="宋体" w:hAnsi="宋体" w:cs="宋体"/>
                <w:b w:val="0"/>
                <w:bCs w:val="0"/>
                <w:kern w:val="0"/>
                <w:sz w:val="24"/>
                <w:szCs w:val="24"/>
                <w:lang w:val="en-US" w:eastAsia="zh-CN" w:bidi="ar"/>
              </w:rPr>
              <w:t>主观</w:t>
            </w:r>
          </w:p>
        </w:tc>
        <w:tc>
          <w:tcPr>
            <w:tcW w:w="455" w:type="pct"/>
            <w:noWrap w:val="0"/>
            <w:vAlign w:val="center"/>
          </w:tcPr>
          <w:p w14:paraId="27C12C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5分</w:t>
            </w:r>
          </w:p>
        </w:tc>
      </w:tr>
      <w:tr w14:paraId="50D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98" w:type="pct"/>
            <w:vMerge w:val="continue"/>
            <w:noWrap w:val="0"/>
            <w:vAlign w:val="center"/>
          </w:tcPr>
          <w:p w14:paraId="5915EF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color w:val="auto"/>
                <w:sz w:val="24"/>
                <w:lang w:val="en-US" w:eastAsia="zh-CN"/>
              </w:rPr>
            </w:pPr>
          </w:p>
        </w:tc>
        <w:tc>
          <w:tcPr>
            <w:tcW w:w="654" w:type="pct"/>
            <w:vMerge w:val="continue"/>
            <w:noWrap w:val="0"/>
            <w:vAlign w:val="center"/>
          </w:tcPr>
          <w:p w14:paraId="6C3BA5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color w:val="auto"/>
                <w:sz w:val="24"/>
                <w:lang w:val="en-US" w:eastAsia="zh-CN"/>
              </w:rPr>
            </w:pPr>
          </w:p>
        </w:tc>
        <w:tc>
          <w:tcPr>
            <w:tcW w:w="3154" w:type="pct"/>
            <w:noWrap w:val="0"/>
            <w:vAlign w:val="center"/>
          </w:tcPr>
          <w:p w14:paraId="09D0A71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lang w:eastAsia="zh-CN"/>
              </w:rPr>
            </w:pPr>
            <w:r>
              <w:rPr>
                <w:rFonts w:hint="eastAsia" w:ascii="宋体" w:hAnsi="宋体" w:cs="宋体"/>
                <w:b/>
                <w:bCs/>
                <w:color w:val="auto"/>
                <w:sz w:val="24"/>
                <w:lang w:val="en-US" w:eastAsia="zh-CN"/>
              </w:rPr>
              <w:t>场馆搭建布展实施方案：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5</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w:t>
            </w:r>
            <w:r>
              <w:rPr>
                <w:rFonts w:hint="default"/>
                <w:color w:val="000000"/>
                <w:sz w:val="24"/>
                <w:szCs w:val="24"/>
              </w:rPr>
              <w:t>搭建布展方案完整详实，</w:t>
            </w:r>
            <w:r>
              <w:rPr>
                <w:rFonts w:hint="eastAsia"/>
                <w:color w:val="000000"/>
                <w:sz w:val="24"/>
                <w:szCs w:val="24"/>
                <w:lang w:val="en-US" w:eastAsia="zh-CN"/>
              </w:rPr>
              <w:t>贴合</w:t>
            </w:r>
            <w:r>
              <w:rPr>
                <w:rFonts w:hint="default"/>
                <w:color w:val="000000"/>
                <w:sz w:val="24"/>
                <w:szCs w:val="24"/>
              </w:rPr>
              <w:t>展馆现场使用要求</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5</w:t>
            </w:r>
            <w:r>
              <w:rPr>
                <w:rFonts w:hint="eastAsia"/>
                <w:color w:val="000000"/>
                <w:sz w:val="24"/>
                <w:szCs w:val="24"/>
                <w:lang w:val="en-US" w:eastAsia="zh-CN"/>
              </w:rPr>
              <w:t>分</w:t>
            </w:r>
            <w:r>
              <w:rPr>
                <w:rFonts w:hint="default"/>
                <w:color w:val="000000"/>
                <w:sz w:val="24"/>
                <w:szCs w:val="24"/>
              </w:rPr>
              <w:t>；方案框架完整，部分实施内容描述简单</w:t>
            </w:r>
            <w:r>
              <w:rPr>
                <w:rFonts w:hint="eastAsia"/>
                <w:color w:val="000000"/>
                <w:sz w:val="24"/>
                <w:szCs w:val="24"/>
                <w:lang w:eastAsia="zh-CN"/>
              </w:rPr>
              <w:t>，</w:t>
            </w:r>
            <w:r>
              <w:rPr>
                <w:rFonts w:hint="eastAsia"/>
                <w:color w:val="000000"/>
                <w:sz w:val="24"/>
                <w:szCs w:val="24"/>
                <w:lang w:val="en-US" w:eastAsia="zh-CN"/>
              </w:rPr>
              <w:t>基本贴合</w:t>
            </w:r>
            <w:r>
              <w:rPr>
                <w:rFonts w:hint="default"/>
                <w:color w:val="000000"/>
                <w:sz w:val="24"/>
                <w:szCs w:val="24"/>
              </w:rPr>
              <w:t>展馆现场使用要求</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3-4</w:t>
            </w:r>
            <w:r>
              <w:rPr>
                <w:rFonts w:hint="eastAsia"/>
                <w:color w:val="000000"/>
                <w:sz w:val="24"/>
                <w:szCs w:val="24"/>
                <w:lang w:val="en-US" w:eastAsia="zh-CN"/>
              </w:rPr>
              <w:t>分；</w:t>
            </w:r>
            <w:r>
              <w:rPr>
                <w:rFonts w:hint="default"/>
                <w:color w:val="000000"/>
                <w:sz w:val="24"/>
                <w:szCs w:val="24"/>
              </w:rPr>
              <w:t>仅简单描述搭建工作，缺少核心实施内容</w:t>
            </w:r>
            <w:r>
              <w:rPr>
                <w:rFonts w:hint="eastAsia"/>
                <w:color w:val="000000"/>
                <w:sz w:val="24"/>
                <w:szCs w:val="24"/>
                <w:lang w:val="en-US" w:eastAsia="zh-CN"/>
              </w:rPr>
              <w:t>且与</w:t>
            </w:r>
            <w:r>
              <w:rPr>
                <w:rFonts w:hint="default"/>
                <w:color w:val="000000"/>
                <w:sz w:val="24"/>
                <w:szCs w:val="24"/>
              </w:rPr>
              <w:t>展馆现场使用要求</w:t>
            </w:r>
            <w:r>
              <w:rPr>
                <w:rFonts w:hint="eastAsia"/>
                <w:color w:val="000000"/>
                <w:sz w:val="24"/>
                <w:szCs w:val="24"/>
                <w:lang w:val="en-US" w:eastAsia="zh-CN"/>
              </w:rPr>
              <w:t>不匹配得</w:t>
            </w:r>
            <w:r>
              <w:rPr>
                <w:rFonts w:hint="eastAsia" w:ascii="宋体" w:hAnsi="宋体" w:eastAsia="宋体" w:cs="宋体"/>
                <w:color w:val="000000"/>
                <w:sz w:val="24"/>
                <w:szCs w:val="24"/>
                <w:lang w:val="en-US" w:eastAsia="zh-CN"/>
              </w:rPr>
              <w:t>1-2</w:t>
            </w:r>
            <w:r>
              <w:rPr>
                <w:rFonts w:hint="eastAsia"/>
                <w:color w:val="000000"/>
                <w:sz w:val="24"/>
                <w:szCs w:val="24"/>
                <w:lang w:val="en-US" w:eastAsia="zh-CN"/>
              </w:rPr>
              <w:t>分；未提供不得分。</w:t>
            </w:r>
          </w:p>
        </w:tc>
        <w:tc>
          <w:tcPr>
            <w:tcW w:w="437" w:type="pct"/>
            <w:noWrap w:val="0"/>
            <w:vAlign w:val="center"/>
          </w:tcPr>
          <w:p w14:paraId="55F86F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val="0"/>
                <w:bCs w:val="0"/>
                <w:kern w:val="0"/>
                <w:sz w:val="24"/>
                <w:szCs w:val="24"/>
                <w:lang w:val="en-US" w:eastAsia="zh-CN" w:bidi="ar"/>
              </w:rPr>
              <w:t>主观</w:t>
            </w:r>
          </w:p>
        </w:tc>
        <w:tc>
          <w:tcPr>
            <w:tcW w:w="455" w:type="pct"/>
            <w:noWrap w:val="0"/>
            <w:vAlign w:val="center"/>
          </w:tcPr>
          <w:p w14:paraId="4EA471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5</w:t>
            </w:r>
            <w:r>
              <w:rPr>
                <w:rFonts w:hint="eastAsia" w:ascii="宋体" w:hAnsi="宋体" w:eastAsia="宋体" w:cs="宋体"/>
                <w:b/>
                <w:bCs/>
                <w:color w:val="auto"/>
                <w:sz w:val="24"/>
                <w:lang w:val="en-US" w:eastAsia="zh-CN"/>
              </w:rPr>
              <w:t>分</w:t>
            </w:r>
          </w:p>
        </w:tc>
      </w:tr>
      <w:tr w14:paraId="6378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98" w:type="pct"/>
            <w:vMerge w:val="continue"/>
            <w:noWrap w:val="0"/>
            <w:vAlign w:val="center"/>
          </w:tcPr>
          <w:p w14:paraId="246EC5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p>
        </w:tc>
        <w:tc>
          <w:tcPr>
            <w:tcW w:w="654" w:type="pct"/>
            <w:vMerge w:val="continue"/>
            <w:noWrap w:val="0"/>
            <w:vAlign w:val="center"/>
          </w:tcPr>
          <w:p w14:paraId="474E85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lang w:val="en-US" w:eastAsia="zh-CN"/>
              </w:rPr>
            </w:pPr>
          </w:p>
        </w:tc>
        <w:tc>
          <w:tcPr>
            <w:tcW w:w="3154" w:type="pct"/>
            <w:noWrap w:val="0"/>
            <w:vAlign w:val="center"/>
          </w:tcPr>
          <w:p w14:paraId="052859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cs="宋体"/>
                <w:b/>
                <w:bCs/>
                <w:color w:val="auto"/>
                <w:sz w:val="24"/>
                <w:lang w:val="en-US" w:eastAsia="zh-CN"/>
              </w:rPr>
              <w:t>人员交通统筹方案：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5</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w:t>
            </w:r>
            <w:r>
              <w:rPr>
                <w:rFonts w:hint="eastAsia" w:ascii="宋体" w:hAnsi="宋体" w:cs="宋体"/>
                <w:color w:val="auto"/>
                <w:sz w:val="24"/>
                <w:lang w:val="en-US" w:eastAsia="zh-CN"/>
              </w:rPr>
              <w:t>人</w:t>
            </w:r>
            <w:r>
              <w:rPr>
                <w:rFonts w:hint="default"/>
                <w:color w:val="000000"/>
                <w:sz w:val="24"/>
                <w:szCs w:val="24"/>
              </w:rPr>
              <w:t>员、车辆统筹安排周全，保障措施完善</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5</w:t>
            </w:r>
            <w:r>
              <w:rPr>
                <w:rFonts w:hint="eastAsia"/>
                <w:color w:val="000000"/>
                <w:sz w:val="24"/>
                <w:szCs w:val="24"/>
                <w:lang w:val="en-US" w:eastAsia="zh-CN"/>
              </w:rPr>
              <w:t>分</w:t>
            </w:r>
            <w:r>
              <w:rPr>
                <w:rFonts w:hint="default"/>
                <w:color w:val="000000"/>
                <w:sz w:val="24"/>
                <w:szCs w:val="24"/>
              </w:rPr>
              <w:t>；交通安排基本可行，保障措施略有不足</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3-4</w:t>
            </w:r>
            <w:r>
              <w:rPr>
                <w:rFonts w:hint="eastAsia"/>
                <w:color w:val="000000"/>
                <w:sz w:val="24"/>
                <w:szCs w:val="24"/>
                <w:lang w:val="en-US" w:eastAsia="zh-CN"/>
              </w:rPr>
              <w:t>分</w:t>
            </w:r>
            <w:r>
              <w:rPr>
                <w:rFonts w:hint="default"/>
                <w:color w:val="000000"/>
                <w:sz w:val="24"/>
                <w:szCs w:val="24"/>
              </w:rPr>
              <w:t>；交通规划粗略，未充分覆盖全部人员出行需求</w:t>
            </w:r>
            <w:r>
              <w:rPr>
                <w:rFonts w:hint="eastAsia"/>
                <w:color w:val="000000"/>
                <w:sz w:val="24"/>
                <w:szCs w:val="24"/>
                <w:lang w:val="en-US" w:eastAsia="zh-CN"/>
              </w:rPr>
              <w:t>得</w:t>
            </w:r>
            <w:r>
              <w:rPr>
                <w:rFonts w:hint="eastAsia" w:ascii="宋体" w:hAnsi="宋体" w:eastAsia="宋体" w:cs="宋体"/>
                <w:color w:val="000000"/>
                <w:sz w:val="24"/>
                <w:szCs w:val="24"/>
                <w:lang w:val="en-US" w:eastAsia="zh-CN"/>
              </w:rPr>
              <w:t>1-2</w:t>
            </w:r>
            <w:r>
              <w:rPr>
                <w:rFonts w:hint="eastAsia"/>
                <w:color w:val="000000"/>
                <w:sz w:val="24"/>
                <w:szCs w:val="24"/>
                <w:lang w:val="en-US" w:eastAsia="zh-CN"/>
              </w:rPr>
              <w:t>分；未提供不得分。</w:t>
            </w:r>
          </w:p>
        </w:tc>
        <w:tc>
          <w:tcPr>
            <w:tcW w:w="437" w:type="pct"/>
            <w:noWrap w:val="0"/>
            <w:vAlign w:val="center"/>
          </w:tcPr>
          <w:p w14:paraId="4E8D35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val="0"/>
                <w:bCs w:val="0"/>
                <w:kern w:val="0"/>
                <w:sz w:val="24"/>
                <w:szCs w:val="24"/>
                <w:lang w:val="en-US" w:eastAsia="zh-CN" w:bidi="ar"/>
              </w:rPr>
              <w:t>主观</w:t>
            </w:r>
          </w:p>
        </w:tc>
        <w:tc>
          <w:tcPr>
            <w:tcW w:w="455" w:type="pct"/>
            <w:noWrap w:val="0"/>
            <w:vAlign w:val="center"/>
          </w:tcPr>
          <w:p w14:paraId="186A38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5分</w:t>
            </w:r>
          </w:p>
        </w:tc>
      </w:tr>
      <w:tr w14:paraId="70CF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298" w:type="pct"/>
            <w:vMerge w:val="continue"/>
            <w:noWrap w:val="0"/>
            <w:vAlign w:val="center"/>
          </w:tcPr>
          <w:p w14:paraId="4B7437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p>
        </w:tc>
        <w:tc>
          <w:tcPr>
            <w:tcW w:w="654" w:type="pct"/>
            <w:vMerge w:val="continue"/>
            <w:noWrap w:val="0"/>
            <w:vAlign w:val="center"/>
          </w:tcPr>
          <w:p w14:paraId="1C797A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lang w:val="en-US" w:eastAsia="zh-CN"/>
              </w:rPr>
            </w:pPr>
          </w:p>
        </w:tc>
        <w:tc>
          <w:tcPr>
            <w:tcW w:w="3154" w:type="pct"/>
            <w:noWrap w:val="0"/>
            <w:vAlign w:val="center"/>
          </w:tcPr>
          <w:p w14:paraId="029A4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textAlignment w:val="auto"/>
              <w:rPr>
                <w:rFonts w:hint="eastAsia" w:ascii="宋体" w:hAnsi="宋体" w:eastAsia="宋体" w:cs="宋体"/>
                <w:color w:val="auto"/>
                <w:sz w:val="24"/>
              </w:rPr>
            </w:pPr>
            <w:r>
              <w:rPr>
                <w:rFonts w:hint="eastAsia" w:ascii="宋体" w:hAnsi="宋体" w:cs="宋体"/>
                <w:b/>
                <w:bCs/>
                <w:color w:val="auto"/>
                <w:sz w:val="24"/>
                <w:lang w:val="en-US" w:eastAsia="zh-CN"/>
              </w:rPr>
              <w:t>食宿保障方案：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5</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内容：住宿、伙食标准完全符合预算要求，后勤对接、食品安全、住宿配套保障措施完整</w:t>
            </w:r>
            <w:r>
              <w:rPr>
                <w:rFonts w:hint="eastAsia" w:ascii="宋体" w:hAnsi="宋体" w:cs="宋体"/>
                <w:color w:val="auto"/>
                <w:sz w:val="24"/>
                <w:lang w:val="en-US" w:eastAsia="zh-CN"/>
              </w:rPr>
              <w:t>得5分</w:t>
            </w:r>
            <w:r>
              <w:rPr>
                <w:rFonts w:hint="eastAsia" w:ascii="宋体" w:hAnsi="宋体" w:eastAsia="宋体" w:cs="宋体"/>
                <w:color w:val="auto"/>
                <w:sz w:val="24"/>
              </w:rPr>
              <w:t>；食宿标准达标，</w:t>
            </w:r>
            <w:r>
              <w:rPr>
                <w:rFonts w:hint="eastAsia" w:ascii="宋体" w:hAnsi="宋体" w:cs="宋体"/>
                <w:color w:val="auto"/>
                <w:sz w:val="24"/>
                <w:lang w:val="en-US" w:eastAsia="zh-CN"/>
              </w:rPr>
              <w:t>基本</w:t>
            </w:r>
            <w:r>
              <w:rPr>
                <w:rFonts w:hint="eastAsia" w:ascii="宋体" w:hAnsi="宋体" w:eastAsia="宋体" w:cs="宋体"/>
                <w:color w:val="auto"/>
                <w:sz w:val="24"/>
              </w:rPr>
              <w:t>满足各类人员食宿需求，配套保障措施存在少量疏漏</w:t>
            </w:r>
            <w:r>
              <w:rPr>
                <w:rFonts w:hint="eastAsia" w:ascii="宋体" w:hAnsi="宋体" w:cs="宋体"/>
                <w:color w:val="auto"/>
                <w:sz w:val="24"/>
                <w:lang w:val="en-US" w:eastAsia="zh-CN"/>
              </w:rPr>
              <w:t>得3-4分</w:t>
            </w:r>
            <w:r>
              <w:rPr>
                <w:rFonts w:hint="eastAsia" w:ascii="宋体" w:hAnsi="宋体" w:eastAsia="宋体" w:cs="宋体"/>
                <w:color w:val="auto"/>
                <w:sz w:val="24"/>
              </w:rPr>
              <w:t>；食宿标准低于预算要求，</w:t>
            </w:r>
            <w:r>
              <w:rPr>
                <w:rFonts w:hint="eastAsia" w:ascii="宋体" w:hAnsi="宋体" w:cs="宋体"/>
                <w:color w:val="auto"/>
                <w:sz w:val="24"/>
                <w:lang w:val="en-US" w:eastAsia="zh-CN"/>
              </w:rPr>
              <w:t>无法</w:t>
            </w:r>
            <w:r>
              <w:rPr>
                <w:rFonts w:hint="eastAsia" w:ascii="宋体" w:hAnsi="宋体" w:eastAsia="宋体" w:cs="宋体"/>
                <w:color w:val="auto"/>
                <w:sz w:val="24"/>
              </w:rPr>
              <w:t>满足各类人员食宿需求</w:t>
            </w:r>
            <w:r>
              <w:rPr>
                <w:rFonts w:hint="eastAsia" w:ascii="宋体" w:hAnsi="宋体" w:cs="宋体"/>
                <w:color w:val="auto"/>
                <w:sz w:val="24"/>
                <w:lang w:eastAsia="zh-CN"/>
              </w:rPr>
              <w:t>，</w:t>
            </w:r>
            <w:r>
              <w:rPr>
                <w:rFonts w:hint="eastAsia" w:ascii="宋体" w:hAnsi="宋体" w:cs="宋体"/>
                <w:color w:val="auto"/>
                <w:sz w:val="24"/>
                <w:lang w:val="en-US" w:eastAsia="zh-CN"/>
              </w:rPr>
              <w:t>配套</w:t>
            </w:r>
            <w:r>
              <w:rPr>
                <w:rFonts w:hint="eastAsia" w:ascii="宋体" w:hAnsi="宋体" w:eastAsia="宋体" w:cs="宋体"/>
                <w:color w:val="auto"/>
                <w:sz w:val="24"/>
              </w:rPr>
              <w:t>保障措施存在</w:t>
            </w:r>
            <w:r>
              <w:rPr>
                <w:rFonts w:hint="eastAsia" w:ascii="宋体" w:hAnsi="宋体" w:cs="宋体"/>
                <w:color w:val="auto"/>
                <w:sz w:val="24"/>
                <w:lang w:val="en-US" w:eastAsia="zh-CN"/>
              </w:rPr>
              <w:t>多处疏漏得1-2分；未提供不得分。</w:t>
            </w:r>
          </w:p>
        </w:tc>
        <w:tc>
          <w:tcPr>
            <w:tcW w:w="437" w:type="pct"/>
            <w:noWrap w:val="0"/>
            <w:vAlign w:val="center"/>
          </w:tcPr>
          <w:p w14:paraId="30839D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val="0"/>
                <w:bCs w:val="0"/>
                <w:kern w:val="0"/>
                <w:sz w:val="24"/>
                <w:szCs w:val="24"/>
                <w:lang w:val="en-US" w:eastAsia="zh-CN" w:bidi="ar"/>
              </w:rPr>
              <w:t>主观</w:t>
            </w:r>
          </w:p>
        </w:tc>
        <w:tc>
          <w:tcPr>
            <w:tcW w:w="455" w:type="pct"/>
            <w:noWrap w:val="0"/>
            <w:vAlign w:val="center"/>
          </w:tcPr>
          <w:p w14:paraId="76D95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5分</w:t>
            </w:r>
          </w:p>
        </w:tc>
      </w:tr>
      <w:tr w14:paraId="0B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jc w:val="center"/>
        </w:trPr>
        <w:tc>
          <w:tcPr>
            <w:tcW w:w="298" w:type="pct"/>
            <w:vMerge w:val="continue"/>
            <w:noWrap w:val="0"/>
            <w:vAlign w:val="center"/>
          </w:tcPr>
          <w:p w14:paraId="53ECA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p>
        </w:tc>
        <w:tc>
          <w:tcPr>
            <w:tcW w:w="654" w:type="pct"/>
            <w:vMerge w:val="continue"/>
            <w:noWrap w:val="0"/>
            <w:vAlign w:val="center"/>
          </w:tcPr>
          <w:p w14:paraId="501348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lang w:val="en-US" w:eastAsia="zh-CN"/>
              </w:rPr>
            </w:pPr>
          </w:p>
        </w:tc>
        <w:tc>
          <w:tcPr>
            <w:tcW w:w="3154" w:type="pct"/>
            <w:noWrap w:val="0"/>
            <w:vAlign w:val="center"/>
          </w:tcPr>
          <w:p w14:paraId="1726FE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color w:val="auto"/>
                <w:sz w:val="24"/>
              </w:rPr>
            </w:pPr>
            <w:r>
              <w:rPr>
                <w:rFonts w:hint="eastAsia" w:ascii="宋体" w:hAnsi="宋体" w:cs="宋体"/>
                <w:b/>
                <w:bCs/>
                <w:color w:val="auto"/>
                <w:sz w:val="24"/>
                <w:lang w:val="en-US" w:eastAsia="zh-CN"/>
              </w:rPr>
              <w:t>人员意外险投保方案：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5</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内容：投保范围、标准全部符合预算要求，配套保障流程完整</w:t>
            </w:r>
            <w:r>
              <w:rPr>
                <w:rFonts w:hint="eastAsia" w:ascii="宋体" w:hAnsi="宋体" w:cs="宋体"/>
                <w:color w:val="auto"/>
                <w:sz w:val="24"/>
                <w:lang w:val="en-US" w:eastAsia="zh-CN"/>
              </w:rPr>
              <w:t>得5分</w:t>
            </w:r>
            <w:r>
              <w:rPr>
                <w:rFonts w:hint="eastAsia" w:ascii="宋体" w:hAnsi="宋体" w:eastAsia="宋体" w:cs="宋体"/>
                <w:color w:val="auto"/>
                <w:sz w:val="24"/>
              </w:rPr>
              <w:t>；投保标准、覆盖人群达标，配套流程表述简单</w:t>
            </w:r>
            <w:r>
              <w:rPr>
                <w:rFonts w:hint="eastAsia" w:ascii="宋体" w:hAnsi="宋体" w:cs="宋体"/>
                <w:color w:val="auto"/>
                <w:sz w:val="24"/>
                <w:lang w:val="en-US" w:eastAsia="zh-CN"/>
              </w:rPr>
              <w:t>得3-4分</w:t>
            </w:r>
            <w:r>
              <w:rPr>
                <w:rFonts w:hint="eastAsia" w:ascii="宋体" w:hAnsi="宋体" w:eastAsia="宋体" w:cs="宋体"/>
                <w:color w:val="auto"/>
                <w:sz w:val="24"/>
              </w:rPr>
              <w:t>；投保标准不足或未全覆盖全部参与人员</w:t>
            </w:r>
            <w:r>
              <w:rPr>
                <w:rFonts w:hint="eastAsia" w:ascii="宋体" w:hAnsi="宋体" w:cs="宋体"/>
                <w:color w:val="auto"/>
                <w:sz w:val="24"/>
                <w:lang w:val="en-US" w:eastAsia="zh-CN"/>
              </w:rPr>
              <w:t>得1-2分；未提供不得分。</w:t>
            </w:r>
          </w:p>
        </w:tc>
        <w:tc>
          <w:tcPr>
            <w:tcW w:w="437" w:type="pct"/>
            <w:noWrap w:val="0"/>
            <w:vAlign w:val="center"/>
          </w:tcPr>
          <w:p w14:paraId="352E43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val="0"/>
                <w:bCs w:val="0"/>
                <w:kern w:val="0"/>
                <w:sz w:val="24"/>
                <w:szCs w:val="24"/>
                <w:lang w:val="en-US" w:eastAsia="zh-CN" w:bidi="ar"/>
              </w:rPr>
              <w:t>主观</w:t>
            </w:r>
          </w:p>
        </w:tc>
        <w:tc>
          <w:tcPr>
            <w:tcW w:w="455" w:type="pct"/>
            <w:noWrap w:val="0"/>
            <w:vAlign w:val="center"/>
          </w:tcPr>
          <w:p w14:paraId="46B931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shd w:val="clear"/>
                <w:lang w:val="en-US" w:eastAsia="zh-CN"/>
              </w:rPr>
              <w:t>5分</w:t>
            </w:r>
          </w:p>
        </w:tc>
      </w:tr>
      <w:tr w14:paraId="5777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jc w:val="center"/>
        </w:trPr>
        <w:tc>
          <w:tcPr>
            <w:tcW w:w="298" w:type="pct"/>
            <w:vMerge w:val="restart"/>
            <w:noWrap w:val="0"/>
            <w:vAlign w:val="center"/>
          </w:tcPr>
          <w:p w14:paraId="1B0E73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4</w:t>
            </w:r>
          </w:p>
        </w:tc>
        <w:tc>
          <w:tcPr>
            <w:tcW w:w="654" w:type="pct"/>
            <w:vMerge w:val="restart"/>
            <w:noWrap w:val="0"/>
            <w:vAlign w:val="center"/>
          </w:tcPr>
          <w:p w14:paraId="580C9A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kern w:val="0"/>
                <w:sz w:val="24"/>
                <w:szCs w:val="24"/>
                <w:lang w:val="en-US" w:eastAsia="zh-CN" w:bidi="ar"/>
              </w:rPr>
            </w:pPr>
            <w:r>
              <w:rPr>
                <w:rFonts w:hint="eastAsia" w:ascii="宋体" w:hAnsi="宋体" w:cs="宋体"/>
                <w:b/>
                <w:bCs/>
                <w:kern w:val="0"/>
                <w:sz w:val="24"/>
                <w:szCs w:val="24"/>
                <w:lang w:val="en-US" w:eastAsia="zh-CN" w:bidi="ar"/>
              </w:rPr>
              <w:t>人员</w:t>
            </w:r>
          </w:p>
          <w:p w14:paraId="4219BA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kern w:val="0"/>
                <w:sz w:val="24"/>
                <w:szCs w:val="24"/>
                <w:lang w:val="en-US" w:eastAsia="zh-CN" w:bidi="ar"/>
              </w:rPr>
            </w:pPr>
            <w:r>
              <w:rPr>
                <w:rFonts w:hint="eastAsia" w:ascii="宋体" w:hAnsi="宋体" w:cs="宋体"/>
                <w:b/>
                <w:bCs/>
                <w:kern w:val="0"/>
                <w:sz w:val="24"/>
                <w:szCs w:val="24"/>
                <w:lang w:val="en-US" w:eastAsia="zh-CN" w:bidi="ar"/>
              </w:rPr>
              <w:t>配置</w:t>
            </w:r>
          </w:p>
          <w:p w14:paraId="3241CA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kern w:val="0"/>
                <w:sz w:val="24"/>
                <w:szCs w:val="24"/>
                <w:lang w:val="en-US" w:eastAsia="zh-CN" w:bidi="ar"/>
              </w:rPr>
            </w:pPr>
            <w:r>
              <w:rPr>
                <w:rFonts w:hint="eastAsia" w:ascii="宋体" w:hAnsi="宋体" w:cs="宋体"/>
                <w:b/>
                <w:bCs/>
                <w:kern w:val="0"/>
                <w:sz w:val="24"/>
                <w:szCs w:val="24"/>
                <w:lang w:val="en-US" w:eastAsia="zh-CN" w:bidi="ar"/>
              </w:rPr>
              <w:t>（16分）</w:t>
            </w:r>
          </w:p>
        </w:tc>
        <w:tc>
          <w:tcPr>
            <w:tcW w:w="3154" w:type="pct"/>
            <w:noWrap w:val="0"/>
            <w:vAlign w:val="center"/>
          </w:tcPr>
          <w:p w14:paraId="4DED0A9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left"/>
              <w:textAlignment w:val="auto"/>
              <w:rPr>
                <w:rFonts w:hint="eastAsia" w:ascii="宋体" w:hAnsi="宋体" w:eastAsia="宋体" w:cs="宋体"/>
                <w:kern w:val="2"/>
                <w:sz w:val="24"/>
                <w:szCs w:val="24"/>
                <w:lang w:val="en-US" w:eastAsia="zh-CN" w:bidi="ar-SA"/>
              </w:rPr>
            </w:pPr>
            <w:r>
              <w:rPr>
                <w:rFonts w:hint="default" w:ascii="宋体" w:hAnsi="宋体" w:eastAsia="宋体" w:cs="宋体"/>
                <w:b/>
                <w:bCs/>
                <w:sz w:val="24"/>
                <w:szCs w:val="24"/>
              </w:rPr>
              <w:t>项目执行团队配置及从业经验</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10分</w:t>
            </w:r>
            <w:r>
              <w:rPr>
                <w:rFonts w:hint="eastAsia" w:ascii="宋体" w:hAnsi="宋体" w:eastAsia="宋体" w:cs="宋体"/>
                <w:b/>
                <w:bCs/>
                <w:sz w:val="24"/>
                <w:szCs w:val="24"/>
                <w:lang w:eastAsia="zh-CN"/>
              </w:rPr>
              <w:t>）：</w:t>
            </w:r>
          </w:p>
          <w:p w14:paraId="2B380DA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left"/>
              <w:textAlignment w:val="auto"/>
              <w:rPr>
                <w:rFonts w:hint="default" w:ascii="宋体" w:hAnsi="宋体" w:eastAsia="宋体" w:cs="宋体"/>
                <w:sz w:val="24"/>
                <w:szCs w:val="24"/>
              </w:rPr>
            </w:pPr>
            <w:r>
              <w:rPr>
                <w:rFonts w:hint="default" w:ascii="宋体" w:hAnsi="宋体" w:eastAsia="宋体" w:cs="宋体"/>
                <w:kern w:val="2"/>
                <w:sz w:val="24"/>
                <w:szCs w:val="24"/>
                <w:lang w:val="en-US" w:eastAsia="zh-CN" w:bidi="ar-SA"/>
              </w:rPr>
              <w:t>1.</w:t>
            </w:r>
            <w:r>
              <w:rPr>
                <w:rFonts w:hint="default" w:ascii="宋体" w:hAnsi="宋体" w:eastAsia="宋体" w:cs="宋体"/>
                <w:sz w:val="24"/>
                <w:szCs w:val="24"/>
              </w:rPr>
              <w:t>项目负责人具备</w:t>
            </w:r>
            <w:r>
              <w:rPr>
                <w:rFonts w:hint="eastAsia" w:ascii="宋体" w:hAnsi="宋体" w:eastAsia="宋体" w:cs="宋体"/>
                <w:sz w:val="24"/>
                <w:szCs w:val="24"/>
                <w:lang w:val="en-US" w:eastAsia="zh-CN"/>
              </w:rPr>
              <w:t>3</w:t>
            </w:r>
            <w:r>
              <w:rPr>
                <w:rFonts w:hint="default" w:ascii="宋体" w:hAnsi="宋体" w:eastAsia="宋体" w:cs="宋体"/>
                <w:sz w:val="24"/>
                <w:szCs w:val="24"/>
              </w:rPr>
              <w:t>年及以上会展、赛事展演统筹管理经验得</w:t>
            </w:r>
            <w:r>
              <w:rPr>
                <w:rFonts w:hint="eastAsia" w:ascii="宋体" w:hAnsi="宋体" w:eastAsia="宋体" w:cs="宋体"/>
                <w:sz w:val="24"/>
                <w:szCs w:val="24"/>
                <w:lang w:val="en-US" w:eastAsia="zh-CN"/>
              </w:rPr>
              <w:t>2</w:t>
            </w:r>
            <w:r>
              <w:rPr>
                <w:rFonts w:hint="default" w:ascii="宋体" w:hAnsi="宋体" w:eastAsia="宋体" w:cs="宋体"/>
                <w:sz w:val="24"/>
                <w:szCs w:val="24"/>
              </w:rPr>
              <w:t>分；</w:t>
            </w:r>
          </w:p>
          <w:p w14:paraId="2BD8B4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left"/>
              <w:textAlignment w:val="auto"/>
              <w:rPr>
                <w:rFonts w:hint="eastAsia"/>
              </w:rPr>
            </w:pPr>
            <w:r>
              <w:rPr>
                <w:rFonts w:hint="eastAsia" w:ascii="宋体" w:hAnsi="宋体" w:eastAsia="宋体" w:cs="宋体"/>
                <w:color w:val="auto"/>
                <w:kern w:val="2"/>
                <w:sz w:val="24"/>
                <w:szCs w:val="21"/>
                <w:lang w:val="en-US" w:eastAsia="zh-CN" w:bidi="ar-SA"/>
              </w:rPr>
              <w:t>2.</w:t>
            </w:r>
            <w:r>
              <w:rPr>
                <w:rFonts w:hint="default" w:ascii="宋体" w:hAnsi="宋体" w:eastAsia="宋体" w:cs="宋体"/>
                <w:sz w:val="24"/>
                <w:szCs w:val="24"/>
              </w:rPr>
              <w:t>配备专职视频拍摄剪辑、现场搭建现场管理人员，每类岗位人员具备2 年以上相关实操经验各</w:t>
            </w:r>
            <w:r>
              <w:rPr>
                <w:rFonts w:hint="eastAsia" w:ascii="宋体" w:hAnsi="宋体" w:eastAsia="宋体" w:cs="宋体"/>
                <w:sz w:val="24"/>
                <w:szCs w:val="24"/>
                <w:lang w:val="en-US" w:eastAsia="zh-CN"/>
              </w:rPr>
              <w:t>2</w:t>
            </w:r>
            <w:r>
              <w:rPr>
                <w:rFonts w:hint="default" w:ascii="宋体" w:hAnsi="宋体" w:eastAsia="宋体" w:cs="宋体"/>
                <w:sz w:val="24"/>
                <w:szCs w:val="24"/>
              </w:rPr>
              <w:t>分，满分</w:t>
            </w:r>
            <w:r>
              <w:rPr>
                <w:rFonts w:hint="eastAsia" w:ascii="宋体" w:hAnsi="宋体" w:eastAsia="宋体" w:cs="宋体"/>
                <w:sz w:val="24"/>
                <w:szCs w:val="24"/>
                <w:lang w:val="en-US" w:eastAsia="zh-CN"/>
              </w:rPr>
              <w:t>8</w:t>
            </w:r>
            <w:r>
              <w:rPr>
                <w:rFonts w:hint="default" w:ascii="宋体" w:hAnsi="宋体" w:eastAsia="宋体" w:cs="宋体"/>
                <w:sz w:val="24"/>
                <w:szCs w:val="24"/>
              </w:rPr>
              <w:t>分；无对应岗位人员不得对应分值</w:t>
            </w:r>
            <w:r>
              <w:rPr>
                <w:rFonts w:hint="eastAsia" w:ascii="宋体" w:hAnsi="宋体" w:eastAsia="宋体" w:cs="宋体"/>
                <w:sz w:val="24"/>
                <w:szCs w:val="24"/>
                <w:lang w:eastAsia="zh-CN"/>
              </w:rPr>
              <w:t>。</w:t>
            </w:r>
          </w:p>
        </w:tc>
        <w:tc>
          <w:tcPr>
            <w:tcW w:w="437" w:type="pct"/>
            <w:noWrap w:val="0"/>
            <w:vAlign w:val="center"/>
          </w:tcPr>
          <w:p w14:paraId="34F2FF7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rPr>
                <w:rFonts w:hint="eastAsia" w:ascii="宋体" w:hAnsi="宋体" w:eastAsia="宋体" w:cs="宋体"/>
                <w:color w:val="auto"/>
                <w:kern w:val="2"/>
                <w:sz w:val="24"/>
                <w:szCs w:val="21"/>
                <w:lang w:val="en-US" w:eastAsia="zh-CN" w:bidi="ar-SA"/>
              </w:rPr>
            </w:pPr>
            <w:r>
              <w:rPr>
                <w:rFonts w:hint="eastAsia" w:ascii="宋体" w:hAnsi="宋体" w:cs="宋体"/>
                <w:color w:val="auto"/>
                <w:sz w:val="24"/>
                <w:lang w:val="en-US" w:eastAsia="zh-CN"/>
              </w:rPr>
              <w:t>客观</w:t>
            </w:r>
          </w:p>
        </w:tc>
        <w:tc>
          <w:tcPr>
            <w:tcW w:w="455" w:type="pct"/>
            <w:vMerge w:val="restart"/>
            <w:noWrap w:val="0"/>
            <w:vAlign w:val="center"/>
          </w:tcPr>
          <w:p w14:paraId="6181B7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16分</w:t>
            </w:r>
          </w:p>
        </w:tc>
      </w:tr>
      <w:tr w14:paraId="7EF3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298" w:type="pct"/>
            <w:vMerge w:val="continue"/>
            <w:noWrap w:val="0"/>
            <w:vAlign w:val="center"/>
          </w:tcPr>
          <w:p w14:paraId="1639BB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kern w:val="0"/>
                <w:sz w:val="24"/>
                <w:szCs w:val="24"/>
                <w:lang w:val="en-US" w:eastAsia="zh-CN" w:bidi="ar"/>
              </w:rPr>
            </w:pPr>
          </w:p>
        </w:tc>
        <w:tc>
          <w:tcPr>
            <w:tcW w:w="654" w:type="pct"/>
            <w:vMerge w:val="continue"/>
            <w:noWrap w:val="0"/>
            <w:vAlign w:val="center"/>
          </w:tcPr>
          <w:p w14:paraId="093B02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kern w:val="0"/>
                <w:sz w:val="24"/>
                <w:szCs w:val="24"/>
                <w:lang w:val="en-US" w:eastAsia="zh-CN" w:bidi="ar"/>
              </w:rPr>
            </w:pPr>
          </w:p>
        </w:tc>
        <w:tc>
          <w:tcPr>
            <w:tcW w:w="3154" w:type="pct"/>
            <w:noWrap w:val="0"/>
            <w:vAlign w:val="center"/>
          </w:tcPr>
          <w:p w14:paraId="0CF3422B">
            <w:pPr>
              <w:pStyle w:val="45"/>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textAlignment w:val="auto"/>
              <w:rPr>
                <w:rFonts w:hint="eastAsia" w:ascii="宋体" w:hAnsi="宋体" w:eastAsia="宋体" w:cs="宋体"/>
                <w:b/>
                <w:bCs/>
                <w:sz w:val="24"/>
                <w:szCs w:val="24"/>
                <w:lang w:eastAsia="zh-CN"/>
              </w:rPr>
            </w:pPr>
            <w:r>
              <w:rPr>
                <w:rFonts w:hint="default" w:ascii="宋体" w:hAnsi="宋体" w:eastAsia="宋体" w:cs="宋体"/>
                <w:b/>
                <w:bCs/>
                <w:kern w:val="2"/>
                <w:sz w:val="24"/>
                <w:szCs w:val="24"/>
                <w:lang w:val="en-US" w:eastAsia="zh-CN" w:bidi="ar-SA"/>
              </w:rPr>
              <w:t>项目人员配置完整性</w:t>
            </w:r>
            <w:r>
              <w:rPr>
                <w:rFonts w:hint="eastAsia" w:ascii="宋体" w:hAnsi="宋体" w:eastAsia="宋体" w:cs="宋体"/>
                <w:b/>
                <w:bCs/>
                <w:sz w:val="24"/>
                <w:szCs w:val="24"/>
                <w:lang w:eastAsia="zh-CN"/>
              </w:rPr>
              <w:t>（</w:t>
            </w:r>
            <w:r>
              <w:rPr>
                <w:rFonts w:hint="eastAsia" w:ascii="宋体" w:hAnsi="宋体" w:cs="宋体"/>
                <w:b/>
                <w:bCs/>
                <w:sz w:val="24"/>
                <w:szCs w:val="24"/>
                <w:lang w:val="en-US" w:eastAsia="zh-CN"/>
              </w:rPr>
              <w:t>6</w:t>
            </w:r>
            <w:r>
              <w:rPr>
                <w:rFonts w:hint="eastAsia" w:ascii="宋体" w:hAnsi="宋体" w:eastAsia="宋体" w:cs="宋体"/>
                <w:b/>
                <w:bCs/>
                <w:sz w:val="24"/>
                <w:szCs w:val="24"/>
                <w:lang w:val="en-US" w:eastAsia="zh-CN"/>
              </w:rPr>
              <w:t>分</w:t>
            </w:r>
            <w:r>
              <w:rPr>
                <w:rFonts w:hint="eastAsia" w:ascii="宋体" w:hAnsi="宋体" w:eastAsia="宋体" w:cs="宋体"/>
                <w:b/>
                <w:bCs/>
                <w:sz w:val="24"/>
                <w:szCs w:val="24"/>
                <w:lang w:eastAsia="zh-CN"/>
              </w:rPr>
              <w:t>）：</w:t>
            </w:r>
          </w:p>
          <w:p w14:paraId="09FCF56C">
            <w:pPr>
              <w:pStyle w:val="45"/>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textAlignment w:val="auto"/>
              <w:rPr>
                <w:rFonts w:hint="eastAsia" w:eastAsia="宋体"/>
                <w:lang w:val="en-US" w:eastAsia="zh-CN"/>
              </w:rPr>
            </w:pPr>
            <w:r>
              <w:rPr>
                <w:rFonts w:hint="default" w:ascii="宋体" w:hAnsi="宋体" w:eastAsia="宋体" w:cs="宋体"/>
                <w:sz w:val="24"/>
                <w:szCs w:val="24"/>
              </w:rPr>
              <w:t>配齐视频摄制、现场搭建、现场协调、后勤保障四类专职人员得</w:t>
            </w:r>
            <w:r>
              <w:rPr>
                <w:rFonts w:hint="eastAsia" w:ascii="宋体" w:hAnsi="宋体" w:eastAsia="宋体" w:cs="宋体"/>
                <w:sz w:val="24"/>
                <w:szCs w:val="24"/>
                <w:lang w:val="en-US" w:eastAsia="zh-CN"/>
              </w:rPr>
              <w:t>6</w:t>
            </w:r>
            <w:r>
              <w:rPr>
                <w:rFonts w:hint="default" w:ascii="宋体" w:hAnsi="宋体" w:eastAsia="宋体" w:cs="宋体"/>
                <w:sz w:val="24"/>
                <w:szCs w:val="24"/>
              </w:rPr>
              <w:t>分；缺少一类人员扣</w:t>
            </w:r>
            <w:r>
              <w:rPr>
                <w:rFonts w:hint="eastAsia" w:ascii="宋体" w:hAnsi="宋体" w:cs="宋体"/>
                <w:sz w:val="24"/>
                <w:szCs w:val="24"/>
                <w:lang w:val="en-US" w:eastAsia="zh-CN"/>
              </w:rPr>
              <w:t>1.5</w:t>
            </w:r>
            <w:r>
              <w:rPr>
                <w:rFonts w:hint="default" w:ascii="宋体" w:hAnsi="宋体" w:eastAsia="宋体" w:cs="宋体"/>
                <w:sz w:val="24"/>
                <w:szCs w:val="24"/>
              </w:rPr>
              <w:t>分，扣完为止</w:t>
            </w:r>
            <w:r>
              <w:rPr>
                <w:rFonts w:hint="eastAsia" w:ascii="宋体" w:hAnsi="宋体" w:eastAsia="宋体" w:cs="宋体"/>
                <w:sz w:val="24"/>
                <w:szCs w:val="24"/>
                <w:lang w:eastAsia="zh-CN"/>
              </w:rPr>
              <w:t>。</w:t>
            </w:r>
          </w:p>
        </w:tc>
        <w:tc>
          <w:tcPr>
            <w:tcW w:w="437" w:type="pct"/>
            <w:noWrap w:val="0"/>
            <w:vAlign w:val="center"/>
          </w:tcPr>
          <w:p w14:paraId="36598674">
            <w:pPr>
              <w:pStyle w:val="45"/>
              <w:keepNext w:val="0"/>
              <w:keepLines w:val="0"/>
              <w:pageBreakBefore w:val="0"/>
              <w:suppressLineNumbers w:val="0"/>
              <w:kinsoku/>
              <w:wordWrap/>
              <w:overflowPunct/>
              <w:topLinePunct w:val="0"/>
              <w:autoSpaceDE/>
              <w:autoSpaceDN/>
              <w:bidi w:val="0"/>
              <w:adjustRightInd/>
              <w:snapToGrid/>
              <w:spacing w:before="0" w:beforeAutospacing="0" w:after="0" w:afterAutospacing="0" w:line="460" w:lineRule="exact"/>
              <w:ind w:left="0" w:leftChars="0" w:right="0" w:firstLine="0" w:firstLineChars="0"/>
              <w:jc w:val="center"/>
              <w:textAlignment w:val="auto"/>
              <w:rPr>
                <w:rFonts w:hint="default" w:ascii="宋体" w:hAnsi="宋体" w:eastAsia="宋体" w:cs="宋体"/>
                <w:sz w:val="24"/>
                <w:szCs w:val="24"/>
              </w:rPr>
            </w:pPr>
            <w:r>
              <w:rPr>
                <w:rFonts w:hint="eastAsia" w:ascii="宋体" w:hAnsi="宋体" w:cs="宋体"/>
                <w:color w:val="auto"/>
                <w:sz w:val="24"/>
                <w:lang w:val="en-US" w:eastAsia="zh-CN"/>
              </w:rPr>
              <w:t>客观</w:t>
            </w:r>
          </w:p>
        </w:tc>
        <w:tc>
          <w:tcPr>
            <w:tcW w:w="455" w:type="pct"/>
            <w:vMerge w:val="continue"/>
            <w:noWrap w:val="0"/>
            <w:vAlign w:val="center"/>
          </w:tcPr>
          <w:p w14:paraId="22131B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color w:val="auto"/>
                <w:sz w:val="24"/>
                <w:lang w:val="en-US" w:eastAsia="zh-CN"/>
              </w:rPr>
            </w:pPr>
          </w:p>
        </w:tc>
      </w:tr>
      <w:tr w14:paraId="05807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98" w:type="pct"/>
            <w:noWrap w:val="0"/>
            <w:vAlign w:val="center"/>
          </w:tcPr>
          <w:p w14:paraId="78140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5</w:t>
            </w:r>
          </w:p>
        </w:tc>
        <w:tc>
          <w:tcPr>
            <w:tcW w:w="654" w:type="pct"/>
            <w:noWrap w:val="0"/>
            <w:vAlign w:val="center"/>
          </w:tcPr>
          <w:p w14:paraId="1BE518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现场安全保障与应急预案</w:t>
            </w:r>
          </w:p>
          <w:p w14:paraId="068E0A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（8分）</w:t>
            </w:r>
          </w:p>
        </w:tc>
        <w:tc>
          <w:tcPr>
            <w:tcW w:w="3154" w:type="pct"/>
            <w:noWrap w:val="0"/>
            <w:vAlign w:val="center"/>
          </w:tcPr>
          <w:p w14:paraId="4F057D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现场安全保障与应急预案</w:t>
            </w:r>
            <w:r>
              <w:rPr>
                <w:rFonts w:hint="eastAsia" w:ascii="宋体" w:hAnsi="宋体" w:eastAsia="宋体" w:cs="宋体"/>
                <w:b/>
                <w:bCs/>
                <w:kern w:val="0"/>
                <w:sz w:val="24"/>
                <w:szCs w:val="24"/>
                <w:lang w:val="en-US" w:eastAsia="zh-CN" w:bidi="ar"/>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8</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w:t>
            </w:r>
          </w:p>
          <w:p w14:paraId="3A00CE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覆盖搭建施工、交通出行、食宿、展演现场全场景风险，应急处置流程、人员分工、善后措施完整</w:t>
            </w:r>
            <w:r>
              <w:rPr>
                <w:rFonts w:hint="eastAsia" w:ascii="宋体" w:hAnsi="宋体" w:cs="宋体"/>
                <w:color w:val="auto"/>
                <w:sz w:val="24"/>
                <w:lang w:val="en-US" w:eastAsia="zh-CN"/>
              </w:rPr>
              <w:t>得7-8分</w:t>
            </w:r>
            <w:r>
              <w:rPr>
                <w:rFonts w:hint="eastAsia" w:ascii="宋体" w:hAnsi="宋体" w:eastAsia="宋体" w:cs="宋体"/>
                <w:color w:val="auto"/>
                <w:sz w:val="24"/>
              </w:rPr>
              <w:t>；覆盖项目主要安全风险场景，具备基础应急处置流程，部分细分场景处置措施不够细化</w:t>
            </w:r>
            <w:r>
              <w:rPr>
                <w:rFonts w:hint="eastAsia" w:ascii="宋体" w:hAnsi="宋体" w:cs="宋体"/>
                <w:color w:val="auto"/>
                <w:sz w:val="24"/>
                <w:lang w:val="en-US" w:eastAsia="zh-CN"/>
              </w:rPr>
              <w:t>得4-6分</w:t>
            </w:r>
            <w:r>
              <w:rPr>
                <w:rFonts w:hint="eastAsia" w:ascii="宋体" w:hAnsi="宋体" w:eastAsia="宋体" w:cs="宋体"/>
                <w:color w:val="auto"/>
                <w:sz w:val="24"/>
              </w:rPr>
              <w:t>；仅简单罗列安全注意事项，无分场景专项应急处置方案</w:t>
            </w:r>
            <w:r>
              <w:rPr>
                <w:rFonts w:hint="eastAsia" w:ascii="宋体" w:hAnsi="宋体" w:cs="宋体"/>
                <w:color w:val="auto"/>
                <w:sz w:val="24"/>
                <w:lang w:val="en-US" w:eastAsia="zh-CN"/>
              </w:rPr>
              <w:t>得1-3分</w:t>
            </w:r>
            <w:r>
              <w:rPr>
                <w:rFonts w:hint="eastAsia" w:ascii="宋体" w:hAnsi="宋体" w:eastAsia="宋体" w:cs="宋体"/>
                <w:color w:val="auto"/>
                <w:sz w:val="24"/>
              </w:rPr>
              <w:t>；</w:t>
            </w:r>
            <w:r>
              <w:rPr>
                <w:rFonts w:hint="eastAsia" w:ascii="宋体" w:hAnsi="宋体" w:cs="宋体"/>
                <w:color w:val="auto"/>
                <w:sz w:val="24"/>
                <w:lang w:val="en-US" w:eastAsia="zh-CN"/>
              </w:rPr>
              <w:t>未提供不得分。</w:t>
            </w:r>
          </w:p>
        </w:tc>
        <w:tc>
          <w:tcPr>
            <w:tcW w:w="437" w:type="pct"/>
            <w:noWrap w:val="0"/>
            <w:vAlign w:val="center"/>
          </w:tcPr>
          <w:p w14:paraId="1BDEE0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rPr>
            </w:pPr>
            <w:r>
              <w:rPr>
                <w:rFonts w:hint="eastAsia" w:ascii="宋体" w:hAnsi="宋体" w:cs="宋体"/>
                <w:b w:val="0"/>
                <w:bCs w:val="0"/>
                <w:kern w:val="0"/>
                <w:sz w:val="24"/>
                <w:szCs w:val="24"/>
                <w:lang w:val="en-US" w:eastAsia="zh-CN" w:bidi="ar"/>
              </w:rPr>
              <w:t>主观</w:t>
            </w:r>
          </w:p>
        </w:tc>
        <w:tc>
          <w:tcPr>
            <w:tcW w:w="455" w:type="pct"/>
            <w:noWrap w:val="0"/>
            <w:vAlign w:val="center"/>
          </w:tcPr>
          <w:p w14:paraId="4D8FAD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8分</w:t>
            </w:r>
          </w:p>
        </w:tc>
      </w:tr>
      <w:tr w14:paraId="6757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98" w:type="pct"/>
            <w:noWrap w:val="0"/>
            <w:vAlign w:val="center"/>
          </w:tcPr>
          <w:p w14:paraId="0AB4C0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6</w:t>
            </w:r>
          </w:p>
        </w:tc>
        <w:tc>
          <w:tcPr>
            <w:tcW w:w="654" w:type="pct"/>
            <w:noWrap w:val="0"/>
            <w:vAlign w:val="center"/>
          </w:tcPr>
          <w:p w14:paraId="7E523D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工期保障与交付承诺</w:t>
            </w:r>
          </w:p>
          <w:p w14:paraId="0B0A44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cs="宋体"/>
                <w:b/>
                <w:bCs/>
                <w:kern w:val="0"/>
                <w:sz w:val="24"/>
                <w:szCs w:val="24"/>
                <w:lang w:val="en-US" w:eastAsia="zh-CN" w:bidi="ar"/>
              </w:rPr>
            </w:pPr>
            <w:r>
              <w:rPr>
                <w:rFonts w:hint="eastAsia" w:ascii="宋体" w:hAnsi="宋体" w:cs="宋体"/>
                <w:b/>
                <w:bCs/>
                <w:color w:val="auto"/>
                <w:sz w:val="24"/>
                <w:lang w:val="en-US" w:eastAsia="zh-CN"/>
              </w:rPr>
              <w:t>（6分）</w:t>
            </w:r>
          </w:p>
        </w:tc>
        <w:tc>
          <w:tcPr>
            <w:tcW w:w="3154" w:type="pct"/>
            <w:noWrap w:val="0"/>
            <w:vAlign w:val="center"/>
          </w:tcPr>
          <w:p w14:paraId="6DD84B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工期保障与交付承诺</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w:t>
            </w:r>
            <w:r>
              <w:rPr>
                <w:rFonts w:hint="eastAsia" w:ascii="宋体" w:hAnsi="宋体" w:cs="宋体"/>
                <w:color w:val="auto"/>
                <w:sz w:val="24"/>
                <w:lang w:val="en-US" w:eastAsia="zh-CN"/>
              </w:rPr>
              <w:t>量化</w:t>
            </w:r>
            <w:r>
              <w:rPr>
                <w:rFonts w:hint="eastAsia" w:ascii="宋体" w:hAnsi="宋体" w:eastAsia="宋体" w:cs="宋体"/>
                <w:color w:val="auto"/>
                <w:sz w:val="24"/>
              </w:rPr>
              <w:t>内容：各环节工期节点清晰，配套延期赔付、提前完工优化、进度纠偏等多重保障措施</w:t>
            </w:r>
            <w:r>
              <w:rPr>
                <w:rFonts w:hint="eastAsia" w:ascii="宋体" w:hAnsi="宋体" w:cs="宋体"/>
                <w:color w:val="auto"/>
                <w:sz w:val="24"/>
                <w:lang w:val="en-US" w:eastAsia="zh-CN"/>
              </w:rPr>
              <w:t>得5-6分</w:t>
            </w:r>
            <w:r>
              <w:rPr>
                <w:rFonts w:hint="eastAsia" w:ascii="宋体" w:hAnsi="宋体" w:eastAsia="宋体" w:cs="宋体"/>
                <w:color w:val="auto"/>
                <w:sz w:val="24"/>
              </w:rPr>
              <w:t>；明确各服务阶段交付时限，具备基础工期延误补救措施</w:t>
            </w:r>
            <w:r>
              <w:rPr>
                <w:rFonts w:hint="eastAsia" w:ascii="宋体" w:hAnsi="宋体" w:cs="宋体"/>
                <w:color w:val="auto"/>
                <w:sz w:val="24"/>
                <w:lang w:val="en-US" w:eastAsia="zh-CN"/>
              </w:rPr>
              <w:t>得3-4分</w:t>
            </w:r>
            <w:r>
              <w:rPr>
                <w:rFonts w:hint="eastAsia" w:ascii="宋体" w:hAnsi="宋体" w:eastAsia="宋体" w:cs="宋体"/>
                <w:color w:val="auto"/>
                <w:sz w:val="24"/>
              </w:rPr>
              <w:t>；工期时限表述模糊，无有效的进度管控与违约保障措施</w:t>
            </w:r>
            <w:r>
              <w:rPr>
                <w:rFonts w:hint="eastAsia" w:ascii="宋体" w:hAnsi="宋体" w:cs="宋体"/>
                <w:color w:val="auto"/>
                <w:sz w:val="24"/>
                <w:lang w:val="en-US" w:eastAsia="zh-CN"/>
              </w:rPr>
              <w:t>得1-2分</w:t>
            </w:r>
            <w:r>
              <w:rPr>
                <w:rFonts w:hint="eastAsia" w:ascii="宋体" w:hAnsi="宋体" w:eastAsia="宋体" w:cs="宋体"/>
                <w:color w:val="auto"/>
                <w:sz w:val="24"/>
              </w:rPr>
              <w:t>；</w:t>
            </w:r>
            <w:r>
              <w:rPr>
                <w:rFonts w:hint="eastAsia" w:ascii="宋体" w:hAnsi="宋体" w:cs="宋体"/>
                <w:color w:val="auto"/>
                <w:sz w:val="24"/>
                <w:lang w:val="en-US" w:eastAsia="zh-CN"/>
              </w:rPr>
              <w:t>未提供不得分。</w:t>
            </w:r>
          </w:p>
        </w:tc>
        <w:tc>
          <w:tcPr>
            <w:tcW w:w="437" w:type="pct"/>
            <w:noWrap w:val="0"/>
            <w:vAlign w:val="center"/>
          </w:tcPr>
          <w:p w14:paraId="12167D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cs="宋体"/>
                <w:b w:val="0"/>
                <w:bCs w:val="0"/>
                <w:kern w:val="0"/>
                <w:sz w:val="24"/>
                <w:szCs w:val="24"/>
                <w:lang w:val="en-US" w:eastAsia="zh-CN" w:bidi="ar"/>
              </w:rPr>
              <w:t>主观</w:t>
            </w:r>
          </w:p>
        </w:tc>
        <w:tc>
          <w:tcPr>
            <w:tcW w:w="455" w:type="pct"/>
            <w:noWrap w:val="0"/>
            <w:vAlign w:val="center"/>
          </w:tcPr>
          <w:p w14:paraId="512FDE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6分</w:t>
            </w:r>
          </w:p>
        </w:tc>
      </w:tr>
      <w:tr w14:paraId="0EF1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98" w:type="pct"/>
            <w:noWrap w:val="0"/>
            <w:vAlign w:val="center"/>
          </w:tcPr>
          <w:p w14:paraId="65E510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7</w:t>
            </w:r>
          </w:p>
        </w:tc>
        <w:tc>
          <w:tcPr>
            <w:tcW w:w="654" w:type="pct"/>
            <w:noWrap w:val="0"/>
            <w:vAlign w:val="center"/>
          </w:tcPr>
          <w:p w14:paraId="63695A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技能展演配套增值服务</w:t>
            </w:r>
          </w:p>
          <w:p w14:paraId="55186F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（6分）</w:t>
            </w:r>
          </w:p>
        </w:tc>
        <w:tc>
          <w:tcPr>
            <w:tcW w:w="3154" w:type="pct"/>
            <w:noWrap w:val="0"/>
            <w:vAlign w:val="center"/>
          </w:tcPr>
          <w:p w14:paraId="323CE5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技能展演配套增值服务</w:t>
            </w:r>
            <w:r>
              <w:rPr>
                <w:rFonts w:hint="eastAsia" w:ascii="宋体" w:hAnsi="宋体" w:cs="宋体"/>
                <w:b/>
                <w:bCs/>
                <w:color w:val="auto"/>
                <w:sz w:val="24"/>
                <w:lang w:val="en-US" w:eastAsia="zh-CN"/>
              </w:rPr>
              <w:t>（6分）：</w:t>
            </w:r>
            <w:r>
              <w:rPr>
                <w:rFonts w:hint="eastAsia" w:ascii="宋体" w:hAnsi="宋体" w:eastAsia="宋体" w:cs="宋体"/>
                <w:b/>
                <w:bCs/>
                <w:color w:val="auto"/>
                <w:sz w:val="24"/>
                <w:lang w:val="en-US" w:eastAsia="zh-CN"/>
              </w:rPr>
              <w:t xml:space="preserve"> </w:t>
            </w:r>
          </w:p>
          <w:p w14:paraId="23E4B6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配套增值服务种类</w:t>
            </w:r>
            <w:r>
              <w:rPr>
                <w:rFonts w:hint="eastAsia" w:ascii="宋体" w:hAnsi="宋体" w:cs="宋体"/>
                <w:color w:val="auto"/>
                <w:sz w:val="24"/>
                <w:lang w:val="en-US" w:eastAsia="zh-CN"/>
              </w:rPr>
              <w:t>≥3个</w:t>
            </w:r>
            <w:r>
              <w:rPr>
                <w:rFonts w:hint="eastAsia" w:ascii="宋体" w:hAnsi="宋体" w:eastAsia="宋体" w:cs="宋体"/>
                <w:color w:val="auto"/>
                <w:sz w:val="24"/>
              </w:rPr>
              <w:t>，可有效助力大赛宣传展示，贴合本次技能展演推广需求</w:t>
            </w:r>
            <w:r>
              <w:rPr>
                <w:rFonts w:hint="eastAsia" w:ascii="宋体" w:hAnsi="宋体" w:cs="宋体"/>
                <w:color w:val="auto"/>
                <w:sz w:val="24"/>
                <w:lang w:val="en-US" w:eastAsia="zh-CN"/>
              </w:rPr>
              <w:t>得6分</w:t>
            </w:r>
            <w:r>
              <w:rPr>
                <w:rFonts w:hint="eastAsia" w:ascii="宋体" w:hAnsi="宋体" w:eastAsia="宋体" w:cs="宋体"/>
                <w:color w:val="auto"/>
                <w:sz w:val="24"/>
              </w:rPr>
              <w:t>；</w:t>
            </w:r>
            <w:r>
              <w:rPr>
                <w:rFonts w:hint="eastAsia" w:ascii="宋体" w:hAnsi="宋体" w:cs="宋体"/>
                <w:color w:val="auto"/>
                <w:sz w:val="24"/>
                <w:lang w:val="en-US" w:eastAsia="zh-CN"/>
              </w:rPr>
              <w:t>可</w:t>
            </w:r>
            <w:r>
              <w:rPr>
                <w:rFonts w:hint="eastAsia" w:ascii="宋体" w:hAnsi="宋体" w:eastAsia="宋体" w:cs="宋体"/>
                <w:color w:val="auto"/>
                <w:sz w:val="24"/>
              </w:rPr>
              <w:t>提供2项实用增值配套服务，能够满足赛事基础宣传配套需要</w:t>
            </w:r>
            <w:r>
              <w:rPr>
                <w:rFonts w:hint="eastAsia" w:ascii="宋体" w:hAnsi="宋体" w:cs="宋体"/>
                <w:color w:val="auto"/>
                <w:sz w:val="24"/>
                <w:lang w:val="en-US" w:eastAsia="zh-CN"/>
              </w:rPr>
              <w:t>得4分</w:t>
            </w:r>
            <w:r>
              <w:rPr>
                <w:rFonts w:hint="eastAsia" w:ascii="宋体" w:hAnsi="宋体" w:eastAsia="宋体" w:cs="宋体"/>
                <w:color w:val="auto"/>
                <w:sz w:val="24"/>
              </w:rPr>
              <w:t>；</w:t>
            </w:r>
            <w:r>
              <w:rPr>
                <w:rFonts w:hint="eastAsia" w:ascii="宋体" w:hAnsi="宋体" w:cs="宋体"/>
                <w:color w:val="auto"/>
                <w:sz w:val="24"/>
                <w:lang w:val="en-US" w:eastAsia="zh-CN"/>
              </w:rPr>
              <w:t>可</w:t>
            </w:r>
            <w:r>
              <w:rPr>
                <w:rFonts w:hint="eastAsia" w:ascii="宋体" w:hAnsi="宋体" w:eastAsia="宋体" w:cs="宋体"/>
                <w:color w:val="auto"/>
                <w:sz w:val="24"/>
              </w:rPr>
              <w:t>提供</w:t>
            </w:r>
            <w:r>
              <w:rPr>
                <w:rFonts w:hint="eastAsia" w:ascii="宋体" w:hAnsi="宋体" w:cs="宋体"/>
                <w:color w:val="auto"/>
                <w:sz w:val="24"/>
                <w:lang w:val="en-US" w:eastAsia="zh-CN"/>
              </w:rPr>
              <w:t>1</w:t>
            </w:r>
            <w:r>
              <w:rPr>
                <w:rFonts w:hint="eastAsia" w:ascii="宋体" w:hAnsi="宋体" w:eastAsia="宋体" w:cs="宋体"/>
                <w:color w:val="auto"/>
                <w:sz w:val="24"/>
              </w:rPr>
              <w:t>项实用增值配套服务，能够满足赛事基础宣传配套需要</w:t>
            </w:r>
            <w:r>
              <w:rPr>
                <w:rFonts w:hint="eastAsia" w:ascii="宋体" w:hAnsi="宋体" w:cs="宋体"/>
                <w:color w:val="auto"/>
                <w:sz w:val="24"/>
                <w:lang w:val="en-US" w:eastAsia="zh-CN"/>
              </w:rPr>
              <w:t>得2分</w:t>
            </w:r>
            <w:r>
              <w:rPr>
                <w:rFonts w:hint="eastAsia" w:ascii="宋体" w:hAnsi="宋体" w:eastAsia="宋体" w:cs="宋体"/>
                <w:color w:val="auto"/>
                <w:sz w:val="24"/>
              </w:rPr>
              <w:t>；无增值</w:t>
            </w:r>
            <w:r>
              <w:rPr>
                <w:rFonts w:hint="eastAsia" w:ascii="宋体" w:hAnsi="宋体" w:cs="宋体"/>
                <w:color w:val="auto"/>
                <w:sz w:val="24"/>
                <w:lang w:val="en-US" w:eastAsia="zh-CN"/>
              </w:rPr>
              <w:t>服务</w:t>
            </w:r>
            <w:r>
              <w:rPr>
                <w:rFonts w:hint="eastAsia" w:ascii="宋体" w:hAnsi="宋体" w:eastAsia="宋体" w:cs="宋体"/>
                <w:color w:val="auto"/>
                <w:sz w:val="24"/>
              </w:rPr>
              <w:t>内容得</w:t>
            </w:r>
            <w:r>
              <w:rPr>
                <w:rFonts w:hint="eastAsia" w:ascii="宋体" w:hAnsi="宋体" w:cs="宋体"/>
                <w:color w:val="auto"/>
                <w:sz w:val="24"/>
                <w:lang w:val="en-US" w:eastAsia="zh-CN"/>
              </w:rPr>
              <w:t>0</w:t>
            </w:r>
            <w:r>
              <w:rPr>
                <w:rFonts w:hint="eastAsia" w:ascii="宋体" w:hAnsi="宋体" w:eastAsia="宋体" w:cs="宋体"/>
                <w:color w:val="auto"/>
                <w:sz w:val="24"/>
              </w:rPr>
              <w:t>分</w:t>
            </w:r>
            <w:r>
              <w:rPr>
                <w:rFonts w:hint="eastAsia" w:ascii="宋体" w:hAnsi="宋体" w:cs="宋体"/>
                <w:color w:val="auto"/>
                <w:sz w:val="24"/>
                <w:lang w:val="en-US" w:eastAsia="zh-CN"/>
              </w:rPr>
              <w:t>。</w:t>
            </w:r>
          </w:p>
        </w:tc>
        <w:tc>
          <w:tcPr>
            <w:tcW w:w="437" w:type="pct"/>
            <w:noWrap w:val="0"/>
            <w:vAlign w:val="center"/>
          </w:tcPr>
          <w:p w14:paraId="48CE55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客观</w:t>
            </w:r>
          </w:p>
        </w:tc>
        <w:tc>
          <w:tcPr>
            <w:tcW w:w="455" w:type="pct"/>
            <w:noWrap w:val="0"/>
            <w:vAlign w:val="center"/>
          </w:tcPr>
          <w:p w14:paraId="01A8B3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6分</w:t>
            </w:r>
          </w:p>
        </w:tc>
      </w:tr>
      <w:tr w14:paraId="7337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98" w:type="pct"/>
            <w:noWrap w:val="0"/>
            <w:vAlign w:val="center"/>
          </w:tcPr>
          <w:p w14:paraId="46EF11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8</w:t>
            </w:r>
          </w:p>
        </w:tc>
        <w:tc>
          <w:tcPr>
            <w:tcW w:w="654" w:type="pct"/>
            <w:noWrap w:val="0"/>
            <w:vAlign w:val="center"/>
          </w:tcPr>
          <w:p w14:paraId="7C7E87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业绩</w:t>
            </w:r>
          </w:p>
          <w:p w14:paraId="772185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rPr>
              <w:t>（</w:t>
            </w:r>
            <w:r>
              <w:rPr>
                <w:rFonts w:hint="eastAsia" w:ascii="宋体" w:hAnsi="宋体" w:cs="宋体"/>
                <w:b/>
                <w:bCs/>
                <w:color w:val="auto"/>
                <w:sz w:val="24"/>
                <w:lang w:val="en-US" w:eastAsia="zh-CN"/>
              </w:rPr>
              <w:t>9</w:t>
            </w:r>
            <w:r>
              <w:rPr>
                <w:rFonts w:hint="eastAsia" w:ascii="宋体" w:hAnsi="宋体" w:eastAsia="宋体" w:cs="宋体"/>
                <w:b/>
                <w:bCs/>
                <w:color w:val="auto"/>
                <w:sz w:val="24"/>
              </w:rPr>
              <w:t>分）</w:t>
            </w:r>
          </w:p>
        </w:tc>
        <w:tc>
          <w:tcPr>
            <w:tcW w:w="3154" w:type="pct"/>
            <w:noWrap w:val="0"/>
            <w:vAlign w:val="center"/>
          </w:tcPr>
          <w:p w14:paraId="3BDE9E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rPr>
              <w:t>业绩：</w:t>
            </w:r>
            <w:r>
              <w:rPr>
                <w:rFonts w:hint="eastAsia" w:ascii="宋体" w:hAnsi="宋体" w:eastAsia="宋体" w:cs="宋体"/>
                <w:b w:val="0"/>
                <w:bCs w:val="0"/>
                <w:color w:val="auto"/>
                <w:sz w:val="24"/>
                <w:highlight w:val="none"/>
              </w:rPr>
              <w:t>提供202</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8</w:t>
            </w:r>
            <w:r>
              <w:rPr>
                <w:rFonts w:hint="eastAsia" w:ascii="宋体" w:hAnsi="宋体" w:eastAsia="宋体" w:cs="宋体"/>
                <w:b w:val="0"/>
                <w:bCs w:val="0"/>
                <w:color w:val="auto"/>
                <w:sz w:val="24"/>
                <w:highlight w:val="none"/>
                <w:lang w:val="en-US" w:eastAsia="zh-CN"/>
              </w:rPr>
              <w:t>月</w:t>
            </w:r>
            <w:r>
              <w:rPr>
                <w:rFonts w:hint="eastAsia" w:ascii="宋体" w:hAnsi="宋体" w:eastAsia="宋体" w:cs="宋体"/>
                <w:b w:val="0"/>
                <w:bCs w:val="0"/>
                <w:color w:val="auto"/>
                <w:sz w:val="24"/>
                <w:highlight w:val="none"/>
              </w:rPr>
              <w:t>至今类似项目</w:t>
            </w:r>
            <w:r>
              <w:rPr>
                <w:rFonts w:hint="eastAsia" w:ascii="宋体" w:hAnsi="宋体" w:eastAsia="宋体" w:cs="宋体"/>
                <w:b w:val="0"/>
                <w:bCs w:val="0"/>
                <w:color w:val="auto"/>
                <w:sz w:val="24"/>
                <w:highlight w:val="none"/>
                <w:lang w:val="en-US" w:eastAsia="zh-CN"/>
              </w:rPr>
              <w:t>业绩</w:t>
            </w:r>
            <w:r>
              <w:rPr>
                <w:rFonts w:hint="eastAsia" w:ascii="宋体" w:hAnsi="宋体" w:eastAsia="宋体" w:cs="宋体"/>
                <w:b w:val="0"/>
                <w:bCs w:val="0"/>
                <w:color w:val="auto"/>
                <w:sz w:val="24"/>
                <w:highlight w:val="none"/>
              </w:rPr>
              <w:t>合同，每提供1份得</w:t>
            </w:r>
            <w:r>
              <w:rPr>
                <w:rFonts w:hint="eastAsia" w:ascii="宋体" w:hAnsi="宋体" w:cs="宋体"/>
                <w:b w:val="0"/>
                <w:bCs w:val="0"/>
                <w:color w:val="auto"/>
                <w:sz w:val="24"/>
                <w:highlight w:val="none"/>
                <w:lang w:val="en-US" w:eastAsia="zh-CN"/>
              </w:rPr>
              <w:t>3分</w:t>
            </w:r>
            <w:r>
              <w:rPr>
                <w:rFonts w:hint="eastAsia" w:ascii="宋体" w:hAnsi="宋体" w:eastAsia="宋体" w:cs="宋体"/>
                <w:b w:val="0"/>
                <w:bCs w:val="0"/>
                <w:color w:val="auto"/>
                <w:sz w:val="24"/>
                <w:highlight w:val="none"/>
              </w:rPr>
              <w:t>，最高得</w:t>
            </w:r>
            <w:r>
              <w:rPr>
                <w:rFonts w:hint="eastAsia" w:ascii="宋体" w:hAnsi="宋体" w:cs="宋体"/>
                <w:b w:val="0"/>
                <w:bCs w:val="0"/>
                <w:color w:val="auto"/>
                <w:sz w:val="24"/>
                <w:highlight w:val="none"/>
                <w:lang w:val="en-US" w:eastAsia="zh-CN"/>
              </w:rPr>
              <w:t>9</w:t>
            </w:r>
            <w:r>
              <w:rPr>
                <w:rFonts w:hint="eastAsia" w:ascii="宋体" w:hAnsi="宋体" w:eastAsia="宋体" w:cs="宋体"/>
                <w:b w:val="0"/>
                <w:bCs w:val="0"/>
                <w:color w:val="auto"/>
                <w:sz w:val="24"/>
                <w:highlight w:val="none"/>
              </w:rPr>
              <w:t>分</w:t>
            </w:r>
            <w:r>
              <w:rPr>
                <w:rFonts w:hint="eastAsia" w:ascii="宋体" w:hAnsi="宋体" w:eastAsia="宋体" w:cs="宋体"/>
                <w:color w:val="auto"/>
                <w:sz w:val="24"/>
                <w:szCs w:val="24"/>
              </w:rPr>
              <w:t>（</w:t>
            </w:r>
            <w:r>
              <w:rPr>
                <w:rFonts w:hint="eastAsia" w:ascii="宋体" w:hAnsi="宋体" w:eastAsia="宋体" w:cs="宋体"/>
                <w:color w:val="auto"/>
                <w:sz w:val="24"/>
                <w:highlight w:val="none"/>
                <w:lang w:val="en-US" w:eastAsia="zh-CN"/>
              </w:rPr>
              <w:t>以合同签订日期为准，所有内容应清晰可辨，否则不予认可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437" w:type="pct"/>
            <w:noWrap w:val="0"/>
            <w:vAlign w:val="center"/>
          </w:tcPr>
          <w:p w14:paraId="59D637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客观</w:t>
            </w:r>
          </w:p>
        </w:tc>
        <w:tc>
          <w:tcPr>
            <w:tcW w:w="455" w:type="pct"/>
            <w:noWrap w:val="0"/>
            <w:vAlign w:val="center"/>
          </w:tcPr>
          <w:p w14:paraId="0AB7A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9分</w:t>
            </w:r>
          </w:p>
        </w:tc>
      </w:tr>
    </w:tbl>
    <w:p w14:paraId="31D46DE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5D841381">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09DB79F4">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cs="宋体"/>
          <w:bCs/>
          <w:color w:val="auto"/>
          <w:sz w:val="24"/>
          <w:szCs w:val="24"/>
          <w:lang w:eastAsia="zh-CN"/>
        </w:rPr>
        <w:t>。</w:t>
      </w:r>
    </w:p>
    <w:p w14:paraId="072865B7">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r>
        <w:rPr>
          <w:rFonts w:hint="eastAsia" w:ascii="宋体" w:hAnsi="宋体" w:cs="宋体"/>
          <w:bCs/>
          <w:color w:val="auto"/>
          <w:sz w:val="24"/>
          <w:szCs w:val="24"/>
          <w:lang w:eastAsia="zh-CN"/>
        </w:rPr>
        <w:t>。</w:t>
      </w:r>
    </w:p>
    <w:p w14:paraId="2B954B81">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r>
        <w:rPr>
          <w:rFonts w:hint="eastAsia" w:ascii="宋体" w:hAnsi="宋体" w:cs="宋体"/>
          <w:bCs/>
          <w:color w:val="auto"/>
          <w:sz w:val="24"/>
          <w:szCs w:val="24"/>
          <w:lang w:eastAsia="zh-CN"/>
        </w:rPr>
        <w:t>。</w:t>
      </w:r>
    </w:p>
    <w:p w14:paraId="2140BD9A">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D867E97">
      <w:pPr>
        <w:keepNext w:val="0"/>
        <w:keepLines w:val="0"/>
        <w:pageBreakBefore w:val="0"/>
        <w:widowControl w:val="0"/>
        <w:kinsoku/>
        <w:wordWrap/>
        <w:overflowPunct/>
        <w:topLinePunct w:val="0"/>
        <w:autoSpaceDE/>
        <w:autoSpaceDN/>
        <w:bidi w:val="0"/>
        <w:adjustRightInd/>
        <w:snapToGrid/>
        <w:spacing w:line="48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eastAsia="宋体" w:cs="宋体"/>
          <w:bCs/>
          <w:color w:val="auto"/>
          <w:sz w:val="24"/>
          <w:szCs w:val="24"/>
        </w:rPr>
        <w:t>满足</w:t>
      </w:r>
      <w:r>
        <w:rPr>
          <w:rFonts w:hint="eastAsia" w:ascii="宋体" w:hAnsi="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41"/>
    <w:p w14:paraId="6B57592E">
      <w:pPr>
        <w:pStyle w:val="2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jc w:val="center"/>
        <w:textAlignment w:val="auto"/>
        <w:outlineLvl w:val="0"/>
        <w:rPr>
          <w:rFonts w:hint="eastAsia"/>
          <w:color w:val="auto"/>
          <w:sz w:val="36"/>
          <w:lang w:val="en-US" w:eastAsia="zh-CN"/>
        </w:rPr>
        <w:sectPr>
          <w:pgSz w:w="11906" w:h="16838"/>
          <w:pgMar w:top="1417" w:right="1417" w:bottom="1417" w:left="1417" w:header="1134" w:footer="1191" w:gutter="0"/>
          <w:pgNumType w:fmt="decimal"/>
          <w:cols w:space="0" w:num="1"/>
          <w:titlePg/>
          <w:rtlGutter w:val="0"/>
          <w:docGrid w:type="lines" w:linePitch="333" w:charSpace="0"/>
        </w:sectPr>
      </w:pPr>
      <w:bookmarkStart w:id="42" w:name="_Toc6835"/>
      <w:bookmarkStart w:id="43" w:name="_Toc15647"/>
    </w:p>
    <w:p w14:paraId="6D225A27">
      <w:pPr>
        <w:pStyle w:val="22"/>
        <w:keepNext w:val="0"/>
        <w:keepLines w:val="0"/>
        <w:pageBreakBefore w:val="0"/>
        <w:widowControl w:val="0"/>
        <w:numPr>
          <w:ilvl w:val="0"/>
          <w:numId w:val="0"/>
        </w:numPr>
        <w:kinsoku/>
        <w:wordWrap/>
        <w:overflowPunct/>
        <w:topLinePunct w:val="0"/>
        <w:autoSpaceDE/>
        <w:autoSpaceDN/>
        <w:bidi w:val="0"/>
        <w:adjustRightInd/>
        <w:snapToGrid/>
        <w:spacing w:before="168" w:beforeLines="50" w:after="168" w:afterLines="50" w:line="420" w:lineRule="exact"/>
        <w:jc w:val="center"/>
        <w:textAlignment w:val="auto"/>
        <w:outlineLvl w:val="0"/>
        <w:rPr>
          <w:rFonts w:hint="eastAsia" w:eastAsia="宋体"/>
          <w:color w:val="auto"/>
          <w:sz w:val="36"/>
          <w:highlight w:val="none"/>
        </w:rPr>
      </w:pPr>
      <w:bookmarkStart w:id="44" w:name="_Toc1603"/>
      <w:r>
        <w:rPr>
          <w:rFonts w:hint="eastAsia"/>
          <w:color w:val="auto"/>
          <w:sz w:val="36"/>
          <w:highlight w:val="none"/>
          <w:lang w:val="en-US" w:eastAsia="zh-CN"/>
        </w:rPr>
        <w:t xml:space="preserve">第五部分  </w:t>
      </w:r>
      <w:r>
        <w:rPr>
          <w:rFonts w:hint="eastAsia" w:eastAsia="宋体"/>
          <w:color w:val="auto"/>
          <w:sz w:val="36"/>
          <w:highlight w:val="none"/>
        </w:rPr>
        <w:t>采购内容及</w:t>
      </w:r>
      <w:r>
        <w:rPr>
          <w:rFonts w:hint="eastAsia" w:eastAsia="宋体"/>
          <w:color w:val="auto"/>
          <w:sz w:val="36"/>
          <w:highlight w:val="none"/>
          <w:lang w:eastAsia="zh-CN"/>
        </w:rPr>
        <w:t>要求</w:t>
      </w:r>
      <w:bookmarkEnd w:id="44"/>
    </w:p>
    <w:p w14:paraId="48F3E05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一、项目概况</w:t>
      </w:r>
    </w:p>
    <w:p w14:paraId="08FB8892">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本项目为陕西省 2026 职业技能大赛安康市展馆展示、绝技绝活技能表演配套综合服务，服务实施地点为榆林。供应商需一体化完成展演宣传视频摄制、赛事展馆搭建布展、展演团队工作人员8人交通统筹、市人社局工作人员3人食宿保障、县区人社部门领队4人食宿保障及意外保险办理全流程配套服务，严格按照本项目人员规模、驻场时长、配套标准落实全部服务工作。</w:t>
      </w:r>
    </w:p>
    <w:p w14:paraId="4CBEFE34">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二、采购服务内容及实施标准</w:t>
      </w:r>
    </w:p>
    <w:p w14:paraId="065128CF">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（一）4 个展演项目宣传视频摄制服务</w:t>
      </w:r>
    </w:p>
    <w:p w14:paraId="0E384993">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服务内容：针对安康市 4 项绝技绝活展演项目，提供整套宣传视频制作服务，包含前期脚本策划、现场多机位拍摄、素材整理、后期剪辑包装、配音字幕制作、高清成片输出、原始素材归档留存等全链条工作。</w:t>
      </w:r>
    </w:p>
    <w:p w14:paraId="02A5512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交付标准：完成全部视频成片交付，</w:t>
      </w:r>
      <w:r>
        <w:rPr>
          <w:rFonts w:hint="eastAsia" w:ascii="Times New Roman" w:hAnsi="宋体" w:cs="Times New Roman"/>
          <w:color w:val="auto"/>
          <w:sz w:val="24"/>
          <w:szCs w:val="24"/>
          <w:highlight w:val="none"/>
          <w:lang w:eastAsia="zh-CN"/>
        </w:rPr>
        <w:t>视频不低于</w:t>
      </w:r>
      <w:r>
        <w:rPr>
          <w:rFonts w:hint="eastAsia" w:ascii="Times New Roman" w:hAnsi="宋体" w:cs="Times New Roman"/>
          <w:color w:val="auto"/>
          <w:sz w:val="24"/>
          <w:szCs w:val="24"/>
          <w:highlight w:val="none"/>
          <w:lang w:val="en-US" w:eastAsia="zh-CN"/>
        </w:rPr>
        <w:t>5分钟，</w:t>
      </w:r>
      <w:r>
        <w:rPr>
          <w:rFonts w:hint="eastAsia" w:ascii="Times New Roman" w:hAnsi="宋体" w:cs="Times New Roman"/>
          <w:color w:val="auto"/>
          <w:sz w:val="24"/>
          <w:szCs w:val="24"/>
          <w:highlight w:val="none"/>
        </w:rPr>
        <w:t>同步提供成片文件、工程源文件、高清原始拍摄素材，满足大赛线上推广、线下展馆播放使用需求。</w:t>
      </w:r>
    </w:p>
    <w:p w14:paraId="5DFDFC9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实施要求：结合各绝技绝活项目特色、安康技能产业亮点进行定制化创作，分阶段向采购人同步拍摄、剪辑进度，根据采购人合理意见完成调整优化。</w:t>
      </w:r>
    </w:p>
    <w:p w14:paraId="5B9F259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4.具体要求：宣传片时长不低于5分钟（一个完整的宣传片）；拍摄内容：金丝羊肉饼、木质版画制作、牛王生漆髹漆技艺、编丝及蚕丝工艺品展示；拍摄分辨率：4k 3840×2160 ；拍摄码流15mb/s（比特率）；拍摄帧数60帧；后期成片制式  1080p和4k  60帧。</w:t>
      </w:r>
    </w:p>
    <w:p w14:paraId="4ADF048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（二）大赛展馆搭建布展服务</w:t>
      </w:r>
    </w:p>
    <w:p w14:paraId="22E6A48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服务内容：负责安康市技能展演专属展区整体规划设计、展台主体搭建、展区功能分区、水电线路布设、现场安全防护设施安装、施工管理、赛后拆除及场地垃圾清运等全部工作。</w:t>
      </w:r>
    </w:p>
    <w:p w14:paraId="5F755E1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工期要求：配合赛事整体周期完成进场施工、设备调试、展陈布置，分阶段制定每日施工计划，预留充足点位用于绝技绝活现场展演设备摆放。</w:t>
      </w:r>
    </w:p>
    <w:p w14:paraId="3C9FE45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安全标准：搭建用材、施工工艺、用电布局均符合场馆消防安全及现场管理规范，做好展台加固、防滑、防护隔离等安全措施。</w:t>
      </w:r>
    </w:p>
    <w:p w14:paraId="79631E4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（三）往返交通统筹服务</w:t>
      </w:r>
    </w:p>
    <w:p w14:paraId="4D1555D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服务覆盖人群：4 个项目</w:t>
      </w:r>
      <w:r>
        <w:rPr>
          <w:rFonts w:hint="eastAsia" w:ascii="Times New Roman" w:hAnsi="宋体" w:cs="Times New Roman"/>
          <w:color w:val="auto"/>
          <w:sz w:val="24"/>
          <w:szCs w:val="24"/>
          <w:highlight w:val="none"/>
          <w:lang w:val="en-US" w:eastAsia="zh-CN"/>
        </w:rPr>
        <w:t>8名</w:t>
      </w:r>
      <w:r>
        <w:rPr>
          <w:rFonts w:hint="eastAsia" w:ascii="Times New Roman" w:hAnsi="宋体" w:cs="Times New Roman"/>
          <w:color w:val="auto"/>
          <w:sz w:val="24"/>
          <w:szCs w:val="24"/>
          <w:highlight w:val="none"/>
        </w:rPr>
        <w:t>展演人员、</w:t>
      </w:r>
      <w:r>
        <w:rPr>
          <w:rFonts w:hint="eastAsia" w:ascii="Times New Roman" w:hAnsi="宋体" w:cs="Times New Roman"/>
          <w:color w:val="auto"/>
          <w:sz w:val="24"/>
          <w:szCs w:val="24"/>
          <w:highlight w:val="none"/>
          <w:lang w:eastAsia="zh-CN"/>
        </w:rPr>
        <w:t>市人社局</w:t>
      </w:r>
      <w:r>
        <w:rPr>
          <w:rFonts w:hint="eastAsia" w:ascii="Times New Roman" w:hAnsi="宋体" w:cs="Times New Roman"/>
          <w:color w:val="auto"/>
          <w:sz w:val="24"/>
          <w:szCs w:val="24"/>
          <w:highlight w:val="none"/>
        </w:rPr>
        <w:t>工作人员、各县区人社领队三类全部人员。</w:t>
      </w:r>
    </w:p>
    <w:p w14:paraId="619B38E3">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车辆配置及出行安排：配置专用中巴车辆负责机场与赛事场地往返接送；服务全程配备固定商务车辆用于市内日常通勤；根据不同人员出行批次、往返时段分批次规划出行方案。</w:t>
      </w:r>
    </w:p>
    <w:p w14:paraId="7CFD0C2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保障要求：分类制定人员出行计划表，配备备用应急车辆，建立行车安全管理机制，安排专人随车做好行程对接，保障全体人员出行顺畅。</w:t>
      </w:r>
    </w:p>
    <w:p w14:paraId="5F46C2A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（四）人员住宿、餐饮保障服务</w:t>
      </w:r>
    </w:p>
    <w:p w14:paraId="3B226B9C">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1.统一按指定食宿标准安排，区分不同人员驻场时长差异化保障：</w:t>
      </w:r>
    </w:p>
    <w:p w14:paraId="37CFF1CF">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住宿安排：（1）展演人员8人，住宿时长5天；（2）</w:t>
      </w:r>
      <w:r>
        <w:rPr>
          <w:rFonts w:hint="eastAsia" w:ascii="Times New Roman" w:hAnsi="宋体" w:cs="Times New Roman"/>
          <w:color w:val="auto"/>
          <w:sz w:val="24"/>
          <w:szCs w:val="24"/>
          <w:highlight w:val="none"/>
          <w:lang w:eastAsia="zh-CN"/>
        </w:rPr>
        <w:t>市人社局</w:t>
      </w:r>
      <w:r>
        <w:rPr>
          <w:rFonts w:hint="eastAsia" w:ascii="Times New Roman" w:hAnsi="宋体" w:cs="Times New Roman"/>
          <w:color w:val="auto"/>
          <w:sz w:val="24"/>
          <w:szCs w:val="24"/>
          <w:highlight w:val="none"/>
        </w:rPr>
        <w:t>工作人员3人，住宿时长9天；（3）各县区人社领队4人，住宿时长5天。 住宿场所需为正规合规酒店，配套基础生活设施，环境整洁安全。</w:t>
      </w:r>
    </w:p>
    <w:p w14:paraId="411C794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餐饮安排：</w:t>
      </w:r>
      <w:r>
        <w:rPr>
          <w:rFonts w:hint="eastAsia" w:ascii="Times New Roman" w:hAnsi="宋体" w:cs="Times New Roman"/>
          <w:color w:val="auto"/>
          <w:sz w:val="24"/>
          <w:szCs w:val="24"/>
          <w:highlight w:val="none"/>
          <w:lang w:eastAsia="zh-CN"/>
        </w:rPr>
        <w:t>以上</w:t>
      </w:r>
      <w:r>
        <w:rPr>
          <w:rFonts w:hint="eastAsia" w:ascii="Times New Roman" w:hAnsi="宋体" w:cs="Times New Roman"/>
          <w:color w:val="auto"/>
          <w:sz w:val="24"/>
          <w:szCs w:val="24"/>
          <w:highlight w:val="none"/>
        </w:rPr>
        <w:t>人员就餐天数与各自住宿时长保持一致，严格执行统一餐饮标准，保障餐食卫生、营养搭配合理。</w:t>
      </w:r>
    </w:p>
    <w:p w14:paraId="101812B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4.</w:t>
      </w:r>
      <w:r>
        <w:rPr>
          <w:rFonts w:hint="eastAsia" w:ascii="Times New Roman" w:hAnsi="宋体" w:cs="Times New Roman"/>
          <w:color w:val="auto"/>
          <w:sz w:val="24"/>
          <w:szCs w:val="24"/>
          <w:highlight w:val="none"/>
        </w:rPr>
        <w:t>后勤保障：设置 24 小时后勤对接人员，及时处理食宿相关各类需求，建立食品安全巡查机制。</w:t>
      </w:r>
    </w:p>
    <w:p w14:paraId="339C137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（五）人身意外保险服务</w:t>
      </w:r>
    </w:p>
    <w:p w14:paraId="59A5D5C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投保覆盖范围：</w:t>
      </w:r>
      <w:r>
        <w:rPr>
          <w:rFonts w:hint="eastAsia" w:ascii="Times New Roman" w:hAnsi="宋体" w:cs="Times New Roman"/>
          <w:color w:val="auto"/>
          <w:sz w:val="24"/>
          <w:szCs w:val="24"/>
          <w:highlight w:val="none"/>
          <w:lang w:val="en-US" w:eastAsia="zh-CN"/>
        </w:rPr>
        <w:t>8名</w:t>
      </w:r>
      <w:r>
        <w:rPr>
          <w:rFonts w:hint="eastAsia" w:ascii="Times New Roman" w:hAnsi="宋体" w:cs="Times New Roman"/>
          <w:color w:val="auto"/>
          <w:sz w:val="24"/>
          <w:szCs w:val="24"/>
          <w:highlight w:val="none"/>
        </w:rPr>
        <w:t>展演人员、</w:t>
      </w:r>
      <w:r>
        <w:rPr>
          <w:rFonts w:hint="eastAsia" w:ascii="Times New Roman" w:hAnsi="宋体" w:cs="Times New Roman"/>
          <w:color w:val="auto"/>
          <w:sz w:val="24"/>
          <w:szCs w:val="24"/>
          <w:highlight w:val="none"/>
          <w:lang w:eastAsia="zh-CN"/>
        </w:rPr>
        <w:t>市人社局</w:t>
      </w:r>
      <w:r>
        <w:rPr>
          <w:rFonts w:hint="eastAsia" w:ascii="Times New Roman" w:hAnsi="宋体" w:cs="Times New Roman"/>
          <w:color w:val="auto"/>
          <w:sz w:val="24"/>
          <w:szCs w:val="24"/>
          <w:highlight w:val="none"/>
        </w:rPr>
        <w:t>工作人员、县区领队全部纳入投保名单，不得遗漏任何一类人员。</w:t>
      </w:r>
    </w:p>
    <w:p w14:paraId="7D0D785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投保时长匹配：（1）展演人员投保5天； （2）</w:t>
      </w:r>
      <w:r>
        <w:rPr>
          <w:rFonts w:hint="eastAsia" w:ascii="Times New Roman" w:hAnsi="宋体" w:cs="Times New Roman"/>
          <w:color w:val="auto"/>
          <w:sz w:val="24"/>
          <w:szCs w:val="24"/>
          <w:highlight w:val="none"/>
          <w:lang w:eastAsia="zh-CN"/>
        </w:rPr>
        <w:t>市人社局</w:t>
      </w:r>
      <w:r>
        <w:rPr>
          <w:rFonts w:hint="eastAsia" w:ascii="Times New Roman" w:hAnsi="宋体" w:cs="Times New Roman"/>
          <w:color w:val="auto"/>
          <w:sz w:val="24"/>
          <w:szCs w:val="24"/>
          <w:highlight w:val="none"/>
        </w:rPr>
        <w:t>工作人员投保9天；（3）各县区人社领队投保5天。</w:t>
      </w:r>
    </w:p>
    <w:p w14:paraId="38483B7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服务要求：赛事正式开始前完成全部人员投保手续，将完整保单交付采购人，明确出险对接、理赔处置全流程，作为现场安全兜底保障。</w:t>
      </w:r>
    </w:p>
    <w:p w14:paraId="5524E75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rPr>
        <w:t>三、项目整体实施管理通用要求</w:t>
      </w:r>
    </w:p>
    <w:p w14:paraId="1AF4BCC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工期管控要求：整体服务周期严格按照</w:t>
      </w:r>
      <w:r>
        <w:rPr>
          <w:rFonts w:hint="eastAsia" w:ascii="Times New Roman" w:hAnsi="宋体" w:cs="Times New Roman"/>
          <w:color w:val="auto"/>
          <w:sz w:val="24"/>
          <w:szCs w:val="24"/>
          <w:highlight w:val="none"/>
          <w:lang w:val="en-US" w:eastAsia="zh-CN"/>
        </w:rPr>
        <w:t>赛事要求</w:t>
      </w:r>
      <w:r>
        <w:rPr>
          <w:rFonts w:hint="eastAsia" w:ascii="Times New Roman" w:hAnsi="宋体" w:cs="Times New Roman"/>
          <w:color w:val="auto"/>
          <w:sz w:val="24"/>
          <w:szCs w:val="24"/>
          <w:highlight w:val="none"/>
        </w:rPr>
        <w:t>执行，细化各环节进场、施工、制作、交付关键节点，制定工期延误补救措施与履约保障方案，不得干扰大赛正常举办流程。</w:t>
      </w:r>
    </w:p>
    <w:p w14:paraId="401305D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安全管控要求：建立全场景安全管理体系，覆盖搭建施工、车辆出行、食宿生活、现场展演各类风险点，编制完整突发事件应急预案，配套医疗应急、人员安全兜底处置流程。</w:t>
      </w:r>
    </w:p>
    <w:p w14:paraId="654CEB62">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对接履约要求：设立固定对接专员，全程同步展馆搭建、视频制作、交通食宿、保险办理各项工作进度，及时响应采购人合理调整需求，定期报送工作进展。</w:t>
      </w:r>
    </w:p>
    <w:p w14:paraId="748F63E5">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四</w:t>
      </w:r>
      <w:r>
        <w:rPr>
          <w:rFonts w:hint="eastAsia" w:ascii="Times New Roman" w:hAnsi="宋体" w:cs="Times New Roman"/>
          <w:color w:val="auto"/>
          <w:sz w:val="24"/>
          <w:szCs w:val="24"/>
          <w:highlight w:val="none"/>
        </w:rPr>
        <w:t>、</w:t>
      </w:r>
      <w:r>
        <w:rPr>
          <w:rFonts w:hint="eastAsia" w:ascii="Times New Roman" w:hAnsi="宋体" w:cs="Times New Roman"/>
          <w:color w:val="auto"/>
          <w:sz w:val="24"/>
          <w:szCs w:val="24"/>
          <w:highlight w:val="none"/>
          <w:lang w:val="en-US" w:eastAsia="zh-CN"/>
        </w:rPr>
        <w:t>其他</w:t>
      </w:r>
      <w:r>
        <w:rPr>
          <w:rFonts w:hint="eastAsia" w:ascii="Times New Roman" w:hAnsi="宋体" w:cs="Times New Roman"/>
          <w:color w:val="auto"/>
          <w:sz w:val="24"/>
          <w:szCs w:val="24"/>
          <w:highlight w:val="none"/>
        </w:rPr>
        <w:t>要求</w:t>
      </w:r>
    </w:p>
    <w:p w14:paraId="3BFBE49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1.</w:t>
      </w:r>
      <w:r>
        <w:rPr>
          <w:rFonts w:hint="eastAsia" w:ascii="Times New Roman" w:hAnsi="宋体" w:cs="Times New Roman"/>
          <w:color w:val="auto"/>
          <w:sz w:val="24"/>
          <w:szCs w:val="24"/>
          <w:highlight w:val="none"/>
        </w:rPr>
        <w:t>须完整覆盖本次采购全部五大类服务内容，不得删减、遗漏任一服务模块；</w:t>
      </w:r>
    </w:p>
    <w:p w14:paraId="5DABD9F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2.</w:t>
      </w:r>
      <w:r>
        <w:rPr>
          <w:rFonts w:hint="eastAsia" w:ascii="Times New Roman" w:hAnsi="宋体" w:cs="Times New Roman"/>
          <w:color w:val="auto"/>
          <w:sz w:val="24"/>
          <w:szCs w:val="24"/>
          <w:highlight w:val="none"/>
        </w:rPr>
        <w:t>严格按照文件规定人员数量、驻场时长、服务标准编制实施方案，不得擅自降低食宿、保险、交通、搭建、视频制作基础保障标准；</w:t>
      </w:r>
    </w:p>
    <w:p w14:paraId="66102884">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rPr>
      </w:pPr>
      <w:r>
        <w:rPr>
          <w:rFonts w:hint="eastAsia" w:ascii="Times New Roman" w:hAnsi="宋体" w:cs="Times New Roman"/>
          <w:color w:val="auto"/>
          <w:sz w:val="24"/>
          <w:szCs w:val="24"/>
          <w:highlight w:val="none"/>
          <w:lang w:val="en-US" w:eastAsia="zh-CN"/>
        </w:rPr>
        <w:t>3.</w:t>
      </w:r>
      <w:r>
        <w:rPr>
          <w:rFonts w:hint="eastAsia" w:ascii="Times New Roman" w:hAnsi="宋体" w:cs="Times New Roman"/>
          <w:color w:val="auto"/>
          <w:sz w:val="24"/>
          <w:szCs w:val="24"/>
          <w:highlight w:val="none"/>
        </w:rPr>
        <w:t>投标文件内所有人员、服务安排须与本项目人员规模、服务周期要求保持一致，不得随意缩减人员保障配置。</w:t>
      </w:r>
    </w:p>
    <w:p w14:paraId="26E400F7">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highlight w:val="none"/>
          <w:lang w:val="en-US" w:eastAsia="zh-CN"/>
        </w:rPr>
      </w:pPr>
      <w:r>
        <w:rPr>
          <w:rFonts w:hint="eastAsia" w:ascii="Times New Roman" w:hAnsi="宋体" w:cs="Times New Roman"/>
          <w:b w:val="0"/>
          <w:bCs/>
          <w:color w:val="auto"/>
          <w:kern w:val="2"/>
          <w:sz w:val="24"/>
          <w:szCs w:val="24"/>
          <w:highlight w:val="none"/>
          <w:lang w:val="en-US" w:eastAsia="zh-CN" w:bidi="ar-SA"/>
        </w:rPr>
        <w:t>五</w:t>
      </w:r>
      <w:r>
        <w:rPr>
          <w:rFonts w:hint="eastAsia" w:ascii="Times New Roman" w:hAnsi="宋体" w:eastAsia="宋体" w:cs="Times New Roman"/>
          <w:b w:val="0"/>
          <w:bCs/>
          <w:color w:val="auto"/>
          <w:kern w:val="2"/>
          <w:sz w:val="24"/>
          <w:szCs w:val="24"/>
          <w:highlight w:val="none"/>
          <w:lang w:val="en-US" w:eastAsia="zh-CN" w:bidi="ar-SA"/>
        </w:rPr>
        <w:t>、</w:t>
      </w:r>
      <w:r>
        <w:rPr>
          <w:rFonts w:hint="eastAsia" w:ascii="Times New Roman" w:hAnsi="宋体" w:cs="Times New Roman"/>
          <w:b w:val="0"/>
          <w:bCs/>
          <w:color w:val="auto"/>
          <w:sz w:val="24"/>
          <w:szCs w:val="24"/>
          <w:highlight w:val="none"/>
          <w:lang w:val="en-US" w:eastAsia="zh-CN"/>
        </w:rPr>
        <w:t>商务要求</w:t>
      </w:r>
    </w:p>
    <w:p w14:paraId="29C7E61A">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highlight w:val="none"/>
          <w:lang w:val="en-US" w:eastAsia="zh-CN"/>
        </w:rPr>
      </w:pPr>
      <w:r>
        <w:rPr>
          <w:rFonts w:hint="eastAsia" w:ascii="Times New Roman" w:hAnsi="宋体" w:eastAsia="宋体" w:cs="Times New Roman"/>
          <w:b w:val="0"/>
          <w:bCs/>
          <w:color w:val="auto"/>
          <w:kern w:val="2"/>
          <w:sz w:val="24"/>
          <w:szCs w:val="24"/>
          <w:highlight w:val="none"/>
          <w:lang w:val="en-US" w:eastAsia="zh-CN" w:bidi="ar-SA"/>
        </w:rPr>
        <w:t>1.</w:t>
      </w:r>
      <w:r>
        <w:rPr>
          <w:rFonts w:hint="eastAsia" w:ascii="Times New Roman" w:hAnsi="宋体" w:cs="Times New Roman"/>
          <w:b w:val="0"/>
          <w:bCs/>
          <w:color w:val="auto"/>
          <w:sz w:val="24"/>
          <w:szCs w:val="24"/>
          <w:highlight w:val="none"/>
          <w:lang w:val="en-US" w:eastAsia="zh-CN"/>
        </w:rPr>
        <w:t>服务地点：采购人指定地点。</w:t>
      </w:r>
    </w:p>
    <w:p w14:paraId="31526DC0">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highlight w:val="none"/>
          <w:lang w:val="en-US" w:eastAsia="zh-CN"/>
        </w:rPr>
      </w:pPr>
      <w:r>
        <w:rPr>
          <w:rFonts w:hint="eastAsia" w:ascii="Times New Roman" w:hAnsi="宋体" w:cs="Times New Roman"/>
          <w:b w:val="0"/>
          <w:bCs/>
          <w:color w:val="auto"/>
          <w:sz w:val="24"/>
          <w:szCs w:val="24"/>
          <w:highlight w:val="none"/>
          <w:lang w:val="en-US" w:eastAsia="zh-CN"/>
        </w:rPr>
        <w:t>2.合同履行期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自合同签订生效之日起直至大赛结束为止</w:t>
      </w:r>
      <w:r>
        <w:rPr>
          <w:rFonts w:hint="eastAsia" w:hAnsi="宋体" w:eastAsia="宋体"/>
          <w:color w:val="auto"/>
          <w:sz w:val="24"/>
          <w:highlight w:val="none"/>
          <w:lang w:val="en-US" w:eastAsia="zh-CN"/>
        </w:rPr>
        <w:t>。</w:t>
      </w:r>
    </w:p>
    <w:p w14:paraId="1EFBA41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r>
        <w:rPr>
          <w:rFonts w:hint="eastAsia" w:ascii="Times New Roman" w:hAnsi="宋体" w:cs="Times New Roman"/>
          <w:color w:val="auto"/>
          <w:sz w:val="24"/>
          <w:szCs w:val="24"/>
          <w:highlight w:val="none"/>
          <w:lang w:val="en-US" w:eastAsia="zh-CN"/>
        </w:rPr>
        <w:t>3.报价方式：本项目采用总价包干报价，报价包含完成全部服务所需人工、设备、运输、后勤、保险、税费等所有费用，采购人不再额外付费，投标人漏算成本由自身承担。</w:t>
      </w:r>
    </w:p>
    <w:p w14:paraId="084412C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r>
        <w:rPr>
          <w:rFonts w:hint="eastAsia" w:ascii="Times New Roman" w:hAnsi="宋体" w:cs="Times New Roman"/>
          <w:color w:val="auto"/>
          <w:sz w:val="24"/>
          <w:szCs w:val="24"/>
          <w:highlight w:val="none"/>
          <w:lang w:val="en-US" w:eastAsia="zh-CN"/>
        </w:rPr>
        <w:t>4.付款方式：合同签订生效后支付合同总额的60%，主体搭建完工且符合赛事要求付合同总额的30%，全部完成本项目后支付合同总额的10%。</w:t>
      </w:r>
    </w:p>
    <w:p w14:paraId="0E166FF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42FCC71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0B29237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62C349B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67A6CC0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0E27FD4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highlight w:val="none"/>
          <w:lang w:val="en-US" w:eastAsia="zh-CN"/>
        </w:rPr>
      </w:pPr>
    </w:p>
    <w:p w14:paraId="2E6FC447">
      <w:pPr>
        <w:keepNext w:val="0"/>
        <w:keepLines w:val="0"/>
        <w:pageBreakBefore w:val="0"/>
        <w:widowControl w:val="0"/>
        <w:numPr>
          <w:ilvl w:val="0"/>
          <w:numId w:val="0"/>
        </w:numPr>
        <w:tabs>
          <w:tab w:val="left" w:pos="3818"/>
        </w:tabs>
        <w:kinsoku/>
        <w:wordWrap/>
        <w:overflowPunct/>
        <w:topLinePunct w:val="0"/>
        <w:autoSpaceDE/>
        <w:autoSpaceDN/>
        <w:bidi w:val="0"/>
        <w:adjustRightInd w:val="0"/>
        <w:snapToGrid w:val="0"/>
        <w:spacing w:after="268" w:afterLines="80" w:line="420" w:lineRule="exact"/>
        <w:jc w:val="left"/>
        <w:textAlignment w:val="auto"/>
        <w:rPr>
          <w:rFonts w:hint="eastAsia" w:ascii="Times New Roman" w:hAnsi="宋体" w:cs="Times New Roman"/>
          <w:b/>
          <w:color w:val="auto"/>
          <w:sz w:val="32"/>
          <w:szCs w:val="32"/>
          <w:lang w:val="en-US" w:eastAsia="zh-CN"/>
        </w:rPr>
      </w:pPr>
    </w:p>
    <w:p w14:paraId="12971980">
      <w:pPr>
        <w:pStyle w:val="22"/>
        <w:numPr>
          <w:ilvl w:val="0"/>
          <w:numId w:val="0"/>
        </w:numPr>
        <w:spacing w:before="0" w:after="0" w:line="420" w:lineRule="exact"/>
        <w:jc w:val="center"/>
        <w:outlineLvl w:val="0"/>
        <w:rPr>
          <w:rFonts w:hint="eastAsia" w:eastAsia="宋体"/>
          <w:color w:val="auto"/>
          <w:sz w:val="36"/>
        </w:rPr>
      </w:pPr>
      <w:bookmarkStart w:id="45" w:name="_Toc536429331"/>
      <w:bookmarkStart w:id="46" w:name="_Toc536202322"/>
      <w:bookmarkStart w:id="47" w:name="_Toc10286"/>
      <w:bookmarkStart w:id="48" w:name="_Toc536202391"/>
      <w:bookmarkStart w:id="49" w:name="_Toc536429384"/>
      <w:bookmarkStart w:id="50" w:name="_Toc7576"/>
      <w:bookmarkStart w:id="51" w:name="_Toc19543347"/>
      <w:r>
        <w:rPr>
          <w:rFonts w:hint="eastAsia"/>
          <w:color w:val="auto"/>
          <w:sz w:val="36"/>
          <w:lang w:val="en-US" w:eastAsia="zh-CN"/>
        </w:rPr>
        <w:t xml:space="preserve">第六部分 </w:t>
      </w:r>
      <w:r>
        <w:rPr>
          <w:rFonts w:hint="eastAsia" w:eastAsia="宋体"/>
          <w:color w:val="auto"/>
          <w:sz w:val="36"/>
        </w:rPr>
        <w:t xml:space="preserve"> </w:t>
      </w:r>
      <w:bookmarkEnd w:id="42"/>
      <w:bookmarkEnd w:id="43"/>
      <w:bookmarkEnd w:id="45"/>
      <w:bookmarkEnd w:id="46"/>
      <w:bookmarkEnd w:id="47"/>
      <w:bookmarkEnd w:id="48"/>
      <w:bookmarkEnd w:id="49"/>
      <w:bookmarkStart w:id="52" w:name="_Toc3837039"/>
      <w:r>
        <w:rPr>
          <w:rFonts w:hint="eastAsia" w:eastAsia="宋体"/>
          <w:color w:val="auto"/>
          <w:sz w:val="36"/>
        </w:rPr>
        <w:t>合同主要条款</w:t>
      </w:r>
      <w:bookmarkEnd w:id="50"/>
      <w:bookmarkEnd w:id="51"/>
      <w:bookmarkEnd w:id="52"/>
    </w:p>
    <w:p w14:paraId="02E8E3BD">
      <w:pPr>
        <w:widowControl/>
        <w:jc w:val="center"/>
        <w:rPr>
          <w:rFonts w:hint="eastAsia" w:ascii="新宋体" w:hAnsi="新宋体" w:eastAsia="新宋体" w:cs="新宋体"/>
          <w:b/>
          <w:bCs/>
          <w:color w:val="auto"/>
          <w:kern w:val="0"/>
          <w:sz w:val="48"/>
          <w:szCs w:val="48"/>
          <w:lang w:val="en-US" w:eastAsia="zh-CN"/>
        </w:rPr>
      </w:pPr>
    </w:p>
    <w:p w14:paraId="3FFE2731">
      <w:pPr>
        <w:widowControl/>
        <w:jc w:val="center"/>
        <w:rPr>
          <w:rFonts w:hint="default" w:ascii="新宋体" w:hAnsi="新宋体" w:eastAsia="新宋体" w:cs="新宋体"/>
          <w:b/>
          <w:bCs/>
          <w:color w:val="auto"/>
          <w:kern w:val="0"/>
          <w:sz w:val="44"/>
          <w:szCs w:val="44"/>
          <w:lang w:val="en-US"/>
        </w:rPr>
      </w:pPr>
      <w:r>
        <w:rPr>
          <w:rFonts w:hint="default" w:ascii="新宋体" w:hAnsi="新宋体" w:eastAsia="新宋体" w:cs="新宋体"/>
          <w:b/>
          <w:bCs/>
          <w:color w:val="auto"/>
          <w:kern w:val="0"/>
          <w:sz w:val="44"/>
          <w:szCs w:val="44"/>
          <w:lang w:val="en-US" w:eastAsia="zh-CN"/>
        </w:rPr>
        <w:t>陕西省 2026 职业技能大赛安康市展馆展示和技能表演（绝技绝活）项目</w:t>
      </w:r>
    </w:p>
    <w:p w14:paraId="0FF3A686">
      <w:pPr>
        <w:widowControl/>
        <w:rPr>
          <w:rFonts w:hint="eastAsia" w:ascii="新宋体" w:hAnsi="新宋体" w:eastAsia="新宋体" w:cs="新宋体"/>
          <w:b/>
          <w:bCs/>
          <w:color w:val="auto"/>
          <w:kern w:val="0"/>
          <w:sz w:val="36"/>
          <w:szCs w:val="36"/>
        </w:rPr>
      </w:pPr>
    </w:p>
    <w:p w14:paraId="3B5FE7FC">
      <w:pPr>
        <w:widowControl/>
        <w:rPr>
          <w:rFonts w:hint="eastAsia" w:ascii="新宋体" w:hAnsi="新宋体" w:eastAsia="新宋体" w:cs="新宋体"/>
          <w:b/>
          <w:bCs/>
          <w:color w:val="auto"/>
          <w:kern w:val="0"/>
          <w:sz w:val="36"/>
          <w:szCs w:val="36"/>
        </w:rPr>
      </w:pPr>
    </w:p>
    <w:p w14:paraId="1ED1144C">
      <w:pPr>
        <w:widowControl/>
        <w:jc w:val="center"/>
        <w:rPr>
          <w:rFonts w:hint="eastAsia" w:ascii="新宋体" w:hAnsi="新宋体" w:eastAsia="新宋体" w:cs="新宋体"/>
          <w:b/>
          <w:bCs/>
          <w:color w:val="auto"/>
          <w:kern w:val="0"/>
          <w:sz w:val="72"/>
          <w:szCs w:val="72"/>
          <w:lang w:eastAsia="zh-CN"/>
        </w:rPr>
      </w:pPr>
      <w:r>
        <w:rPr>
          <w:rFonts w:hint="eastAsia" w:ascii="新宋体" w:hAnsi="新宋体" w:eastAsia="新宋体" w:cs="新宋体"/>
          <w:b/>
          <w:bCs/>
          <w:color w:val="auto"/>
          <w:kern w:val="0"/>
          <w:sz w:val="72"/>
          <w:szCs w:val="72"/>
          <w:lang w:val="en-US" w:eastAsia="zh-CN"/>
        </w:rPr>
        <w:t>服</w:t>
      </w:r>
    </w:p>
    <w:p w14:paraId="46954987">
      <w:pPr>
        <w:widowControl/>
        <w:jc w:val="center"/>
        <w:rPr>
          <w:rFonts w:hint="eastAsia" w:ascii="新宋体" w:hAnsi="新宋体" w:eastAsia="新宋体" w:cs="新宋体"/>
          <w:b/>
          <w:bCs/>
          <w:color w:val="auto"/>
          <w:kern w:val="0"/>
          <w:sz w:val="72"/>
          <w:szCs w:val="72"/>
        </w:rPr>
      </w:pPr>
    </w:p>
    <w:p w14:paraId="2CE7FDAD">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lang w:val="en-US" w:eastAsia="zh-CN"/>
        </w:rPr>
        <w:t>务</w:t>
      </w:r>
    </w:p>
    <w:p w14:paraId="1343F101">
      <w:pPr>
        <w:widowControl/>
        <w:jc w:val="center"/>
        <w:rPr>
          <w:rFonts w:hint="eastAsia" w:ascii="新宋体" w:hAnsi="新宋体" w:eastAsia="新宋体" w:cs="新宋体"/>
          <w:b/>
          <w:bCs/>
          <w:color w:val="auto"/>
          <w:kern w:val="0"/>
          <w:sz w:val="72"/>
          <w:szCs w:val="72"/>
        </w:rPr>
      </w:pPr>
    </w:p>
    <w:p w14:paraId="0B6FCFF3">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合</w:t>
      </w:r>
    </w:p>
    <w:p w14:paraId="74F6E518">
      <w:pPr>
        <w:widowControl/>
        <w:jc w:val="center"/>
        <w:rPr>
          <w:rFonts w:hint="eastAsia" w:ascii="新宋体" w:hAnsi="新宋体" w:eastAsia="新宋体" w:cs="新宋体"/>
          <w:b/>
          <w:bCs/>
          <w:color w:val="auto"/>
          <w:kern w:val="0"/>
          <w:sz w:val="72"/>
          <w:szCs w:val="72"/>
        </w:rPr>
      </w:pPr>
    </w:p>
    <w:p w14:paraId="1BE4A4F8">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同</w:t>
      </w:r>
    </w:p>
    <w:p w14:paraId="5B01685B">
      <w:pPr>
        <w:widowControl/>
        <w:jc w:val="center"/>
        <w:rPr>
          <w:rFonts w:hint="eastAsia" w:ascii="新宋体" w:hAnsi="新宋体" w:eastAsia="新宋体" w:cs="新宋体"/>
          <w:b/>
          <w:bCs/>
          <w:color w:val="auto"/>
          <w:kern w:val="0"/>
          <w:sz w:val="36"/>
          <w:szCs w:val="36"/>
        </w:rPr>
      </w:pPr>
    </w:p>
    <w:p w14:paraId="3B7965BD">
      <w:pPr>
        <w:widowControl/>
        <w:rPr>
          <w:rFonts w:hint="default" w:ascii="新宋体" w:hAnsi="新宋体" w:eastAsia="新宋体" w:cs="新宋体"/>
          <w:b/>
          <w:bCs/>
          <w:color w:val="auto"/>
          <w:kern w:val="0"/>
          <w:sz w:val="32"/>
          <w:szCs w:val="32"/>
          <w:lang w:val="en-US" w:eastAsia="zh-CN"/>
        </w:rPr>
      </w:pPr>
      <w:r>
        <w:rPr>
          <w:rFonts w:hint="eastAsia" w:ascii="新宋体" w:hAnsi="新宋体" w:eastAsia="新宋体" w:cs="新宋体"/>
          <w:b/>
          <w:bCs/>
          <w:color w:val="auto"/>
          <w:kern w:val="0"/>
          <w:sz w:val="32"/>
          <w:szCs w:val="32"/>
          <w:lang w:val="en-US" w:eastAsia="zh-CN"/>
        </w:rPr>
        <w:t xml:space="preserve">           甲方：安康市人力资源和社会保障局</w:t>
      </w:r>
    </w:p>
    <w:p w14:paraId="123C7459">
      <w:pPr>
        <w:widowControl/>
        <w:ind w:firstLine="200"/>
        <w:jc w:val="center"/>
        <w:rPr>
          <w:rFonts w:hint="eastAsia" w:ascii="新宋体" w:hAnsi="新宋体" w:eastAsia="新宋体" w:cs="新宋体"/>
          <w:b/>
          <w:bCs/>
          <w:color w:val="auto"/>
          <w:kern w:val="0"/>
          <w:sz w:val="36"/>
          <w:szCs w:val="36"/>
        </w:rPr>
      </w:pPr>
    </w:p>
    <w:p w14:paraId="59D7CEE6">
      <w:pPr>
        <w:ind w:firstLine="1807" w:firstLineChars="500"/>
        <w:rPr>
          <w:rFonts w:hint="eastAsia" w:ascii="宋体" w:hAnsi="宋体" w:eastAsia="宋体" w:cs="宋体"/>
          <w:color w:val="auto"/>
          <w:sz w:val="28"/>
          <w:szCs w:val="28"/>
        </w:rPr>
      </w:pPr>
      <w:r>
        <w:rPr>
          <w:rFonts w:hint="eastAsia" w:ascii="新宋体" w:hAnsi="新宋体" w:eastAsia="新宋体" w:cs="新宋体"/>
          <w:b/>
          <w:bCs/>
          <w:color w:val="auto"/>
          <w:kern w:val="0"/>
          <w:sz w:val="36"/>
          <w:szCs w:val="36"/>
          <w:lang w:eastAsia="zh-CN"/>
        </w:rPr>
        <w:t>乙方：</w:t>
      </w:r>
    </w:p>
    <w:p w14:paraId="57D2B9E9">
      <w:pPr>
        <w:widowControl/>
        <w:spacing w:line="480" w:lineRule="atLeast"/>
        <w:jc w:val="center"/>
        <w:rPr>
          <w:rFonts w:hint="eastAsia" w:ascii="宋体" w:hAnsi="宋体" w:eastAsia="宋体" w:cs="宋体"/>
          <w:b/>
          <w:bCs w:val="0"/>
          <w:snapToGrid w:val="0"/>
          <w:color w:val="auto"/>
          <w:kern w:val="0"/>
          <w:sz w:val="32"/>
          <w:highlight w:val="none"/>
        </w:rPr>
      </w:pPr>
    </w:p>
    <w:p w14:paraId="664B7D1F">
      <w:pPr>
        <w:widowControl/>
        <w:spacing w:line="480" w:lineRule="atLeast"/>
        <w:jc w:val="center"/>
        <w:rPr>
          <w:rFonts w:hint="eastAsia" w:ascii="宋体" w:hAnsi="宋体" w:eastAsia="宋体" w:cs="宋体"/>
          <w:b/>
          <w:bCs w:val="0"/>
          <w:snapToGrid w:val="0"/>
          <w:color w:val="auto"/>
          <w:kern w:val="0"/>
          <w:sz w:val="32"/>
          <w:highlight w:val="none"/>
        </w:rPr>
      </w:pPr>
      <w:r>
        <w:rPr>
          <w:rFonts w:hint="eastAsia" w:ascii="宋体" w:hAnsi="宋体" w:eastAsia="宋体" w:cs="宋体"/>
          <w:b/>
          <w:bCs w:val="0"/>
          <w:snapToGrid w:val="0"/>
          <w:color w:val="auto"/>
          <w:kern w:val="0"/>
          <w:sz w:val="32"/>
          <w:highlight w:val="none"/>
        </w:rPr>
        <w:t>合同主要条款</w:t>
      </w:r>
    </w:p>
    <w:p w14:paraId="4CCB2D5B">
      <w:pPr>
        <w:keepNext w:val="0"/>
        <w:keepLines w:val="0"/>
        <w:pageBreakBefore w:val="0"/>
        <w:wordWrap/>
        <w:overflowPunct/>
        <w:topLinePunct w:val="0"/>
        <w:bidi w:val="0"/>
        <w:snapToGrid w:val="0"/>
        <w:spacing w:line="480" w:lineRule="exact"/>
        <w:textAlignment w:val="baseline"/>
        <w:rPr>
          <w:rFonts w:hint="eastAsia" w:ascii="宋体" w:hAnsi="宋体" w:eastAsia="宋体" w:cs="宋体"/>
          <w:snapToGrid w:val="0"/>
          <w:color w:val="auto"/>
          <w:kern w:val="0"/>
          <w:sz w:val="24"/>
          <w:szCs w:val="24"/>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以甲乙双方实际签订合同为准。</w:t>
      </w:r>
      <w:r>
        <w:rPr>
          <w:rFonts w:hint="eastAsia" w:ascii="宋体" w:hAnsi="宋体" w:cs="宋体"/>
          <w:b/>
          <w:bCs/>
          <w:color w:val="auto"/>
          <w:sz w:val="24"/>
          <w:szCs w:val="24"/>
        </w:rPr>
        <w:t>）</w:t>
      </w:r>
    </w:p>
    <w:p w14:paraId="1CA1B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93985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 xml:space="preserve">甲方（委托方）：安康市人力资源和社会保障局 </w:t>
      </w:r>
    </w:p>
    <w:p w14:paraId="63F287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统一社会信用代码：</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1518C3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default"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地址：</w:t>
      </w:r>
      <w:r>
        <w:rPr>
          <w:rFonts w:hint="eastAsia" w:ascii="宋体" w:hAnsi="宋体" w:cs="宋体"/>
          <w:color w:val="000000"/>
          <w:kern w:val="0"/>
          <w:sz w:val="24"/>
          <w:szCs w:val="24"/>
          <w:lang w:val="en-US" w:eastAsia="zh-CN" w:bidi="ar"/>
        </w:rPr>
        <w:t xml:space="preserve"> </w:t>
      </w:r>
      <w:r>
        <w:rPr>
          <w:rFonts w:hint="eastAsia" w:ascii="宋体" w:hAnsi="宋体" w:cs="宋体"/>
          <w:color w:val="000000"/>
          <w:kern w:val="0"/>
          <w:sz w:val="24"/>
          <w:szCs w:val="24"/>
          <w:u w:val="single"/>
          <w:lang w:val="en-US" w:eastAsia="zh-CN" w:bidi="ar"/>
        </w:rPr>
        <w:t xml:space="preserve">                        </w:t>
      </w:r>
      <w:r>
        <w:rPr>
          <w:rFonts w:hint="eastAsia" w:ascii="宋体" w:hAnsi="宋体" w:cs="宋体"/>
          <w:color w:val="000000"/>
          <w:kern w:val="0"/>
          <w:sz w:val="24"/>
          <w:szCs w:val="24"/>
          <w:lang w:val="en-US" w:eastAsia="zh-CN" w:bidi="ar"/>
        </w:rPr>
        <w:t xml:space="preserve">   </w:t>
      </w:r>
    </w:p>
    <w:p w14:paraId="77C3D2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联系人：</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4FA298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default"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联系电话：</w:t>
      </w:r>
      <w:r>
        <w:rPr>
          <w:rFonts w:hint="eastAsia" w:ascii="宋体" w:hAnsi="宋体" w:cs="宋体"/>
          <w:color w:val="000000"/>
          <w:kern w:val="0"/>
          <w:sz w:val="24"/>
          <w:szCs w:val="24"/>
          <w:u w:val="single"/>
          <w:lang w:val="en-US" w:eastAsia="zh-CN" w:bidi="ar"/>
        </w:rPr>
        <w:t xml:space="preserve">                  </w:t>
      </w:r>
    </w:p>
    <w:p w14:paraId="7E1042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p>
    <w:p w14:paraId="62EFAE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乙方（服务承接方）：</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320D11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统一社会信用代码：</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6CA18D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u w:val="single"/>
          <w:lang w:val="en-US" w:eastAsia="zh-CN" w:bidi="ar"/>
        </w:rPr>
      </w:pPr>
      <w:r>
        <w:rPr>
          <w:rFonts w:ascii="宋体" w:hAnsi="宋体" w:eastAsia="宋体" w:cs="宋体"/>
          <w:color w:val="000000"/>
          <w:kern w:val="0"/>
          <w:sz w:val="24"/>
          <w:szCs w:val="24"/>
          <w:lang w:val="en-US" w:eastAsia="zh-CN" w:bidi="ar"/>
        </w:rPr>
        <w:t>地址：</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u w:val="single"/>
          <w:lang w:val="en-US" w:eastAsia="zh-CN" w:bidi="ar"/>
        </w:rPr>
        <w:t xml:space="preserve"> </w:t>
      </w:r>
    </w:p>
    <w:p w14:paraId="09233A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联系人：</w:t>
      </w:r>
      <w:r>
        <w:rPr>
          <w:rFonts w:hint="eastAsia" w:ascii="宋体" w:hAnsi="宋体" w:cs="宋体"/>
          <w:color w:val="000000"/>
          <w:kern w:val="0"/>
          <w:sz w:val="24"/>
          <w:szCs w:val="24"/>
          <w:u w:val="single"/>
          <w:lang w:val="en-US" w:eastAsia="zh-CN" w:bidi="ar"/>
        </w:rPr>
        <w:t xml:space="preserve">                         </w:t>
      </w:r>
      <w:r>
        <w:rPr>
          <w:rFonts w:ascii="宋体" w:hAnsi="宋体" w:eastAsia="宋体" w:cs="宋体"/>
          <w:color w:val="000000"/>
          <w:kern w:val="0"/>
          <w:sz w:val="24"/>
          <w:szCs w:val="24"/>
          <w:lang w:val="en-US" w:eastAsia="zh-CN" w:bidi="ar"/>
        </w:rPr>
        <w:t xml:space="preserve"> </w:t>
      </w:r>
    </w:p>
    <w:p w14:paraId="23010F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default"/>
          <w:color w:val="000000"/>
          <w:sz w:val="24"/>
          <w:szCs w:val="24"/>
          <w:lang w:val="en-US"/>
        </w:rPr>
      </w:pPr>
      <w:r>
        <w:rPr>
          <w:rFonts w:ascii="宋体" w:hAnsi="宋体" w:eastAsia="宋体" w:cs="宋体"/>
          <w:color w:val="000000"/>
          <w:kern w:val="0"/>
          <w:sz w:val="24"/>
          <w:szCs w:val="24"/>
          <w:lang w:val="en-US" w:eastAsia="zh-CN" w:bidi="ar"/>
        </w:rPr>
        <w:t>联系电话：</w:t>
      </w:r>
      <w:r>
        <w:rPr>
          <w:rFonts w:hint="eastAsia" w:ascii="宋体" w:hAnsi="宋体" w:cs="宋体"/>
          <w:color w:val="000000"/>
          <w:kern w:val="0"/>
          <w:sz w:val="24"/>
          <w:szCs w:val="24"/>
          <w:u w:val="single"/>
          <w:lang w:val="en-US" w:eastAsia="zh-CN" w:bidi="ar"/>
        </w:rPr>
        <w:t xml:space="preserve">                   </w:t>
      </w:r>
    </w:p>
    <w:p w14:paraId="266919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ascii="宋体" w:hAnsi="宋体" w:eastAsia="宋体" w:cs="宋体"/>
          <w:color w:val="000000"/>
          <w:kern w:val="0"/>
          <w:sz w:val="24"/>
          <w:szCs w:val="24"/>
          <w:lang w:val="en-US" w:eastAsia="zh-CN" w:bidi="ar"/>
        </w:rPr>
      </w:pPr>
    </w:p>
    <w:p w14:paraId="18CDF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color w:val="000000"/>
          <w:sz w:val="24"/>
          <w:szCs w:val="24"/>
        </w:rPr>
      </w:pPr>
      <w:r>
        <w:rPr>
          <w:rFonts w:ascii="宋体" w:hAnsi="宋体" w:eastAsia="宋体" w:cs="宋体"/>
          <w:color w:val="000000"/>
          <w:kern w:val="0"/>
          <w:sz w:val="24"/>
          <w:szCs w:val="24"/>
          <w:lang w:val="en-US" w:eastAsia="zh-CN" w:bidi="ar"/>
        </w:rPr>
        <w:t>依据《中华人民共和国民法典》及相关法律法规，甲乙双方本着平等自愿、公平诚信、权责清晰的原则，就</w:t>
      </w:r>
      <w:r>
        <w:rPr>
          <w:rFonts w:hint="eastAsia" w:ascii="宋体" w:hAnsi="宋体" w:eastAsia="宋体" w:cs="宋体"/>
          <w:color w:val="000000"/>
          <w:kern w:val="0"/>
          <w:sz w:val="24"/>
          <w:szCs w:val="24"/>
          <w:lang w:val="en-US" w:eastAsia="zh-CN" w:bidi="ar"/>
        </w:rPr>
        <w:t>陕西省2026职业技能大赛安康市展馆展示和技能表演（绝技绝活）项目</w:t>
      </w:r>
      <w:r>
        <w:rPr>
          <w:rFonts w:ascii="宋体" w:hAnsi="宋体" w:eastAsia="宋体" w:cs="宋体"/>
          <w:color w:val="000000"/>
          <w:kern w:val="0"/>
          <w:sz w:val="24"/>
          <w:szCs w:val="24"/>
          <w:lang w:val="en-US" w:eastAsia="zh-CN" w:bidi="ar"/>
        </w:rPr>
        <w:t>事宜达成如下合同，双方共同遵照执行。</w:t>
      </w:r>
    </w:p>
    <w:p w14:paraId="3F0DA9C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第一条 服务项目及服务内容</w:t>
      </w:r>
    </w:p>
    <w:p w14:paraId="1DBC64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（一）服务项目范围</w:t>
      </w:r>
    </w:p>
    <w:p w14:paraId="5D36BC4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rFonts w:hint="eastAsia" w:eastAsia="宋体"/>
          <w:color w:val="000000"/>
          <w:sz w:val="24"/>
          <w:szCs w:val="24"/>
          <w:lang w:eastAsia="zh-CN"/>
        </w:rPr>
      </w:pPr>
      <w:r>
        <w:rPr>
          <w:rFonts w:ascii="Calibri" w:hAnsi="Calibri" w:eastAsia="宋体" w:cs="Calibri"/>
          <w:color w:val="000000"/>
          <w:kern w:val="2"/>
          <w:sz w:val="24"/>
          <w:szCs w:val="24"/>
          <w:lang w:val="en-US" w:eastAsia="zh-CN" w:bidi="ar-SA"/>
        </w:rPr>
        <w:t>1.</w:t>
      </w:r>
      <w:r>
        <w:rPr>
          <w:color w:val="000000"/>
          <w:sz w:val="24"/>
          <w:szCs w:val="24"/>
        </w:rPr>
        <w:t>4 项技能展示展演宣传视频策划、拍摄、剪辑、成片制作、宣传发布</w:t>
      </w:r>
      <w:r>
        <w:rPr>
          <w:rFonts w:hint="eastAsia"/>
          <w:color w:val="000000"/>
          <w:sz w:val="24"/>
          <w:szCs w:val="24"/>
          <w:lang w:eastAsia="zh-CN"/>
        </w:rPr>
        <w:t>。</w:t>
      </w:r>
      <w:r>
        <w:rPr>
          <w:rFonts w:hint="eastAsia" w:ascii="Times New Roman" w:hAnsi="宋体" w:cs="Times New Roman"/>
          <w:color w:val="000000" w:themeColor="text1"/>
          <w:sz w:val="24"/>
          <w:szCs w:val="24"/>
          <w:highlight w:val="none"/>
          <w:lang w:val="en-US" w:eastAsia="zh-CN"/>
          <w14:textFill>
            <w14:solidFill>
              <w14:schemeClr w14:val="tx1"/>
            </w14:solidFill>
          </w14:textFill>
        </w:rPr>
        <w:t>宣传片时长</w:t>
      </w:r>
      <w:r>
        <w:rPr>
          <w:rFonts w:hint="eastAsia" w:ascii="Times New Roman" w:hAnsi="宋体" w:cs="Times New Roman"/>
          <w:color w:val="auto"/>
          <w:sz w:val="24"/>
          <w:szCs w:val="24"/>
          <w:highlight w:val="none"/>
          <w:lang w:val="en-US" w:eastAsia="zh-CN"/>
        </w:rPr>
        <w:t>不低于5分钟</w:t>
      </w:r>
      <w:r>
        <w:rPr>
          <w:rFonts w:hint="eastAsia" w:ascii="Times New Roman" w:hAnsi="宋体" w:cs="Times New Roman"/>
          <w:color w:val="000000" w:themeColor="text1"/>
          <w:sz w:val="24"/>
          <w:szCs w:val="24"/>
          <w:highlight w:val="none"/>
          <w:lang w:val="en-US" w:eastAsia="zh-CN"/>
          <w14:textFill>
            <w14:solidFill>
              <w14:schemeClr w14:val="tx1"/>
            </w14:solidFill>
          </w14:textFill>
        </w:rPr>
        <w:t>（一个完整的宣传片）；拍摄内容：金丝羊肉饼、木质版画制作、牛王生漆髹漆技艺、编丝及蚕丝工艺品展示；拍摄分辨率：4k 3840×2160 ；拍摄码流15mb/s（比特率）；拍摄帧数60帧；后期成片制式 1080p和4k  60帧。</w:t>
      </w:r>
    </w:p>
    <w:p w14:paraId="315D8F1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rFonts w:hint="eastAsia" w:eastAsia="宋体"/>
          <w:color w:val="000000"/>
          <w:sz w:val="24"/>
          <w:szCs w:val="24"/>
          <w:lang w:eastAsia="zh-CN"/>
        </w:rPr>
      </w:pPr>
      <w:r>
        <w:rPr>
          <w:rFonts w:ascii="Calibri" w:hAnsi="Calibri" w:eastAsia="宋体" w:cs="Calibri"/>
          <w:color w:val="000000"/>
          <w:kern w:val="2"/>
          <w:sz w:val="24"/>
          <w:szCs w:val="24"/>
          <w:lang w:val="en-US" w:eastAsia="zh-CN" w:bidi="ar-SA"/>
        </w:rPr>
        <w:t>2.</w:t>
      </w:r>
      <w:r>
        <w:rPr>
          <w:rFonts w:hint="eastAsia" w:ascii="Times New Roman" w:hAnsi="宋体" w:cs="Times New Roman"/>
          <w:color w:val="auto"/>
          <w:sz w:val="24"/>
          <w:szCs w:val="24"/>
          <w:highlight w:val="none"/>
        </w:rPr>
        <w:t>负责安康市技能展演专属展区现场展馆搭建</w:t>
      </w:r>
      <w:r>
        <w:rPr>
          <w:rFonts w:hint="eastAsia" w:ascii="Times New Roman" w:hAnsi="宋体" w:cs="Times New Roman"/>
          <w:color w:val="auto"/>
          <w:sz w:val="24"/>
          <w:szCs w:val="24"/>
          <w:highlight w:val="none"/>
          <w:lang w:eastAsia="zh-CN"/>
        </w:rPr>
        <w:t>，</w:t>
      </w:r>
      <w:r>
        <w:rPr>
          <w:rFonts w:hint="eastAsia" w:ascii="Times New Roman" w:hAnsi="宋体" w:cs="Times New Roman"/>
          <w:color w:val="auto"/>
          <w:sz w:val="24"/>
          <w:szCs w:val="24"/>
          <w:highlight w:val="none"/>
        </w:rPr>
        <w:t>包括展馆设计、特装搭建、广告发光字及物料制作、布展；LED屏租赁、展台制作、特装场地管理费、水、电费等相关全部工作</w:t>
      </w:r>
      <w:r>
        <w:rPr>
          <w:rFonts w:hint="eastAsia" w:ascii="Times New Roman" w:hAnsi="宋体" w:cs="Times New Roman"/>
          <w:color w:val="auto"/>
          <w:sz w:val="24"/>
          <w:szCs w:val="24"/>
          <w:highlight w:val="none"/>
          <w:lang w:eastAsia="zh-CN"/>
        </w:rPr>
        <w:t>。</w:t>
      </w:r>
    </w:p>
    <w:p w14:paraId="3FF0A99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本次赛事全部工作人员、展演人员往返交通、市内通勤车辆保障服务；</w:t>
      </w:r>
    </w:p>
    <w:p w14:paraId="2C1489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全体展演人员、工作人员、县区领队住宿、餐饮配套保障服务；</w:t>
      </w:r>
    </w:p>
    <w:p w14:paraId="0F3DAF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5.</w:t>
      </w:r>
      <w:r>
        <w:rPr>
          <w:color w:val="000000"/>
          <w:sz w:val="24"/>
          <w:szCs w:val="24"/>
        </w:rPr>
        <w:t>全体参与人员赛事期间人身意外伤害保险统一投保服务；</w:t>
      </w:r>
    </w:p>
    <w:p w14:paraId="295EC74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6.</w:t>
      </w:r>
      <w:r>
        <w:rPr>
          <w:color w:val="000000"/>
          <w:sz w:val="24"/>
          <w:szCs w:val="24"/>
        </w:rPr>
        <w:t>与展馆展示、技能绝技绝活展演相关的配套辅助服务。</w:t>
      </w:r>
    </w:p>
    <w:p w14:paraId="17F500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（二）参与人员及服务周期</w:t>
      </w:r>
    </w:p>
    <w:p w14:paraId="54630CE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技能展演人员</w:t>
      </w:r>
      <w:r>
        <w:rPr>
          <w:rFonts w:ascii="Calibri" w:hAnsi="Calibri" w:eastAsia="宋体" w:cs="Calibri"/>
          <w:color w:val="000000"/>
          <w:kern w:val="2"/>
          <w:sz w:val="24"/>
          <w:szCs w:val="24"/>
          <w:lang w:val="en-US" w:eastAsia="zh-CN" w:bidi="ar-SA"/>
        </w:rPr>
        <w:t>：8</w:t>
      </w:r>
      <w:r>
        <w:rPr>
          <w:color w:val="000000"/>
          <w:sz w:val="24"/>
          <w:szCs w:val="24"/>
        </w:rPr>
        <w:t>人，服务周期5天；</w:t>
      </w:r>
    </w:p>
    <w:p w14:paraId="7DB9611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场馆搭建布展人社工作人员：3人</w:t>
      </w:r>
      <w:r>
        <w:rPr>
          <w:rFonts w:hint="eastAsia"/>
          <w:color w:val="000000"/>
          <w:sz w:val="24"/>
          <w:szCs w:val="24"/>
          <w:lang w:eastAsia="zh-CN"/>
        </w:rPr>
        <w:t>，</w:t>
      </w:r>
      <w:r>
        <w:rPr>
          <w:color w:val="000000"/>
          <w:sz w:val="24"/>
          <w:szCs w:val="24"/>
        </w:rPr>
        <w:t>服务周期9天；</w:t>
      </w:r>
    </w:p>
    <w:p w14:paraId="3CCD25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各县区人社领队：4人，服务周期5天；</w:t>
      </w:r>
    </w:p>
    <w:p w14:paraId="3F6294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车辆保障周期：市内商务车使用共计9天。</w:t>
      </w:r>
    </w:p>
    <w:p w14:paraId="7C6A17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第二条 合同价款</w:t>
      </w:r>
    </w:p>
    <w:p w14:paraId="6FFF80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color w:val="000000"/>
          <w:sz w:val="24"/>
          <w:szCs w:val="24"/>
        </w:rPr>
      </w:pPr>
      <w:r>
        <w:rPr>
          <w:rFonts w:ascii="宋体" w:hAnsi="宋体" w:eastAsia="宋体" w:cs="宋体"/>
          <w:color w:val="000000"/>
          <w:kern w:val="0"/>
          <w:sz w:val="24"/>
          <w:szCs w:val="24"/>
          <w:lang w:val="en-US" w:eastAsia="zh-CN" w:bidi="ar"/>
        </w:rPr>
        <w:t>本合同全部服务包干总价：人民币</w:t>
      </w:r>
      <w:r>
        <w:rPr>
          <w:rStyle w:val="38"/>
          <w:rFonts w:hint="eastAsia" w:ascii="宋体" w:hAnsi="宋体" w:eastAsia="宋体" w:cs="宋体"/>
          <w:color w:val="000000"/>
          <w:kern w:val="0"/>
          <w:sz w:val="24"/>
          <w:szCs w:val="24"/>
          <w:u w:val="single"/>
          <w:lang w:val="en-US" w:eastAsia="zh-CN" w:bidi="ar"/>
        </w:rPr>
        <w:t xml:space="preserve">           </w:t>
      </w:r>
      <w:r>
        <w:rPr>
          <w:rStyle w:val="38"/>
          <w:rFonts w:ascii="宋体" w:hAnsi="宋体" w:eastAsia="宋体" w:cs="宋体"/>
          <w:b w:val="0"/>
          <w:bCs w:val="0"/>
          <w:color w:val="000000"/>
          <w:kern w:val="0"/>
          <w:sz w:val="24"/>
          <w:szCs w:val="24"/>
          <w:lang w:val="en-US" w:eastAsia="zh-CN" w:bidi="ar"/>
        </w:rPr>
        <w:t>元（大写：</w:t>
      </w:r>
      <w:r>
        <w:rPr>
          <w:rStyle w:val="38"/>
          <w:rFonts w:hint="eastAsia" w:ascii="宋体" w:hAnsi="宋体" w:eastAsia="宋体" w:cs="宋体"/>
          <w:b w:val="0"/>
          <w:bCs w:val="0"/>
          <w:color w:val="000000"/>
          <w:kern w:val="0"/>
          <w:sz w:val="24"/>
          <w:szCs w:val="24"/>
          <w:u w:val="single"/>
          <w:lang w:val="en-US" w:eastAsia="zh-CN" w:bidi="ar"/>
        </w:rPr>
        <w:t xml:space="preserve">                </w:t>
      </w:r>
      <w:r>
        <w:rPr>
          <w:rStyle w:val="38"/>
          <w:rFonts w:ascii="宋体" w:hAnsi="宋体" w:eastAsia="宋体" w:cs="宋体"/>
          <w:b w:val="0"/>
          <w:bCs w:val="0"/>
          <w:color w:val="000000"/>
          <w:kern w:val="0"/>
          <w:sz w:val="24"/>
          <w:szCs w:val="24"/>
          <w:lang w:val="en-US" w:eastAsia="zh-CN" w:bidi="ar"/>
        </w:rPr>
        <w:t>）</w:t>
      </w:r>
      <w:r>
        <w:rPr>
          <w:rFonts w:ascii="宋体" w:hAnsi="宋体" w:eastAsia="宋体" w:cs="宋体"/>
          <w:b w:val="0"/>
          <w:bCs w:val="0"/>
          <w:color w:val="000000"/>
          <w:kern w:val="0"/>
          <w:sz w:val="24"/>
          <w:szCs w:val="24"/>
          <w:lang w:val="en-US" w:eastAsia="zh-CN" w:bidi="ar"/>
        </w:rPr>
        <w:t>，</w:t>
      </w:r>
      <w:r>
        <w:rPr>
          <w:rFonts w:ascii="宋体" w:hAnsi="宋体" w:eastAsia="宋体" w:cs="宋体"/>
          <w:color w:val="000000"/>
          <w:kern w:val="0"/>
          <w:sz w:val="24"/>
          <w:szCs w:val="24"/>
          <w:lang w:val="en-US" w:eastAsia="zh-CN" w:bidi="ar"/>
        </w:rPr>
        <w:t>该价款为固定总价，包含人工、物料、交通、食宿、保险、视频制作、场馆搭建、运输、税费、管理等全部费用，除本合同另有约定外，甲方无需额外支付任何款项。</w:t>
      </w:r>
    </w:p>
    <w:p w14:paraId="621911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第三条 双方权利与义务</w:t>
      </w:r>
    </w:p>
    <w:p w14:paraId="3C0CD9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（一）甲方权利义务</w:t>
      </w:r>
    </w:p>
    <w:p w14:paraId="5334A9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color w:val="000000"/>
          <w:sz w:val="24"/>
          <w:szCs w:val="24"/>
          <w:lang w:val="en-US" w:eastAsia="zh-CN"/>
        </w:rPr>
        <w:t>1.</w:t>
      </w:r>
      <w:r>
        <w:rPr>
          <w:color w:val="000000"/>
          <w:sz w:val="24"/>
          <w:szCs w:val="24"/>
        </w:rPr>
        <w:t>甲方负责明确4项技能展演项目清单、人员名单、服务起止时间，及时向乙方提供大赛相关要求、展馆尺寸、展示主题等基础资料；</w:t>
      </w:r>
    </w:p>
    <w:p w14:paraId="4F82339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甲方有权全程监督乙方视频制作、场馆搭建、交通食宿保障、保险投保全部服务流程，对不符合大赛标准的服务内容要求乙方限期整改；</w:t>
      </w:r>
    </w:p>
    <w:p w14:paraId="4399D81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甲方按本合同约定按时足额支付合同款项；</w:t>
      </w:r>
    </w:p>
    <w:p w14:paraId="09F4ABE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甲方配合乙方对接赛事主办方、场馆管理方，协调现场施工、人员通行相关事宜；</w:t>
      </w:r>
    </w:p>
    <w:p w14:paraId="4E4EFE7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5.</w:t>
      </w:r>
      <w:r>
        <w:rPr>
          <w:color w:val="000000"/>
          <w:sz w:val="24"/>
          <w:szCs w:val="24"/>
        </w:rPr>
        <w:t>甲方负责提供展演人员、工作人员、领队准确身份信息，用于乙方投保意外险、安排食宿交通。</w:t>
      </w:r>
    </w:p>
    <w:p w14:paraId="65D587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（二）乙方权利义务</w:t>
      </w:r>
    </w:p>
    <w:p w14:paraId="2971447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乙方严格按照大赛要求完成 4 套展演宣传视频制作，视频画质、时长、内容符合赛事宣传标准，交付完整成片、源文件；</w:t>
      </w:r>
    </w:p>
    <w:p w14:paraId="5D1690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乙方按赛事工期完成展馆设计、搭建、布置、后期拆除清运，保证展馆结构安全、美观，符合职业技能大赛展示规范；</w:t>
      </w:r>
    </w:p>
    <w:p w14:paraId="537ABF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乙方统一统筹安排全部人员往返交通、机场接驳、市内通勤车辆，车辆合规、车况良好，配备专职驾驶员，保障出行安全；</w:t>
      </w:r>
    </w:p>
    <w:p w14:paraId="597D651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乙方统一预订符合标准住宿房间、工作餐，保障所有人员用餐、住宿环境安全卫生；</w:t>
      </w:r>
    </w:p>
    <w:p w14:paraId="08F112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5.</w:t>
      </w:r>
      <w:r>
        <w:rPr>
          <w:color w:val="000000"/>
          <w:sz w:val="24"/>
          <w:szCs w:val="24"/>
        </w:rPr>
        <w:t>乙方在人员上岗前统一办理对应周期人身意外伤害保险，保险单据交付甲方留存；</w:t>
      </w:r>
    </w:p>
    <w:p w14:paraId="3930D8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6.</w:t>
      </w:r>
      <w:r>
        <w:rPr>
          <w:color w:val="000000"/>
          <w:sz w:val="24"/>
          <w:szCs w:val="24"/>
        </w:rPr>
        <w:t>乙方承担服务期间车辆、施工、食宿、拍摄产生的全部安全责任，若发生人身伤害、财产损失，由乙方全额承担赔偿；</w:t>
      </w:r>
    </w:p>
    <w:p w14:paraId="070CCD4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7.</w:t>
      </w:r>
      <w:r>
        <w:rPr>
          <w:color w:val="000000"/>
          <w:sz w:val="24"/>
          <w:szCs w:val="24"/>
        </w:rPr>
        <w:t>乙方须在服务全部结束后3个工作日内向甲方提交完整费用台账、发票、保险单、视频成品、场馆施工验收资料等全套结算材料。</w:t>
      </w:r>
    </w:p>
    <w:p w14:paraId="04FA6F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第四条 付款方式</w:t>
      </w:r>
    </w:p>
    <w:p w14:paraId="7D2B389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auto"/>
          <w:sz w:val="24"/>
          <w:szCs w:val="24"/>
        </w:rPr>
      </w:pPr>
      <w:r>
        <w:rPr>
          <w:rFonts w:ascii="Calibri" w:hAnsi="Calibri" w:eastAsia="宋体" w:cs="Calibri"/>
          <w:color w:val="auto"/>
          <w:kern w:val="2"/>
          <w:sz w:val="24"/>
          <w:szCs w:val="24"/>
          <w:lang w:val="en-US" w:eastAsia="zh-CN" w:bidi="ar-SA"/>
        </w:rPr>
        <w:t>1</w:t>
      </w:r>
      <w:r>
        <w:rPr>
          <w:rFonts w:hint="eastAsia" w:cs="Calibri"/>
          <w:color w:val="auto"/>
          <w:kern w:val="2"/>
          <w:sz w:val="24"/>
          <w:szCs w:val="24"/>
          <w:lang w:val="en-US" w:eastAsia="zh-CN" w:bidi="ar-SA"/>
        </w:rPr>
        <w:t>.</w:t>
      </w:r>
      <w:r>
        <w:rPr>
          <w:rFonts w:hint="eastAsia" w:ascii="宋体" w:hAnsi="宋体" w:cs="宋体"/>
          <w:snapToGrid w:val="0"/>
          <w:color w:val="auto"/>
          <w:kern w:val="0"/>
          <w:sz w:val="24"/>
          <w:szCs w:val="24"/>
          <w:highlight w:val="none"/>
          <w:lang w:val="en-US" w:eastAsia="zh-CN"/>
        </w:rPr>
        <w:t>合同签订生效后支付合同总额的60%，主体搭建完工且符合赛事要求付合同总额的30%，全部完成本项目后支付合同总额的10%。</w:t>
      </w:r>
    </w:p>
    <w:p w14:paraId="26DA0B1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hint="eastAsia" w:cs="Calibri"/>
          <w:color w:val="000000"/>
          <w:kern w:val="2"/>
          <w:sz w:val="24"/>
          <w:szCs w:val="24"/>
          <w:lang w:val="en-US" w:eastAsia="zh-CN" w:bidi="ar-SA"/>
        </w:rPr>
        <w:t>2</w:t>
      </w:r>
      <w:r>
        <w:rPr>
          <w:rFonts w:ascii="Calibri" w:hAnsi="Calibri" w:eastAsia="宋体" w:cs="Calibri"/>
          <w:color w:val="000000"/>
          <w:kern w:val="2"/>
          <w:sz w:val="24"/>
          <w:szCs w:val="24"/>
          <w:lang w:val="en-US" w:eastAsia="zh-CN" w:bidi="ar-SA"/>
        </w:rPr>
        <w:t>.</w:t>
      </w:r>
      <w:r>
        <w:rPr>
          <w:color w:val="000000"/>
          <w:sz w:val="24"/>
          <w:szCs w:val="24"/>
        </w:rPr>
        <w:t>银行对公转账，乙方提供有效对公收款账户信息。</w:t>
      </w:r>
    </w:p>
    <w:p w14:paraId="7BB2E5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第五条 服务验收标准</w:t>
      </w:r>
    </w:p>
    <w:p w14:paraId="518308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视频验收：宣传视频完整交付，画面清晰、内容贴合技能展演主题，甲方书面确认无修改意见即视为验收合格；</w:t>
      </w:r>
    </w:p>
    <w:p w14:paraId="03D9CA1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场馆搭建验收：展馆搭建完成后，甲方现场核查结构、展示布局、安全设施，无破损、无安全隐患即为验收合格；</w:t>
      </w:r>
    </w:p>
    <w:p w14:paraId="60AEF9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配套服务验收：交通、食宿、保险全部按约定标准落实，人员无投诉、无安全事故，相关票据、保单齐全，视为配套服务验收合格；</w:t>
      </w:r>
    </w:p>
    <w:p w14:paraId="77F81FB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整体验收：全部项目完成后甲乙双方签署《服务验收单》，验收单作为尾款支付依据。</w:t>
      </w:r>
    </w:p>
    <w:p w14:paraId="2B7DA1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rFonts w:hint="eastAsia"/>
          <w:color w:val="000000"/>
          <w:sz w:val="24"/>
          <w:szCs w:val="24"/>
          <w:lang w:eastAsia="zh-CN"/>
        </w:rPr>
      </w:pPr>
      <w:r>
        <w:rPr>
          <w:color w:val="000000"/>
          <w:sz w:val="24"/>
          <w:szCs w:val="24"/>
        </w:rPr>
        <w:t>第六条 服务期限</w:t>
      </w:r>
      <w:r>
        <w:rPr>
          <w:rFonts w:hint="eastAsia"/>
          <w:color w:val="000000"/>
          <w:sz w:val="24"/>
          <w:szCs w:val="24"/>
          <w:lang w:eastAsia="zh-CN"/>
        </w:rPr>
        <w:t>：</w:t>
      </w:r>
    </w:p>
    <w:p w14:paraId="7E7C1B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rFonts w:hint="eastAsia"/>
          <w:b w:val="0"/>
          <w:bCs w:val="0"/>
          <w:color w:val="000000"/>
          <w:sz w:val="24"/>
          <w:szCs w:val="24"/>
          <w:lang w:val="en-US" w:eastAsia="zh-CN"/>
        </w:rPr>
      </w:pPr>
      <w:r>
        <w:rPr>
          <w:rFonts w:hint="eastAsia" w:ascii="Calibri" w:hAnsi="Calibri" w:eastAsia="宋体" w:cs="Calibri"/>
          <w:b w:val="0"/>
          <w:bCs w:val="0"/>
          <w:color w:val="000000"/>
          <w:kern w:val="2"/>
          <w:sz w:val="24"/>
          <w:szCs w:val="24"/>
          <w:lang w:val="en-US" w:eastAsia="zh-CN" w:bidi="ar-SA"/>
        </w:rPr>
        <w:t>1.</w:t>
      </w:r>
      <w:r>
        <w:rPr>
          <w:rFonts w:hint="eastAsia" w:ascii="Calibri" w:hAnsi="Calibri" w:cs="Calibri"/>
          <w:b w:val="0"/>
          <w:bCs w:val="0"/>
          <w:color w:val="000000"/>
          <w:kern w:val="2"/>
          <w:sz w:val="24"/>
          <w:szCs w:val="24"/>
          <w:lang w:val="en-US" w:eastAsia="zh-CN" w:bidi="ar-SA"/>
        </w:rPr>
        <w:t>自合同签订生效之日起直至大赛结束为</w:t>
      </w:r>
      <w:r>
        <w:rPr>
          <w:rFonts w:hint="eastAsia"/>
          <w:b w:val="0"/>
          <w:bCs w:val="0"/>
          <w:color w:val="000000"/>
          <w:sz w:val="24"/>
          <w:szCs w:val="24"/>
          <w:lang w:val="en-US" w:eastAsia="zh-CN"/>
        </w:rPr>
        <w:t>止。</w:t>
      </w:r>
    </w:p>
    <w:p w14:paraId="7FD91C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0" w:firstLineChars="200"/>
        <w:jc w:val="left"/>
        <w:textAlignment w:val="auto"/>
        <w:rPr>
          <w:color w:val="000000"/>
          <w:sz w:val="24"/>
          <w:szCs w:val="24"/>
        </w:rPr>
      </w:pPr>
      <w:r>
        <w:rPr>
          <w:b w:val="0"/>
          <w:bCs w:val="0"/>
          <w:color w:val="000000"/>
          <w:sz w:val="24"/>
          <w:szCs w:val="24"/>
        </w:rPr>
        <w:t>场馆搭建工作须在大赛开幕前</w:t>
      </w:r>
      <w:r>
        <w:rPr>
          <w:rFonts w:hint="eastAsia"/>
          <w:b w:val="0"/>
          <w:bCs w:val="0"/>
          <w:color w:val="000000"/>
          <w:sz w:val="24"/>
          <w:szCs w:val="24"/>
          <w:lang w:val="en-US" w:eastAsia="zh-CN"/>
        </w:rPr>
        <w:t>1</w:t>
      </w:r>
      <w:r>
        <w:rPr>
          <w:b w:val="0"/>
          <w:bCs w:val="0"/>
          <w:color w:val="000000"/>
          <w:sz w:val="24"/>
          <w:szCs w:val="24"/>
        </w:rPr>
        <w:t>日全部完工，撤展工作在大赛闭幕后1日内完成。</w:t>
      </w:r>
    </w:p>
    <w:p w14:paraId="5B4006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第七条 安全责任约定</w:t>
      </w:r>
    </w:p>
    <w:p w14:paraId="30359F5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乙方为本合同项下全部服务、全部参与人员安全责任第一承担方；</w:t>
      </w:r>
    </w:p>
    <w:p w14:paraId="28B3598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场馆施工、车辆运输、食宿期间发生人员受伤、财产损毁、第三方索赔等全部事故，赔偿、处置费用均由乙方承担；</w:t>
      </w:r>
    </w:p>
    <w:p w14:paraId="5D6C72F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乙方已统一投保人身意外险，保险赔付不足部分全部由乙方补足；因乙方未及时投保、漏保产生的全部损失由乙方自行承担。</w:t>
      </w:r>
    </w:p>
    <w:p w14:paraId="26E74F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第八条 违约责任</w:t>
      </w:r>
    </w:p>
    <w:p w14:paraId="39B4C76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乙方逾期完成视频制作、场馆搭建，每逾期一日，按合同总价款0.5%向甲方支付违约金；逾期超过3日，甲方有权单方解除合同，乙方退还全部已收款项，并赔偿甲方实际损失；</w:t>
      </w:r>
    </w:p>
    <w:p w14:paraId="234D60F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2.</w:t>
      </w:r>
      <w:r>
        <w:rPr>
          <w:color w:val="000000"/>
          <w:sz w:val="24"/>
          <w:szCs w:val="24"/>
        </w:rPr>
        <w:t>乙方提供食宿、车辆、视频、场馆标准低于合同约定，甲方有权要求乙方3日内整改，逾期未整改，甲方扣除对应分项10%-30%合同款；</w:t>
      </w:r>
    </w:p>
    <w:p w14:paraId="2F71EB3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3.</w:t>
      </w:r>
      <w:r>
        <w:rPr>
          <w:color w:val="000000"/>
          <w:sz w:val="24"/>
          <w:szCs w:val="24"/>
        </w:rPr>
        <w:t>甲方逾期支付款项，每逾期一日，按应付未付金额0.05%支付违约金；因乙方未提供合规发票导致付款延迟的，甲方不承担违约责任；</w:t>
      </w:r>
    </w:p>
    <w:p w14:paraId="76488AD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4.</w:t>
      </w:r>
      <w:r>
        <w:rPr>
          <w:color w:val="000000"/>
          <w:sz w:val="24"/>
          <w:szCs w:val="24"/>
        </w:rPr>
        <w:t>任何一方擅自单方解除合同，需向对方支付合同总价款20%作为违约金。</w:t>
      </w:r>
    </w:p>
    <w:p w14:paraId="651155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firstLine="482" w:firstLineChars="200"/>
        <w:jc w:val="left"/>
        <w:textAlignment w:val="auto"/>
        <w:rPr>
          <w:color w:val="000000"/>
          <w:sz w:val="24"/>
          <w:szCs w:val="24"/>
        </w:rPr>
      </w:pPr>
      <w:r>
        <w:rPr>
          <w:color w:val="000000"/>
          <w:sz w:val="24"/>
          <w:szCs w:val="24"/>
        </w:rPr>
        <w:t>第九条 其他约定</w:t>
      </w:r>
    </w:p>
    <w:p w14:paraId="2D01B3D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ascii="Calibri" w:hAnsi="Calibri" w:eastAsia="宋体" w:cs="Calibri"/>
          <w:color w:val="000000"/>
          <w:kern w:val="2"/>
          <w:sz w:val="24"/>
          <w:szCs w:val="24"/>
          <w:lang w:val="en-US" w:eastAsia="zh-CN" w:bidi="ar-SA"/>
        </w:rPr>
        <w:t>1.</w:t>
      </w:r>
      <w:r>
        <w:rPr>
          <w:color w:val="000000"/>
          <w:sz w:val="24"/>
          <w:szCs w:val="24"/>
        </w:rPr>
        <w:t>合同履行期间产生的变更事项，双方需签署书面补充协议，口头约定无效；</w:t>
      </w:r>
    </w:p>
    <w:p w14:paraId="1A3D558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hint="eastAsia" w:cs="Calibri"/>
          <w:color w:val="000000"/>
          <w:kern w:val="2"/>
          <w:sz w:val="24"/>
          <w:szCs w:val="24"/>
          <w:lang w:val="en-US" w:eastAsia="zh-CN" w:bidi="ar-SA"/>
        </w:rPr>
        <w:t>2</w:t>
      </w:r>
      <w:r>
        <w:rPr>
          <w:rFonts w:ascii="Calibri" w:hAnsi="Calibri" w:eastAsia="宋体" w:cs="Calibri"/>
          <w:color w:val="000000"/>
          <w:kern w:val="2"/>
          <w:sz w:val="24"/>
          <w:szCs w:val="24"/>
          <w:lang w:val="en-US" w:eastAsia="zh-CN" w:bidi="ar-SA"/>
        </w:rPr>
        <w:t>.</w:t>
      </w:r>
      <w:r>
        <w:rPr>
          <w:color w:val="000000"/>
          <w:sz w:val="24"/>
          <w:szCs w:val="24"/>
        </w:rPr>
        <w:t>本合同履行产生争议，双方优先协商解决；协商不成，提交甲方所在地人民法院诉讼解决；</w:t>
      </w:r>
    </w:p>
    <w:p w14:paraId="213E192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leftChars="0" w:right="0" w:rightChars="0" w:firstLine="480" w:firstLineChars="200"/>
        <w:jc w:val="left"/>
        <w:textAlignment w:val="auto"/>
        <w:rPr>
          <w:color w:val="000000"/>
          <w:sz w:val="24"/>
          <w:szCs w:val="24"/>
        </w:rPr>
      </w:pPr>
      <w:r>
        <w:rPr>
          <w:rFonts w:hint="eastAsia" w:cs="Calibri"/>
          <w:color w:val="000000"/>
          <w:kern w:val="2"/>
          <w:sz w:val="24"/>
          <w:szCs w:val="24"/>
          <w:lang w:val="en-US" w:eastAsia="zh-CN" w:bidi="ar-SA"/>
        </w:rPr>
        <w:t>3</w:t>
      </w:r>
      <w:r>
        <w:rPr>
          <w:rFonts w:ascii="Calibri" w:hAnsi="Calibri" w:eastAsia="宋体" w:cs="Calibri"/>
          <w:color w:val="000000"/>
          <w:kern w:val="2"/>
          <w:sz w:val="24"/>
          <w:szCs w:val="24"/>
          <w:lang w:val="en-US" w:eastAsia="zh-CN" w:bidi="ar-SA"/>
        </w:rPr>
        <w:t>.</w:t>
      </w:r>
      <w:r>
        <w:rPr>
          <w:color w:val="000000"/>
          <w:sz w:val="24"/>
          <w:szCs w:val="24"/>
        </w:rPr>
        <w:t>本合同一式</w:t>
      </w:r>
      <w:r>
        <w:rPr>
          <w:rFonts w:hint="eastAsia"/>
          <w:color w:val="000000"/>
          <w:sz w:val="24"/>
          <w:szCs w:val="24"/>
          <w:u w:val="single"/>
          <w:lang w:val="en-US" w:eastAsia="zh-CN"/>
        </w:rPr>
        <w:t xml:space="preserve">   </w:t>
      </w:r>
      <w:r>
        <w:rPr>
          <w:color w:val="000000"/>
          <w:sz w:val="24"/>
          <w:szCs w:val="24"/>
        </w:rPr>
        <w:t>份，甲方执</w:t>
      </w:r>
      <w:r>
        <w:rPr>
          <w:rFonts w:hint="eastAsia"/>
          <w:color w:val="000000"/>
          <w:sz w:val="24"/>
          <w:szCs w:val="24"/>
          <w:u w:val="single"/>
          <w:lang w:val="en-US" w:eastAsia="zh-CN"/>
        </w:rPr>
        <w:t xml:space="preserve">   </w:t>
      </w:r>
      <w:r>
        <w:rPr>
          <w:color w:val="000000"/>
          <w:sz w:val="24"/>
          <w:szCs w:val="24"/>
        </w:rPr>
        <w:t>份，乙方执</w:t>
      </w:r>
      <w:r>
        <w:rPr>
          <w:rFonts w:hint="eastAsia"/>
          <w:color w:val="000000"/>
          <w:sz w:val="24"/>
          <w:szCs w:val="24"/>
          <w:u w:val="single"/>
          <w:lang w:val="en-US" w:eastAsia="zh-CN"/>
        </w:rPr>
        <w:t xml:space="preserve">   </w:t>
      </w:r>
      <w:r>
        <w:rPr>
          <w:color w:val="000000"/>
          <w:sz w:val="24"/>
          <w:szCs w:val="24"/>
        </w:rPr>
        <w:t>份，签字盖章后生效，服务款项结清、质保义务履行完毕自动终止。</w:t>
      </w:r>
    </w:p>
    <w:p w14:paraId="10824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325468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 xml:space="preserve">甲方（盖章）：安康市人力资源和社会保障局 </w:t>
      </w:r>
    </w:p>
    <w:p w14:paraId="4358C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lang w:val="en-US" w:eastAsia="zh-CN" w:bidi="ar"/>
        </w:rPr>
        <w:t>或</w:t>
      </w:r>
      <w:r>
        <w:rPr>
          <w:rFonts w:ascii="宋体" w:hAnsi="宋体" w:eastAsia="宋体" w:cs="宋体"/>
          <w:color w:val="000000"/>
          <w:kern w:val="0"/>
          <w:sz w:val="24"/>
          <w:szCs w:val="24"/>
          <w:lang w:val="en-US" w:eastAsia="zh-CN" w:bidi="ar"/>
        </w:rPr>
        <w:t xml:space="preserve">授权代表人（签字）：____________ </w:t>
      </w:r>
    </w:p>
    <w:p w14:paraId="1ADB68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4"/>
          <w:szCs w:val="24"/>
        </w:rPr>
      </w:pPr>
      <w:r>
        <w:rPr>
          <w:rFonts w:ascii="宋体" w:hAnsi="宋体" w:eastAsia="宋体" w:cs="宋体"/>
          <w:color w:val="000000"/>
          <w:kern w:val="0"/>
          <w:sz w:val="24"/>
          <w:szCs w:val="24"/>
          <w:lang w:val="en-US" w:eastAsia="zh-CN" w:bidi="ar"/>
        </w:rPr>
        <w:t>签订日期：______年____月____日</w:t>
      </w:r>
    </w:p>
    <w:p w14:paraId="6C7A1F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4"/>
          <w:szCs w:val="24"/>
          <w:lang w:val="en-US" w:eastAsia="zh-CN" w:bidi="ar"/>
        </w:rPr>
      </w:pPr>
    </w:p>
    <w:p w14:paraId="193D2A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 xml:space="preserve">乙方（盖章）：________________________ </w:t>
      </w:r>
    </w:p>
    <w:p w14:paraId="6D9FAC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法定代表人</w:t>
      </w:r>
      <w:r>
        <w:rPr>
          <w:rFonts w:hint="eastAsia" w:ascii="宋体" w:hAnsi="宋体" w:eastAsia="宋体" w:cs="宋体"/>
          <w:color w:val="000000"/>
          <w:kern w:val="0"/>
          <w:sz w:val="24"/>
          <w:szCs w:val="24"/>
          <w:lang w:val="en-US" w:eastAsia="zh-CN" w:bidi="ar"/>
        </w:rPr>
        <w:t>或</w:t>
      </w:r>
      <w:r>
        <w:rPr>
          <w:rFonts w:ascii="宋体" w:hAnsi="宋体" w:eastAsia="宋体" w:cs="宋体"/>
          <w:color w:val="000000"/>
          <w:kern w:val="0"/>
          <w:sz w:val="24"/>
          <w:szCs w:val="24"/>
          <w:lang w:val="en-US" w:eastAsia="zh-CN" w:bidi="ar"/>
        </w:rPr>
        <w:t xml:space="preserve">授权代表人（签字）：____________ </w:t>
      </w:r>
    </w:p>
    <w:p w14:paraId="5D8AAF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left"/>
        <w:textAlignment w:val="auto"/>
        <w:rPr>
          <w:color w:val="000000"/>
          <w:sz w:val="24"/>
          <w:szCs w:val="24"/>
        </w:rPr>
      </w:pPr>
      <w:r>
        <w:rPr>
          <w:rFonts w:ascii="宋体" w:hAnsi="宋体" w:eastAsia="宋体" w:cs="宋体"/>
          <w:color w:val="000000"/>
          <w:kern w:val="0"/>
          <w:sz w:val="24"/>
          <w:szCs w:val="24"/>
          <w:lang w:val="en-US" w:eastAsia="zh-CN" w:bidi="ar"/>
        </w:rPr>
        <w:t>签订日期：______年____月____日</w:t>
      </w:r>
    </w:p>
    <w:p w14:paraId="2352DE9F">
      <w:pPr>
        <w:pStyle w:val="22"/>
        <w:numPr>
          <w:ilvl w:val="0"/>
          <w:numId w:val="0"/>
        </w:numPr>
        <w:spacing w:before="0" w:after="0" w:line="420" w:lineRule="exact"/>
        <w:jc w:val="center"/>
        <w:outlineLvl w:val="0"/>
        <w:rPr>
          <w:rFonts w:hint="eastAsia"/>
          <w:color w:val="auto"/>
          <w:sz w:val="36"/>
          <w:lang w:val="en-US" w:eastAsia="zh-CN"/>
        </w:rPr>
        <w:sectPr>
          <w:headerReference r:id="rId15" w:type="first"/>
          <w:footerReference r:id="rId17" w:type="first"/>
          <w:headerReference r:id="rId14" w:type="default"/>
          <w:footerReference r:id="rId16" w:type="default"/>
          <w:pgSz w:w="11906" w:h="16838"/>
          <w:pgMar w:top="1417" w:right="1417" w:bottom="1417" w:left="1417" w:header="1134" w:footer="992" w:gutter="0"/>
          <w:pgNumType w:fmt="decimal"/>
          <w:cols w:space="0" w:num="1"/>
          <w:titlePg/>
          <w:rtlGutter w:val="0"/>
          <w:docGrid w:type="lines" w:linePitch="333" w:charSpace="0"/>
        </w:sectPr>
      </w:pPr>
    </w:p>
    <w:p w14:paraId="1938E3FB">
      <w:pPr>
        <w:pStyle w:val="22"/>
        <w:numPr>
          <w:ilvl w:val="0"/>
          <w:numId w:val="0"/>
        </w:numPr>
        <w:spacing w:before="0" w:after="0" w:line="420" w:lineRule="exact"/>
        <w:jc w:val="center"/>
        <w:outlineLvl w:val="0"/>
        <w:rPr>
          <w:rFonts w:hint="eastAsia" w:eastAsia="宋体"/>
          <w:color w:val="auto"/>
          <w:sz w:val="36"/>
        </w:rPr>
      </w:pPr>
      <w:bookmarkStart w:id="53" w:name="_Toc22897"/>
      <w:r>
        <w:rPr>
          <w:rFonts w:hint="eastAsia"/>
          <w:color w:val="auto"/>
          <w:sz w:val="36"/>
          <w:lang w:val="en-US" w:eastAsia="zh-CN"/>
        </w:rPr>
        <w:t xml:space="preserve">第七部分 </w:t>
      </w:r>
      <w:r>
        <w:rPr>
          <w:rFonts w:hint="eastAsia" w:eastAsia="宋体"/>
          <w:color w:val="auto"/>
          <w:sz w:val="36"/>
        </w:rPr>
        <w:t xml:space="preserve">  响应文件格式</w:t>
      </w:r>
      <w:bookmarkEnd w:id="53"/>
    </w:p>
    <w:p w14:paraId="5E0D34AD">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655307F1">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4FB4E78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01FBE90E">
      <w:pPr>
        <w:widowControl/>
        <w:spacing w:line="600" w:lineRule="exact"/>
        <w:rPr>
          <w:rFonts w:cs="仿宋" w:asciiTheme="minorEastAsia" w:hAnsiTheme="minorEastAsia" w:eastAsiaTheme="minorEastAsia"/>
          <w:bCs/>
          <w:color w:val="auto"/>
          <w:spacing w:val="20"/>
          <w:kern w:val="0"/>
          <w:sz w:val="84"/>
          <w:szCs w:val="84"/>
        </w:rPr>
      </w:pPr>
    </w:p>
    <w:p w14:paraId="1A22C426">
      <w:pPr>
        <w:pStyle w:val="5"/>
        <w:rPr>
          <w:color w:val="auto"/>
        </w:rPr>
      </w:pPr>
    </w:p>
    <w:p w14:paraId="45B5413B">
      <w:pPr>
        <w:rPr>
          <w:color w:val="auto"/>
        </w:rPr>
      </w:pPr>
    </w:p>
    <w:p w14:paraId="4E679573">
      <w:pPr>
        <w:pStyle w:val="5"/>
        <w:rPr>
          <w:color w:val="auto"/>
        </w:rPr>
      </w:pPr>
    </w:p>
    <w:p w14:paraId="57B28BA9">
      <w:pPr>
        <w:rPr>
          <w:color w:val="auto"/>
        </w:rPr>
      </w:pPr>
    </w:p>
    <w:p w14:paraId="4E3D65B1">
      <w:pPr>
        <w:adjustRightInd w:val="0"/>
        <w:snapToGrid w:val="0"/>
        <w:spacing w:line="360" w:lineRule="auto"/>
        <w:ind w:right="338" w:rightChars="161"/>
        <w:jc w:val="center"/>
        <w:rPr>
          <w:rFonts w:hint="default" w:ascii="宋体" w:hAnsi="宋体" w:cs="仿宋_GB2312"/>
          <w:color w:val="auto"/>
          <w:sz w:val="24"/>
          <w:lang w:val="en-US"/>
        </w:rPr>
      </w:pPr>
      <w:r>
        <w:rPr>
          <w:rFonts w:hint="eastAsia" w:ascii="宋体" w:hAnsi="宋体" w:cs="宋体"/>
          <w:b/>
          <w:bCs/>
          <w:color w:val="auto"/>
          <w:sz w:val="56"/>
          <w:szCs w:val="56"/>
          <w:u w:val="single"/>
          <w:lang w:val="en-US" w:eastAsia="zh-CN"/>
        </w:rPr>
        <w:t xml:space="preserve">                 </w:t>
      </w:r>
      <w:r>
        <w:rPr>
          <w:rFonts w:hint="eastAsia" w:ascii="宋体" w:hAnsi="宋体" w:cs="宋体"/>
          <w:b/>
          <w:bCs/>
          <w:color w:val="auto"/>
          <w:sz w:val="56"/>
          <w:szCs w:val="56"/>
          <w:u w:val="none"/>
          <w:lang w:val="en-US" w:eastAsia="zh-CN"/>
        </w:rPr>
        <w:t>项目</w:t>
      </w:r>
    </w:p>
    <w:p w14:paraId="096F119E">
      <w:pPr>
        <w:pStyle w:val="20"/>
        <w:jc w:val="center"/>
        <w:rPr>
          <w:rFonts w:ascii="宋体" w:hAnsi="宋体" w:cs="宋体"/>
          <w:b/>
          <w:bCs/>
          <w:color w:val="auto"/>
          <w:sz w:val="48"/>
          <w:szCs w:val="48"/>
        </w:rPr>
      </w:pPr>
    </w:p>
    <w:p w14:paraId="6AAE874C">
      <w:pPr>
        <w:pStyle w:val="20"/>
        <w:rPr>
          <w:color w:val="auto"/>
        </w:rPr>
      </w:pPr>
    </w:p>
    <w:p w14:paraId="7D0D2306">
      <w:pPr>
        <w:pStyle w:val="20"/>
        <w:rPr>
          <w:color w:val="auto"/>
        </w:rPr>
      </w:pPr>
    </w:p>
    <w:p w14:paraId="6D19D898">
      <w:pPr>
        <w:pStyle w:val="20"/>
        <w:rPr>
          <w:color w:val="auto"/>
        </w:rPr>
      </w:pPr>
    </w:p>
    <w:p w14:paraId="76B5CCFC">
      <w:pPr>
        <w:pStyle w:val="20"/>
        <w:rPr>
          <w:color w:val="auto"/>
        </w:rPr>
      </w:pPr>
    </w:p>
    <w:p w14:paraId="66E71B40">
      <w:pPr>
        <w:widowControl/>
        <w:spacing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33AE57BA">
      <w:pPr>
        <w:pStyle w:val="20"/>
        <w:rPr>
          <w:color w:val="auto"/>
        </w:rPr>
      </w:pPr>
    </w:p>
    <w:p w14:paraId="3715206D">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43E31C2">
      <w:pPr>
        <w:widowControl/>
        <w:spacing w:line="400" w:lineRule="exact"/>
        <w:rPr>
          <w:rFonts w:cs="仿宋" w:asciiTheme="minorEastAsia" w:hAnsiTheme="minorEastAsia" w:eastAsiaTheme="minorEastAsia"/>
          <w:bCs/>
          <w:color w:val="auto"/>
          <w:sz w:val="18"/>
          <w:szCs w:val="18"/>
        </w:rPr>
      </w:pPr>
    </w:p>
    <w:p w14:paraId="55C046BC">
      <w:pPr>
        <w:widowControl/>
        <w:spacing w:line="400" w:lineRule="exact"/>
        <w:rPr>
          <w:rFonts w:cs="仿宋" w:asciiTheme="minorEastAsia" w:hAnsiTheme="minorEastAsia" w:eastAsiaTheme="minorEastAsia"/>
          <w:bCs/>
          <w:color w:val="auto"/>
          <w:sz w:val="18"/>
          <w:szCs w:val="18"/>
        </w:rPr>
      </w:pPr>
    </w:p>
    <w:p w14:paraId="3E4199F4">
      <w:pPr>
        <w:widowControl/>
        <w:spacing w:line="400" w:lineRule="exact"/>
        <w:rPr>
          <w:rFonts w:cs="仿宋" w:asciiTheme="minorEastAsia" w:hAnsiTheme="minorEastAsia" w:eastAsiaTheme="minorEastAsia"/>
          <w:bCs/>
          <w:color w:val="auto"/>
          <w:sz w:val="18"/>
          <w:szCs w:val="18"/>
        </w:rPr>
      </w:pPr>
    </w:p>
    <w:p w14:paraId="78137CD6">
      <w:pPr>
        <w:widowControl/>
        <w:spacing w:line="480" w:lineRule="auto"/>
        <w:rPr>
          <w:rFonts w:cs="仿宋" w:asciiTheme="minorEastAsia" w:hAnsiTheme="minorEastAsia" w:eastAsiaTheme="minorEastAsia"/>
          <w:bCs/>
          <w:color w:val="auto"/>
          <w:sz w:val="36"/>
          <w:szCs w:val="36"/>
        </w:rPr>
      </w:pPr>
    </w:p>
    <w:p w14:paraId="15C47E17">
      <w:pPr>
        <w:widowControl/>
        <w:spacing w:line="480" w:lineRule="auto"/>
        <w:rPr>
          <w:rFonts w:cs="仿宋" w:asciiTheme="minorEastAsia" w:hAnsiTheme="minorEastAsia" w:eastAsiaTheme="minorEastAsia"/>
          <w:bCs/>
          <w:color w:val="auto"/>
          <w:sz w:val="36"/>
          <w:szCs w:val="36"/>
        </w:rPr>
      </w:pPr>
    </w:p>
    <w:p w14:paraId="1090E09E">
      <w:pPr>
        <w:pStyle w:val="11"/>
        <w:rPr>
          <w:color w:val="auto"/>
        </w:rPr>
      </w:pPr>
    </w:p>
    <w:p w14:paraId="761316B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____________________________</w:t>
      </w:r>
    </w:p>
    <w:p w14:paraId="0AE9D218">
      <w:pPr>
        <w:snapToGrid w:val="0"/>
        <w:spacing w:line="360" w:lineRule="auto"/>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lang w:val="en-US" w:eastAsia="zh-CN"/>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w:t>
      </w:r>
    </w:p>
    <w:p w14:paraId="26BCD25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________________________________________________________</w:t>
      </w:r>
    </w:p>
    <w:p w14:paraId="43AC6770">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292F6B40">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27E6E44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4E9E1BF4">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资格证明文件</w:t>
      </w:r>
    </w:p>
    <w:p w14:paraId="5ABFEB8A">
      <w:pPr>
        <w:pStyle w:val="20"/>
        <w:spacing w:line="360" w:lineRule="auto"/>
        <w:ind w:left="1155" w:leftChars="550"/>
        <w:rPr>
          <w:rFonts w:ascii="宋体" w:hAnsi="宋体"/>
          <w:color w:val="auto"/>
          <w:sz w:val="32"/>
          <w:szCs w:val="28"/>
        </w:rPr>
      </w:pPr>
      <w:r>
        <w:rPr>
          <w:rFonts w:hint="eastAsia" w:ascii="宋体" w:hAnsi="宋体"/>
          <w:color w:val="auto"/>
          <w:sz w:val="32"/>
          <w:szCs w:val="28"/>
        </w:rPr>
        <w:t>第四章</w:t>
      </w:r>
      <w:r>
        <w:rPr>
          <w:rFonts w:hint="eastAsia" w:ascii="宋体" w:hAnsi="宋体"/>
          <w:color w:val="auto"/>
          <w:sz w:val="32"/>
          <w:szCs w:val="28"/>
          <w:lang w:val="en-US" w:eastAsia="zh-CN"/>
        </w:rPr>
        <w:t xml:space="preserve">   技术商务响应偏离表</w:t>
      </w:r>
    </w:p>
    <w:p w14:paraId="49DB93BF">
      <w:pPr>
        <w:pStyle w:val="20"/>
        <w:spacing w:line="360" w:lineRule="auto"/>
        <w:ind w:left="1155" w:leftChars="550"/>
        <w:rPr>
          <w:rFonts w:ascii="宋体" w:hAnsi="宋体"/>
          <w:color w:val="auto"/>
          <w:sz w:val="32"/>
          <w:szCs w:val="28"/>
        </w:rPr>
      </w:pPr>
      <w:r>
        <w:rPr>
          <w:rFonts w:hint="eastAsia" w:ascii="宋体" w:hAnsi="宋体"/>
          <w:color w:val="auto"/>
          <w:sz w:val="32"/>
          <w:szCs w:val="28"/>
        </w:rPr>
        <w:t>第五章</w:t>
      </w:r>
      <w:r>
        <w:rPr>
          <w:rFonts w:hint="eastAsia" w:ascii="宋体" w:hAnsi="宋体"/>
          <w:color w:val="auto"/>
          <w:sz w:val="32"/>
          <w:szCs w:val="28"/>
          <w:lang w:val="en-US" w:eastAsia="zh-CN"/>
        </w:rPr>
        <w:t xml:space="preserve">   响应</w:t>
      </w:r>
      <w:r>
        <w:rPr>
          <w:rFonts w:hint="eastAsia" w:ascii="宋体" w:hAnsi="宋体"/>
          <w:color w:val="auto"/>
          <w:sz w:val="32"/>
          <w:szCs w:val="28"/>
        </w:rPr>
        <w:t>方案</w:t>
      </w:r>
    </w:p>
    <w:p w14:paraId="3094D50C">
      <w:pPr>
        <w:pStyle w:val="20"/>
        <w:spacing w:line="360" w:lineRule="auto"/>
        <w:ind w:left="1155" w:leftChars="550"/>
        <w:rPr>
          <w:rFonts w:ascii="宋体" w:hAnsi="宋体"/>
          <w:color w:val="auto"/>
          <w:sz w:val="32"/>
          <w:szCs w:val="28"/>
        </w:rPr>
      </w:pPr>
      <w:r>
        <w:rPr>
          <w:rFonts w:hint="eastAsia" w:ascii="宋体" w:hAnsi="宋体"/>
          <w:color w:val="auto"/>
          <w:sz w:val="32"/>
          <w:szCs w:val="28"/>
        </w:rPr>
        <w:t>第六章</w:t>
      </w:r>
      <w:r>
        <w:rPr>
          <w:rFonts w:hint="eastAsia" w:ascii="宋体" w:hAnsi="宋体"/>
          <w:color w:val="auto"/>
          <w:sz w:val="32"/>
          <w:szCs w:val="28"/>
          <w:lang w:val="en-US" w:eastAsia="zh-CN"/>
        </w:rPr>
        <w:t xml:space="preserve">   </w:t>
      </w:r>
      <w:r>
        <w:rPr>
          <w:rFonts w:hint="eastAsia" w:ascii="宋体" w:hAnsi="宋体"/>
          <w:color w:val="auto"/>
          <w:sz w:val="32"/>
          <w:szCs w:val="28"/>
        </w:rPr>
        <w:t>供应商承诺书</w:t>
      </w:r>
    </w:p>
    <w:p w14:paraId="60FEE06D">
      <w:pPr>
        <w:pStyle w:val="20"/>
        <w:spacing w:line="360" w:lineRule="auto"/>
        <w:ind w:left="1155" w:leftChars="550"/>
        <w:rPr>
          <w:rFonts w:ascii="宋体" w:hAnsi="宋体"/>
          <w:color w:val="auto"/>
          <w:sz w:val="32"/>
          <w:szCs w:val="28"/>
        </w:rPr>
      </w:pPr>
      <w:r>
        <w:rPr>
          <w:rFonts w:hint="eastAsia" w:ascii="宋体" w:hAnsi="宋体"/>
          <w:color w:val="auto"/>
          <w:sz w:val="32"/>
          <w:szCs w:val="28"/>
          <w:lang w:val="en-US" w:eastAsia="zh-CN"/>
        </w:rPr>
        <w:t xml:space="preserve">  </w:t>
      </w:r>
    </w:p>
    <w:p w14:paraId="39CC1270">
      <w:pPr>
        <w:pStyle w:val="20"/>
        <w:spacing w:line="360" w:lineRule="auto"/>
        <w:ind w:left="1155" w:leftChars="550"/>
        <w:rPr>
          <w:rFonts w:ascii="宋体" w:hAnsi="宋体"/>
          <w:color w:val="auto"/>
          <w:sz w:val="32"/>
          <w:szCs w:val="28"/>
        </w:rPr>
      </w:pPr>
    </w:p>
    <w:p w14:paraId="39E2776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607D2B65">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3DB90143">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5015F3C4">
      <w:pPr>
        <w:pStyle w:val="20"/>
        <w:spacing w:line="360" w:lineRule="auto"/>
        <w:ind w:left="1155" w:leftChars="550"/>
        <w:rPr>
          <w:rFonts w:ascii="宋体" w:hAnsi="宋体"/>
          <w:color w:val="auto"/>
          <w:sz w:val="32"/>
          <w:szCs w:val="28"/>
        </w:rPr>
      </w:pPr>
      <w:r>
        <w:rPr>
          <w:rFonts w:ascii="宋体" w:hAnsi="宋体"/>
          <w:color w:val="auto"/>
          <w:sz w:val="32"/>
          <w:szCs w:val="28"/>
        </w:rPr>
        <w:t xml:space="preserve">  </w:t>
      </w:r>
    </w:p>
    <w:p w14:paraId="32B65A51">
      <w:pPr>
        <w:pStyle w:val="20"/>
        <w:spacing w:line="360" w:lineRule="auto"/>
        <w:ind w:left="1155" w:leftChars="550"/>
        <w:rPr>
          <w:rFonts w:ascii="宋体" w:hAnsi="宋体"/>
          <w:color w:val="auto"/>
          <w:sz w:val="32"/>
          <w:szCs w:val="28"/>
        </w:rPr>
      </w:pPr>
    </w:p>
    <w:p w14:paraId="02816C00">
      <w:pPr>
        <w:pStyle w:val="20"/>
        <w:spacing w:line="480" w:lineRule="auto"/>
        <w:ind w:left="945" w:leftChars="450"/>
        <w:rPr>
          <w:color w:val="auto"/>
        </w:rPr>
      </w:pPr>
      <w:r>
        <w:rPr>
          <w:rFonts w:hint="eastAsia"/>
          <w:color w:val="auto"/>
          <w:sz w:val="30"/>
          <w:szCs w:val="30"/>
        </w:rPr>
        <w:tab/>
      </w:r>
    </w:p>
    <w:p w14:paraId="3B1DE63F">
      <w:pPr>
        <w:pStyle w:val="3"/>
        <w:pageBreakBefore/>
        <w:jc w:val="center"/>
        <w:rPr>
          <w:rFonts w:hint="eastAsia" w:ascii="Calibri Light" w:hAnsi="Calibri Light" w:eastAsia="宋体" w:cs="Times New Roman"/>
          <w:color w:val="auto"/>
          <w:sz w:val="32"/>
          <w:szCs w:val="32"/>
          <w:lang w:val="en-US" w:eastAsia="zh-CN"/>
        </w:rPr>
      </w:pPr>
      <w:bookmarkStart w:id="54" w:name="_Toc2536"/>
      <w:bookmarkStart w:id="55" w:name="_Toc536202324"/>
      <w:bookmarkStart w:id="56" w:name="_Toc536202393"/>
      <w:bookmarkStart w:id="57" w:name="_Toc10356"/>
      <w:bookmarkStart w:id="58" w:name="_Toc536429386"/>
      <w:bookmarkStart w:id="59" w:name="_Toc536429333"/>
      <w:bookmarkStart w:id="60" w:name="_Toc19543349"/>
      <w:r>
        <w:rPr>
          <w:rFonts w:hint="eastAsia" w:ascii="Calibri Light" w:hAnsi="Calibri Light" w:eastAsia="宋体" w:cs="Times New Roman"/>
          <w:color w:val="auto"/>
          <w:sz w:val="32"/>
          <w:szCs w:val="32"/>
          <w:lang w:val="en-US" w:eastAsia="zh-CN"/>
        </w:rPr>
        <w:t>第一</w:t>
      </w:r>
      <w:bookmarkEnd w:id="54"/>
      <w:r>
        <w:rPr>
          <w:rFonts w:hint="eastAsia" w:ascii="Calibri Light" w:hAnsi="Calibri Light" w:eastAsia="宋体" w:cs="Times New Roman"/>
          <w:color w:val="auto"/>
          <w:sz w:val="32"/>
          <w:szCs w:val="32"/>
          <w:lang w:val="en-US" w:eastAsia="zh-CN"/>
        </w:rPr>
        <w:t>章  响应函</w:t>
      </w:r>
      <w:bookmarkEnd w:id="55"/>
      <w:bookmarkEnd w:id="56"/>
      <w:bookmarkEnd w:id="57"/>
      <w:bookmarkEnd w:id="58"/>
      <w:bookmarkEnd w:id="59"/>
      <w:bookmarkEnd w:id="60"/>
    </w:p>
    <w:p w14:paraId="092496CC">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59D54F8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s="宋体"/>
          <w:color w:val="auto"/>
          <w:sz w:val="24"/>
          <w:szCs w:val="24"/>
        </w:rPr>
        <w:t>竞争性磋商文件，经详细研究，我公司决定参加本次磋商活动。为此，我方郑重承诺以下诸点，并负法律责任。</w:t>
      </w:r>
    </w:p>
    <w:p w14:paraId="31CF664C">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40117C5">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w:t>
      </w:r>
      <w:r>
        <w:rPr>
          <w:rFonts w:hint="eastAsia" w:ascii="宋体" w:hAnsi="宋体" w:cs="宋体"/>
          <w:color w:val="auto"/>
          <w:sz w:val="24"/>
          <w:szCs w:val="24"/>
          <w:lang w:val="en-US" w:eastAsia="zh-CN"/>
        </w:rPr>
        <w:t>投标总价</w:t>
      </w:r>
      <w:r>
        <w:rPr>
          <w:rFonts w:hint="eastAsia" w:ascii="宋体" w:hAnsi="宋体" w:cs="宋体"/>
          <w:color w:val="auto"/>
          <w:sz w:val="24"/>
          <w:szCs w:val="24"/>
        </w:rPr>
        <w:t>为：</w:t>
      </w:r>
    </w:p>
    <w:p w14:paraId="0892207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color w:val="auto"/>
          <w:lang w:val="en-US" w:eastAsia="zh-CN"/>
        </w:rPr>
      </w:pPr>
      <w:r>
        <w:rPr>
          <w:rFonts w:hint="eastAsia" w:ascii="宋体" w:hAnsi="宋体" w:cs="宋体"/>
          <w:color w:val="auto"/>
          <w:sz w:val="24"/>
          <w:szCs w:val="24"/>
        </w:rPr>
        <w:t>人民币（大写）：______________元；（小写）￥：______元；</w:t>
      </w:r>
    </w:p>
    <w:p w14:paraId="41155B58">
      <w:pPr>
        <w:adjustRightInd w:val="0"/>
        <w:snapToGrid w:val="0"/>
        <w:spacing w:line="48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r>
        <w:rPr>
          <w:rFonts w:hint="eastAsia" w:ascii="宋体" w:hAnsi="宋体" w:cs="宋体"/>
          <w:color w:val="auto"/>
          <w:sz w:val="24"/>
          <w:szCs w:val="24"/>
          <w:lang w:eastAsia="zh-CN"/>
        </w:rPr>
        <w:t>。</w:t>
      </w:r>
    </w:p>
    <w:p w14:paraId="03F250B7">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19D4350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27F6C3D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6B814BA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308FA185">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4A111E8E">
      <w:pPr>
        <w:adjustRightInd w:val="0"/>
        <w:snapToGrid w:val="0"/>
        <w:spacing w:line="480" w:lineRule="exact"/>
        <w:ind w:firstLine="480" w:firstLineChars="200"/>
        <w:jc w:val="left"/>
        <w:rPr>
          <w:rFonts w:hint="eastAsia" w:ascii="宋体" w:hAnsi="宋体" w:cs="宋体"/>
          <w:color w:val="auto"/>
          <w:sz w:val="24"/>
          <w:szCs w:val="24"/>
        </w:rPr>
      </w:pPr>
    </w:p>
    <w:p w14:paraId="7AB65EE2">
      <w:pPr>
        <w:adjustRightInd w:val="0"/>
        <w:snapToGrid w:val="0"/>
        <w:spacing w:line="480" w:lineRule="exact"/>
        <w:ind w:firstLine="480" w:firstLineChars="200"/>
        <w:jc w:val="left"/>
        <w:rPr>
          <w:rFonts w:hint="eastAsia" w:ascii="宋体" w:hAnsi="宋体" w:cs="宋体"/>
          <w:color w:val="auto"/>
          <w:sz w:val="24"/>
          <w:szCs w:val="24"/>
        </w:rPr>
      </w:pPr>
    </w:p>
    <w:p w14:paraId="5010F3B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22CC92B0">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w:t>
      </w:r>
    </w:p>
    <w:p w14:paraId="19B0DA6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667DDD5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1EA453D4">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5A7631A9">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1A950C48">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6FDEBF51">
      <w:pPr>
        <w:adjustRightInd w:val="0"/>
        <w:snapToGrid w:val="0"/>
        <w:spacing w:line="480" w:lineRule="exact"/>
        <w:ind w:firstLine="480" w:firstLineChars="200"/>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61" w:name="_Toc28494"/>
    </w:p>
    <w:p w14:paraId="0F84E9C5">
      <w:pPr>
        <w:pStyle w:val="3"/>
        <w:pageBreakBefore/>
        <w:jc w:val="center"/>
        <w:rPr>
          <w:rFonts w:hint="eastAsia" w:ascii="Calibri Light" w:hAnsi="Calibri Light" w:eastAsia="宋体" w:cs="Times New Roman"/>
          <w:color w:val="auto"/>
          <w:sz w:val="32"/>
          <w:szCs w:val="32"/>
          <w:lang w:val="en-US" w:eastAsia="zh-CN"/>
        </w:rPr>
      </w:pPr>
      <w:bookmarkStart w:id="62" w:name="_Toc30983"/>
      <w:bookmarkStart w:id="63" w:name="_Toc536202394"/>
      <w:bookmarkStart w:id="64" w:name="_Toc19543350"/>
      <w:bookmarkStart w:id="65" w:name="_Toc536429387"/>
      <w:bookmarkStart w:id="66" w:name="_Toc536202325"/>
      <w:bookmarkStart w:id="67" w:name="_Toc536429334"/>
      <w:r>
        <w:rPr>
          <w:rFonts w:hint="eastAsia" w:ascii="Calibri Light" w:hAnsi="Calibri Light" w:eastAsia="宋体" w:cs="Times New Roman"/>
          <w:color w:val="auto"/>
          <w:sz w:val="32"/>
          <w:szCs w:val="32"/>
          <w:lang w:val="en-US" w:eastAsia="zh-CN"/>
        </w:rPr>
        <w:t>第二</w:t>
      </w:r>
      <w:bookmarkEnd w:id="61"/>
      <w:r>
        <w:rPr>
          <w:rFonts w:hint="eastAsia" w:ascii="Calibri Light" w:hAnsi="Calibri Light" w:eastAsia="宋体" w:cs="Times New Roman"/>
          <w:color w:val="auto"/>
          <w:sz w:val="32"/>
          <w:szCs w:val="32"/>
          <w:lang w:val="en-US" w:eastAsia="zh-CN"/>
        </w:rPr>
        <w:t xml:space="preserve">章  </w:t>
      </w:r>
      <w:bookmarkEnd w:id="62"/>
      <w:r>
        <w:rPr>
          <w:rFonts w:hint="eastAsia" w:ascii="Calibri Light" w:hAnsi="Calibri Light" w:eastAsia="宋体" w:cs="Times New Roman"/>
          <w:color w:val="auto"/>
          <w:sz w:val="32"/>
          <w:szCs w:val="32"/>
          <w:lang w:val="en-US" w:eastAsia="zh-CN"/>
        </w:rPr>
        <w:t>响应报价表</w:t>
      </w:r>
      <w:bookmarkEnd w:id="63"/>
      <w:bookmarkEnd w:id="64"/>
      <w:bookmarkEnd w:id="65"/>
      <w:bookmarkEnd w:id="66"/>
      <w:bookmarkEnd w:id="67"/>
    </w:p>
    <w:p w14:paraId="23443128">
      <w:pPr>
        <w:keepNext w:val="0"/>
        <w:keepLines w:val="0"/>
        <w:suppressLineNumbers w:val="0"/>
        <w:kinsoku w:val="0"/>
        <w:spacing w:before="0" w:beforeAutospacing="0" w:after="0" w:afterAutospacing="0" w:line="500" w:lineRule="exact"/>
        <w:ind w:left="0" w:right="0" w:firstLine="480" w:firstLineChars="200"/>
        <w:jc w:val="both"/>
        <w:rPr>
          <w:rFonts w:hint="eastAsia" w:ascii="宋体" w:hAnsi="宋体" w:eastAsia="宋体" w:cs="Times New Roman"/>
          <w:color w:val="auto"/>
          <w:sz w:val="24"/>
          <w:szCs w:val="24"/>
        </w:rPr>
      </w:pPr>
      <w:bookmarkStart w:id="68" w:name="_Toc536202326"/>
      <w:bookmarkStart w:id="69" w:name="_Toc536202395"/>
      <w:bookmarkStart w:id="70" w:name="_Toc536429388"/>
      <w:bookmarkStart w:id="71" w:name="_Toc536429335"/>
      <w:r>
        <w:rPr>
          <w:rFonts w:hint="eastAsia" w:ascii="宋体" w:hAnsi="宋体" w:eastAsia="宋体" w:cs="Times New Roman"/>
          <w:color w:val="auto"/>
          <w:sz w:val="24"/>
          <w:szCs w:val="24"/>
        </w:rPr>
        <w:t>供应商名称：</w:t>
      </w:r>
      <w:bookmarkEnd w:id="68"/>
      <w:bookmarkEnd w:id="69"/>
      <w:bookmarkEnd w:id="70"/>
      <w:bookmarkEnd w:id="71"/>
      <w:r>
        <w:rPr>
          <w:rFonts w:hint="eastAsia" w:ascii="宋体" w:hAnsi="宋体" w:eastAsia="宋体" w:cs="Times New Roman"/>
          <w:color w:val="auto"/>
          <w:sz w:val="24"/>
          <w:szCs w:val="24"/>
        </w:rPr>
        <w:t xml:space="preserve">                                        </w:t>
      </w:r>
    </w:p>
    <w:p w14:paraId="3AB342B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项目名称：</w:t>
      </w:r>
      <w:r>
        <w:rPr>
          <w:rFonts w:hint="eastAsia" w:cs="Times New Roman" w:asciiTheme="minorEastAsia" w:hAnsiTheme="minorEastAsia" w:eastAsiaTheme="minorEastAsia"/>
          <w:color w:val="auto"/>
          <w:sz w:val="28"/>
          <w:szCs w:val="28"/>
        </w:rPr>
        <w:t xml:space="preserve">                                          </w:t>
      </w:r>
      <w:r>
        <w:rPr>
          <w:rFonts w:hint="eastAsia" w:ascii="宋体" w:hAnsi="宋体" w:eastAsia="宋体" w:cs="Times New Roman"/>
          <w:color w:val="auto"/>
          <w:sz w:val="24"/>
          <w:szCs w:val="24"/>
          <w:lang w:val="en-US" w:eastAsia="zh-CN"/>
        </w:rPr>
        <w:t>单位：元</w:t>
      </w:r>
      <w:r>
        <w:rPr>
          <w:rFonts w:hint="eastAsia" w:ascii="宋体" w:hAnsi="宋体" w:eastAsia="宋体" w:cs="Times New Roman"/>
          <w:color w:val="auto"/>
          <w:sz w:val="24"/>
          <w:szCs w:val="24"/>
        </w:rPr>
        <w:t xml:space="preserve">  </w:t>
      </w:r>
    </w:p>
    <w:tbl>
      <w:tblPr>
        <w:tblStyle w:val="35"/>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2137"/>
        <w:gridCol w:w="2458"/>
        <w:gridCol w:w="2393"/>
      </w:tblGrid>
      <w:tr w14:paraId="1A64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jc w:val="center"/>
        </w:trPr>
        <w:tc>
          <w:tcPr>
            <w:tcW w:w="2669" w:type="dxa"/>
            <w:tcBorders>
              <w:tl2br w:val="single" w:color="auto" w:sz="4" w:space="0"/>
            </w:tcBorders>
          </w:tcPr>
          <w:p w14:paraId="6F221842">
            <w:pPr>
              <w:keepNext w:val="0"/>
              <w:keepLines w:val="0"/>
              <w:suppressLineNumbers w:val="0"/>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rPr>
              <w:t>报价内容</w:t>
            </w:r>
          </w:p>
          <w:p w14:paraId="267CB71F">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2E6B26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1D3EE00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05F31A4A">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2137" w:type="dxa"/>
            <w:vAlign w:val="center"/>
          </w:tcPr>
          <w:p w14:paraId="7031B8E3">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70BA5B1C">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元</w:t>
            </w:r>
            <w:r>
              <w:rPr>
                <w:rFonts w:hint="eastAsia" w:ascii="宋体" w:hAnsi="宋体" w:cs="Times New Roman"/>
                <w:color w:val="auto"/>
                <w:sz w:val="24"/>
                <w:szCs w:val="24"/>
                <w:lang w:eastAsia="zh-CN"/>
              </w:rPr>
              <w:t>）</w:t>
            </w:r>
          </w:p>
        </w:tc>
        <w:tc>
          <w:tcPr>
            <w:tcW w:w="2458" w:type="dxa"/>
            <w:vAlign w:val="center"/>
          </w:tcPr>
          <w:p w14:paraId="0BEE6F6C">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cs="Times New Roman"/>
                <w:color w:val="auto"/>
                <w:sz w:val="24"/>
                <w:szCs w:val="24"/>
                <w:lang w:val="en-US" w:eastAsia="zh-CN"/>
              </w:rPr>
            </w:pPr>
            <w:r>
              <w:rPr>
                <w:rFonts w:hint="eastAsia" w:ascii="宋体" w:hAnsi="宋体" w:cs="Times New Roman"/>
                <w:color w:val="auto"/>
                <w:sz w:val="24"/>
                <w:szCs w:val="24"/>
                <w:lang w:val="en-US" w:eastAsia="zh-CN"/>
              </w:rPr>
              <w:t>合同履行期</w:t>
            </w:r>
          </w:p>
          <w:p w14:paraId="1A4396CD">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eastAsia="宋体" w:cs="Times New Roman"/>
                <w:color w:val="auto"/>
                <w:sz w:val="24"/>
                <w:szCs w:val="24"/>
                <w:lang w:val="en-US" w:eastAsia="zh-CN"/>
              </w:rPr>
            </w:pPr>
          </w:p>
        </w:tc>
        <w:tc>
          <w:tcPr>
            <w:tcW w:w="2393" w:type="dxa"/>
            <w:vAlign w:val="center"/>
          </w:tcPr>
          <w:p w14:paraId="2FDFEC9F">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rPr>
            </w:pPr>
            <w:r>
              <w:rPr>
                <w:rFonts w:hint="eastAsia" w:ascii="宋体" w:hAnsi="宋体" w:cs="Times New Roman"/>
                <w:color w:val="auto"/>
                <w:sz w:val="24"/>
                <w:szCs w:val="24"/>
                <w:lang w:val="en-US" w:eastAsia="zh-CN"/>
              </w:rPr>
              <w:t>备注</w:t>
            </w:r>
          </w:p>
        </w:tc>
      </w:tr>
      <w:tr w14:paraId="2C53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2669" w:type="dxa"/>
            <w:vAlign w:val="center"/>
          </w:tcPr>
          <w:p w14:paraId="5ED930FE">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137" w:type="dxa"/>
            <w:vAlign w:val="center"/>
          </w:tcPr>
          <w:p w14:paraId="2DAE321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2458" w:type="dxa"/>
            <w:vAlign w:val="center"/>
          </w:tcPr>
          <w:p w14:paraId="01302E5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393" w:type="dxa"/>
            <w:vAlign w:val="center"/>
          </w:tcPr>
          <w:p w14:paraId="18C2E58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574D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657" w:type="dxa"/>
            <w:gridSpan w:val="4"/>
            <w:vAlign w:val="center"/>
          </w:tcPr>
          <w:p w14:paraId="7DC07E96">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3206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657" w:type="dxa"/>
            <w:gridSpan w:val="4"/>
            <w:vAlign w:val="center"/>
          </w:tcPr>
          <w:p w14:paraId="6FC9590F">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备注：表内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tc>
      </w:tr>
    </w:tbl>
    <w:p w14:paraId="1533A45D">
      <w:pPr>
        <w:spacing w:line="360" w:lineRule="auto"/>
        <w:jc w:val="left"/>
        <w:rPr>
          <w:rFonts w:ascii="宋体" w:hAnsi="宋体" w:cs="仿宋"/>
          <w:color w:val="auto"/>
          <w:sz w:val="24"/>
          <w:szCs w:val="24"/>
        </w:rPr>
      </w:pPr>
      <w:r>
        <w:rPr>
          <w:rFonts w:hint="eastAsia" w:ascii="宋体" w:hAnsi="宋体" w:cs="仿宋"/>
          <w:color w:val="auto"/>
          <w:sz w:val="24"/>
          <w:szCs w:val="24"/>
        </w:rPr>
        <w:t>备注</w:t>
      </w:r>
      <w:r>
        <w:rPr>
          <w:rFonts w:ascii="宋体" w:hAnsi="宋体" w:cs="仿宋"/>
          <w:color w:val="auto"/>
          <w:sz w:val="24"/>
          <w:szCs w:val="24"/>
        </w:rPr>
        <w:t>：</w:t>
      </w:r>
    </w:p>
    <w:p w14:paraId="26CD2D16">
      <w:pPr>
        <w:spacing w:line="360" w:lineRule="auto"/>
        <w:ind w:firstLine="360" w:firstLineChars="150"/>
        <w:jc w:val="left"/>
        <w:rPr>
          <w:rFonts w:ascii="宋体" w:hAnsi="宋体" w:cs="仿宋"/>
          <w:color w:val="auto"/>
          <w:sz w:val="24"/>
          <w:szCs w:val="24"/>
        </w:rPr>
      </w:pPr>
      <w:r>
        <w:rPr>
          <w:rFonts w:hint="eastAsia" w:ascii="宋体" w:hAnsi="宋体" w:cs="仿宋"/>
          <w:color w:val="auto"/>
          <w:sz w:val="24"/>
          <w:szCs w:val="24"/>
        </w:rPr>
        <w:t>投标人所报的价格应考虑到可能发生的所有与完成本项目相关服务及履行合同义务有关的一切费用。</w:t>
      </w:r>
    </w:p>
    <w:p w14:paraId="64C0C96E">
      <w:pPr>
        <w:kinsoku w:val="0"/>
        <w:spacing w:line="360" w:lineRule="auto"/>
        <w:jc w:val="left"/>
        <w:rPr>
          <w:rFonts w:ascii="宋体" w:cs="Times New Roman"/>
          <w:color w:val="auto"/>
          <w:sz w:val="24"/>
          <w:szCs w:val="24"/>
        </w:rPr>
      </w:pPr>
    </w:p>
    <w:p w14:paraId="10E839B7">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7BA6D06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EA96CCF">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25BA5A6A">
      <w:pPr>
        <w:kinsoku w:val="0"/>
        <w:spacing w:line="480" w:lineRule="auto"/>
        <w:jc w:val="left"/>
        <w:rPr>
          <w:rFonts w:ascii="宋体" w:cs="Times New Roman"/>
          <w:color w:val="auto"/>
          <w:sz w:val="24"/>
          <w:szCs w:val="24"/>
        </w:rPr>
      </w:pPr>
    </w:p>
    <w:p w14:paraId="23E39340">
      <w:pPr>
        <w:pStyle w:val="3"/>
        <w:rPr>
          <w:rFonts w:hint="eastAsia" w:ascii="宋体" w:hAnsi="宋体" w:cs="宋体"/>
          <w:color w:val="auto"/>
        </w:rPr>
        <w:sectPr>
          <w:pgSz w:w="11906" w:h="16838"/>
          <w:pgMar w:top="1417" w:right="1417" w:bottom="1417" w:left="1417" w:header="1134" w:footer="992" w:gutter="0"/>
          <w:pgNumType w:fmt="decimal"/>
          <w:cols w:space="0" w:num="1"/>
          <w:titlePg/>
          <w:rtlGutter w:val="0"/>
          <w:docGrid w:type="lines" w:linePitch="333" w:charSpace="0"/>
        </w:sectPr>
      </w:pPr>
      <w:bookmarkStart w:id="72" w:name="_Toc19543351"/>
      <w:bookmarkStart w:id="73" w:name="_Toc15021755"/>
      <w:bookmarkStart w:id="74" w:name="_Toc484890088"/>
    </w:p>
    <w:p w14:paraId="06039206">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center"/>
        <w:textAlignment w:val="auto"/>
        <w:rPr>
          <w:rFonts w:ascii="宋体" w:hAnsi="宋体" w:cs="宋体"/>
          <w:color w:val="auto"/>
        </w:rPr>
      </w:pPr>
      <w:r>
        <w:rPr>
          <w:rFonts w:hint="eastAsia" w:ascii="Calibri Light" w:hAnsi="Calibri Light" w:eastAsia="宋体" w:cs="Times New Roman"/>
          <w:b/>
          <w:bCs/>
          <w:color w:val="auto"/>
          <w:kern w:val="2"/>
          <w:sz w:val="32"/>
          <w:szCs w:val="32"/>
          <w:lang w:val="en-US" w:eastAsia="zh-CN" w:bidi="ar-SA"/>
        </w:rPr>
        <w:t>第三章</w:t>
      </w:r>
      <w:r>
        <w:rPr>
          <w:rFonts w:hint="eastAsia" w:ascii="Calibri Light" w:hAnsi="Calibri Light" w:eastAsia="宋体" w:cs="Times New Roman"/>
          <w:color w:val="auto"/>
          <w:sz w:val="32"/>
          <w:szCs w:val="32"/>
          <w:lang w:val="en-US" w:eastAsia="zh-CN"/>
        </w:rPr>
        <w:t xml:space="preserve"> </w:t>
      </w:r>
      <w:bookmarkEnd w:id="72"/>
      <w:bookmarkEnd w:id="73"/>
      <w:bookmarkEnd w:id="74"/>
      <w:bookmarkStart w:id="75" w:name="_Toc11309"/>
      <w:r>
        <w:rPr>
          <w:rFonts w:hint="eastAsia" w:ascii="Calibri Light" w:hAnsi="Calibri Light" w:cs="Times New Roman"/>
          <w:color w:val="auto"/>
          <w:sz w:val="32"/>
          <w:szCs w:val="32"/>
          <w:lang w:val="en-US" w:eastAsia="zh-CN"/>
        </w:rPr>
        <w:t xml:space="preserve"> </w:t>
      </w:r>
      <w:r>
        <w:rPr>
          <w:rFonts w:hint="eastAsia" w:ascii="Calibri Light" w:hAnsi="Calibri Light" w:cs="Times New Roman"/>
          <w:color w:val="auto"/>
          <w:sz w:val="32"/>
          <w:szCs w:val="32"/>
        </w:rPr>
        <w:t xml:space="preserve"> </w:t>
      </w:r>
      <w:r>
        <w:rPr>
          <w:rFonts w:hint="eastAsia" w:ascii="Calibri Light" w:hAnsi="Calibri Light" w:cs="Times New Roman"/>
          <w:b/>
          <w:bCs/>
          <w:color w:val="auto"/>
          <w:sz w:val="32"/>
          <w:szCs w:val="32"/>
        </w:rPr>
        <w:t>供应商</w:t>
      </w:r>
      <w:r>
        <w:rPr>
          <w:rFonts w:hint="eastAsia" w:ascii="Calibri Light" w:hAnsi="Calibri Light" w:cs="Times New Roman"/>
          <w:b/>
          <w:bCs/>
          <w:color w:val="auto"/>
          <w:sz w:val="32"/>
          <w:szCs w:val="32"/>
          <w:lang w:val="en-US" w:eastAsia="zh-CN"/>
        </w:rPr>
        <w:t>资格证明文件</w:t>
      </w:r>
    </w:p>
    <w:p w14:paraId="0F089A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4715B6F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10610C5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7ACCDD9">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A8661F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C18331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提供2026年1月至今任意一个月缴纳的纳税证明或完税证明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41EEDCD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提供2026年1月至今任意一个月社会保障资金缴存单据或社保机构开具的社会保险参保缴费情况证明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45F223A6">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6A69CE6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1D9711C5">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（10）</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2B829910">
      <w:pPr>
        <w:widowControl/>
        <w:jc w:val="center"/>
        <w:rPr>
          <w:rFonts w:hint="eastAsia" w:ascii="宋体" w:hAnsi="宋体" w:cs="Arial"/>
          <w:b/>
          <w:color w:val="auto"/>
          <w:kern w:val="0"/>
          <w:sz w:val="28"/>
          <w:szCs w:val="28"/>
        </w:rPr>
        <w:sectPr>
          <w:headerReference r:id="rId19" w:type="first"/>
          <w:footerReference r:id="rId21" w:type="first"/>
          <w:headerReference r:id="rId18" w:type="default"/>
          <w:footerReference r:id="rId20" w:type="default"/>
          <w:pgSz w:w="11906" w:h="16838"/>
          <w:pgMar w:top="1417" w:right="1417" w:bottom="1417" w:left="1417" w:header="1191" w:footer="992" w:gutter="0"/>
          <w:pgNumType w:fmt="decimal"/>
          <w:cols w:space="0" w:num="1"/>
          <w:titlePg/>
          <w:rtlGutter w:val="0"/>
          <w:docGrid w:type="lines" w:linePitch="333" w:charSpace="0"/>
        </w:sectPr>
      </w:pPr>
    </w:p>
    <w:p w14:paraId="04642436">
      <w:pPr>
        <w:widowControl/>
        <w:jc w:val="center"/>
        <w:rPr>
          <w:rFonts w:ascii="宋体" w:hAnsi="宋体" w:cs="Arial"/>
          <w:b/>
          <w:color w:val="auto"/>
          <w:kern w:val="0"/>
          <w:sz w:val="32"/>
          <w:szCs w:val="32"/>
        </w:rPr>
      </w:pPr>
      <w:r>
        <w:rPr>
          <w:rFonts w:hint="eastAsia" w:ascii="宋体" w:hAnsi="宋体" w:cs="Arial"/>
          <w:b/>
          <w:color w:val="auto"/>
          <w:kern w:val="0"/>
          <w:sz w:val="28"/>
          <w:szCs w:val="28"/>
        </w:rPr>
        <w:t>法定代表人证明书</w:t>
      </w:r>
    </w:p>
    <w:tbl>
      <w:tblPr>
        <w:tblStyle w:val="3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14B6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1FC18979">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ascii="宋体" w:hAnsi="宋体" w:eastAsia="宋体" w:cs="宋体"/>
                <w:color w:val="auto"/>
                <w:sz w:val="24"/>
                <w:szCs w:val="24"/>
              </w:rPr>
              <w:t>安康尚昊招标代理有限公司</w:t>
            </w:r>
          </w:p>
        </w:tc>
      </w:tr>
      <w:tr w14:paraId="7C9B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9549F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0D45D9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E6FB67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4374BA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0F8A06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7D01C51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E82F07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63612C8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673306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D8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B827B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066FD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16CE4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07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982A0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9E99EC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31A81F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BE3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245573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7DB9C07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0AC1846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27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48931CD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53602D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201335D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70BC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1758D17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CC190A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97EB4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7DA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2773E27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DC06D5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05E0A0A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64607D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019C53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B2C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2BEFC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BE37FC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43E29B1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33D0D4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65CEAB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53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42668D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4C5F5E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188BE0F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1173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1C01690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6062DE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19D964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0C8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3F13EFE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08FA341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52C2EA3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2C725D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61F1A7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321420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D5616D6">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580EB16A">
      <w:pPr>
        <w:pStyle w:val="3"/>
        <w:pageBreakBefore/>
        <w:rPr>
          <w:rFonts w:ascii="宋体" w:hAnsi="宋体" w:cs="宋体"/>
          <w:color w:val="auto"/>
        </w:rPr>
      </w:pPr>
      <w:bookmarkStart w:id="76" w:name="_Toc19543356"/>
      <w:r>
        <w:rPr>
          <w:rFonts w:hint="eastAsia" w:ascii="宋体" w:hAnsi="宋体" w:cs="宋体"/>
          <w:color w:val="auto"/>
        </w:rPr>
        <w:t>法定代表人授权书</w:t>
      </w:r>
      <w:bookmarkEnd w:id="76"/>
    </w:p>
    <w:p w14:paraId="28EA0032">
      <w:pPr>
        <w:pStyle w:val="15"/>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12E90487">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的采购活动。以我方名义全权处理该项目有关磋商、签订合同以及执行合同等一切事宜。</w:t>
      </w:r>
    </w:p>
    <w:p w14:paraId="45D0EF1A">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日历日，特此声明。</w:t>
      </w:r>
    </w:p>
    <w:p w14:paraId="5123BA0F">
      <w:pPr>
        <w:pStyle w:val="15"/>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74494C7A">
      <w:pPr>
        <w:pStyle w:val="15"/>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0F659769">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6BBC1C4">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57633C70">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1D9697D3">
      <w:pPr>
        <w:pStyle w:val="15"/>
        <w:spacing w:line="400" w:lineRule="exact"/>
        <w:ind w:firstLine="480" w:firstLineChars="200"/>
        <w:jc w:val="left"/>
        <w:rPr>
          <w:rFonts w:hint="eastAsia" w:hAnsi="宋体"/>
          <w:color w:val="auto"/>
          <w:sz w:val="24"/>
          <w:szCs w:val="24"/>
        </w:rPr>
      </w:pPr>
      <w:r>
        <w:rPr>
          <w:rFonts w:hint="eastAsia" w:ascii="宋体" w:hAnsi="宋体" w:cs="Courier New"/>
          <w:color w:val="auto"/>
          <w:sz w:val="24"/>
          <w:szCs w:val="24"/>
        </w:rPr>
        <w:t>签发日期：</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月</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日</w:t>
      </w:r>
    </w:p>
    <w:p w14:paraId="7259A9D8">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7F72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05D6CD75">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4"/>
                <w:szCs w:val="28"/>
                <w:shd w:val="pct10" w:color="auto" w:fill="FFFFFF"/>
              </w:rPr>
            </w:pPr>
            <w:r>
              <w:rPr>
                <w:rFonts w:hint="eastAsia" w:hAnsi="宋体"/>
                <w:color w:val="auto"/>
                <w:sz w:val="24"/>
                <w:szCs w:val="28"/>
                <w:shd w:val="pct10" w:color="auto" w:fill="FFFFFF"/>
              </w:rPr>
              <w:t>法定代表人身份证复印件（正面）</w:t>
            </w:r>
          </w:p>
        </w:tc>
        <w:tc>
          <w:tcPr>
            <w:tcW w:w="4531" w:type="dxa"/>
            <w:shd w:val="clear" w:color="auto" w:fill="D9D9D9"/>
            <w:vAlign w:val="center"/>
          </w:tcPr>
          <w:p w14:paraId="60AAB148">
            <w:pPr>
              <w:pStyle w:val="15"/>
              <w:keepNext w:val="0"/>
              <w:keepLines w:val="0"/>
              <w:suppressLineNumbers w:val="0"/>
              <w:spacing w:before="0" w:beforeAutospacing="0" w:after="0" w:afterAutospacing="0" w:line="500" w:lineRule="exact"/>
              <w:ind w:left="0" w:right="0" w:firstLine="480" w:firstLineChars="200"/>
              <w:jc w:val="left"/>
              <w:rPr>
                <w:rFonts w:hint="default" w:hAnsi="宋体" w:cs="Times New Roman"/>
                <w:color w:val="auto"/>
                <w:sz w:val="24"/>
                <w:szCs w:val="28"/>
                <w:shd w:val="pct10" w:color="auto" w:fill="FFFFFF"/>
              </w:rPr>
            </w:pPr>
            <w:r>
              <w:rPr>
                <w:rFonts w:hint="eastAsia" w:hAnsi="宋体"/>
                <w:color w:val="auto"/>
                <w:sz w:val="24"/>
                <w:szCs w:val="28"/>
                <w:shd w:val="pct10" w:color="auto" w:fill="FFFFFF"/>
              </w:rPr>
              <w:t>被授权人身份证复印件（正面）</w:t>
            </w:r>
          </w:p>
        </w:tc>
      </w:tr>
      <w:tr w14:paraId="365C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61C28171">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4"/>
                <w:szCs w:val="28"/>
                <w:shd w:val="pct10" w:color="auto" w:fill="FFFFFF"/>
              </w:rPr>
            </w:pPr>
            <w:r>
              <w:rPr>
                <w:rFonts w:hint="eastAsia" w:hAnsi="宋体"/>
                <w:color w:val="auto"/>
                <w:sz w:val="24"/>
                <w:szCs w:val="28"/>
                <w:shd w:val="pct10" w:color="auto" w:fill="FFFFFF"/>
              </w:rPr>
              <w:t>法定代表人身份证复印件（反面）</w:t>
            </w:r>
          </w:p>
        </w:tc>
        <w:tc>
          <w:tcPr>
            <w:tcW w:w="4531" w:type="dxa"/>
            <w:shd w:val="clear" w:color="auto" w:fill="D9D9D9"/>
            <w:vAlign w:val="center"/>
          </w:tcPr>
          <w:p w14:paraId="73076516">
            <w:pPr>
              <w:pStyle w:val="15"/>
              <w:keepNext w:val="0"/>
              <w:keepLines w:val="0"/>
              <w:suppressLineNumbers w:val="0"/>
              <w:spacing w:before="0" w:beforeAutospacing="0" w:after="0" w:afterAutospacing="0" w:line="500" w:lineRule="exact"/>
              <w:ind w:left="0" w:right="0" w:firstLine="480" w:firstLineChars="200"/>
              <w:jc w:val="left"/>
              <w:rPr>
                <w:rFonts w:hint="default" w:hAnsi="宋体" w:cs="Times New Roman"/>
                <w:color w:val="auto"/>
                <w:sz w:val="24"/>
                <w:szCs w:val="28"/>
                <w:shd w:val="pct10" w:color="auto" w:fill="FFFFFF"/>
              </w:rPr>
            </w:pPr>
            <w:r>
              <w:rPr>
                <w:rFonts w:hint="eastAsia" w:hAnsi="宋体"/>
                <w:color w:val="auto"/>
                <w:sz w:val="24"/>
                <w:szCs w:val="28"/>
                <w:shd w:val="pct10" w:color="auto" w:fill="FFFFFF"/>
              </w:rPr>
              <w:t>被授权人身份证复印件（反面）</w:t>
            </w:r>
          </w:p>
        </w:tc>
      </w:tr>
    </w:tbl>
    <w:p w14:paraId="6BB56B2C">
      <w:pPr>
        <w:pStyle w:val="15"/>
        <w:spacing w:line="500" w:lineRule="exact"/>
        <w:ind w:firstLine="480" w:firstLineChars="200"/>
        <w:jc w:val="left"/>
        <w:rPr>
          <w:rFonts w:hAnsi="宋体"/>
          <w:color w:val="auto"/>
          <w:sz w:val="24"/>
          <w:szCs w:val="24"/>
        </w:rPr>
      </w:pPr>
      <w:r>
        <w:rPr>
          <w:rFonts w:hint="eastAsia" w:hAnsi="宋体"/>
          <w:color w:val="auto"/>
          <w:sz w:val="24"/>
          <w:szCs w:val="24"/>
        </w:rPr>
        <w:t>说明：</w:t>
      </w:r>
    </w:p>
    <w:p w14:paraId="611857B2">
      <w:pPr>
        <w:pStyle w:val="15"/>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21EDE4C">
      <w:pPr>
        <w:pStyle w:val="15"/>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209A6BE8">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bookmarkStart w:id="77" w:name="_Toc7526"/>
      <w:bookmarkStart w:id="78" w:name="_Toc536429337"/>
      <w:bookmarkStart w:id="79" w:name="_Toc536202328"/>
      <w:bookmarkStart w:id="80" w:name="_Toc536202397"/>
      <w:bookmarkStart w:id="81" w:name="_Toc536429390"/>
      <w:bookmarkStart w:id="82" w:name="_Toc19543357"/>
      <w:r>
        <w:rPr>
          <w:rFonts w:hint="eastAsia" w:ascii="宋体" w:hAnsi="宋体" w:eastAsia="宋体" w:cs="宋体"/>
          <w:b/>
          <w:bCs/>
          <w:color w:val="auto"/>
          <w:kern w:val="2"/>
          <w:sz w:val="28"/>
          <w:szCs w:val="28"/>
          <w:lang w:val="en-US" w:eastAsia="zh-CN" w:bidi="ar-SA"/>
        </w:rPr>
        <w:t>无重大违法记录声明</w:t>
      </w:r>
    </w:p>
    <w:p w14:paraId="319CDB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3016F78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特此声明。</w:t>
      </w:r>
    </w:p>
    <w:p w14:paraId="1D295CDD">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7D10ACE6">
      <w:pPr>
        <w:adjustRightInd w:val="0"/>
        <w:snapToGrid w:val="0"/>
        <w:spacing w:line="360" w:lineRule="auto"/>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2BDD6F16">
      <w:pPr>
        <w:adjustRightInd w:val="0"/>
        <w:snapToGrid w:val="0"/>
        <w:spacing w:line="360" w:lineRule="auto"/>
        <w:ind w:firstLine="480" w:firstLineChars="200"/>
        <w:rPr>
          <w:color w:val="auto"/>
        </w:rPr>
        <w:sectPr>
          <w:pgSz w:w="11906" w:h="16838"/>
          <w:pgMar w:top="1417" w:right="1417" w:bottom="1417" w:left="1417" w:header="1191" w:footer="992" w:gutter="0"/>
          <w:pgNumType w:fmt="decimal"/>
          <w:cols w:space="0" w:num="1"/>
          <w:titlePg/>
          <w:rtlGutter w:val="0"/>
          <w:docGrid w:type="lines" w:linePitch="333" w:charSpace="0"/>
        </w:sectPr>
      </w:pPr>
      <w:r>
        <w:rPr>
          <w:rFonts w:hint="eastAsia"/>
          <w:color w:val="auto"/>
          <w:sz w:val="24"/>
          <w:szCs w:val="24"/>
        </w:rPr>
        <w:t>日    期：________年________月________日</w:t>
      </w:r>
    </w:p>
    <w:p w14:paraId="1A39FDE6">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35D3EEA7">
      <w:pPr>
        <w:adjustRightInd w:val="0"/>
        <w:snapToGrid w:val="0"/>
        <w:spacing w:line="360" w:lineRule="auto"/>
        <w:rPr>
          <w:rFonts w:hint="eastAsia" w:ascii="仿宋" w:hAnsi="仿宋" w:eastAsia="仿宋" w:cs="黑体"/>
          <w:bCs/>
          <w:color w:val="auto"/>
          <w:sz w:val="28"/>
          <w:szCs w:val="28"/>
        </w:rPr>
      </w:pPr>
    </w:p>
    <w:p w14:paraId="456C715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0BCC55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7195F77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7C28FD8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77A1BDC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6FBCFE9C">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特此声明。</w:t>
      </w:r>
    </w:p>
    <w:p w14:paraId="30D4DCCB">
      <w:pPr>
        <w:pStyle w:val="29"/>
        <w:ind w:firstLine="480"/>
        <w:rPr>
          <w:rFonts w:hint="eastAsia"/>
          <w:color w:val="auto"/>
        </w:rPr>
      </w:pPr>
    </w:p>
    <w:p w14:paraId="3674AB64">
      <w:pPr>
        <w:spacing w:line="360" w:lineRule="auto"/>
        <w:ind w:firstLine="480" w:firstLineChars="200"/>
        <w:rPr>
          <w:rFonts w:ascii="宋体" w:hAnsi="Calibri"/>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131BE649">
      <w:pPr>
        <w:adjustRightInd w:val="0"/>
        <w:snapToGrid w:val="0"/>
        <w:spacing w:line="360" w:lineRule="auto"/>
        <w:ind w:firstLine="480" w:firstLineChars="200"/>
        <w:rPr>
          <w:rFonts w:ascii="宋体" w:hAnsi="Calibri"/>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w:t>
      </w:r>
      <w:r>
        <w:rPr>
          <w:rFonts w:ascii="宋体" w:hAnsi="宋体" w:cs="宋体"/>
          <w:color w:val="auto"/>
          <w:sz w:val="24"/>
          <w:szCs w:val="24"/>
        </w:rPr>
        <w:t>____________________</w:t>
      </w:r>
    </w:p>
    <w:p w14:paraId="69221B47">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045CB2CB">
      <w:pPr>
        <w:spacing w:after="190" w:afterLines="50" w:line="480" w:lineRule="exact"/>
        <w:jc w:val="center"/>
        <w:rPr>
          <w:rFonts w:hint="eastAsia" w:ascii="宋体" w:hAnsi="宋体" w:eastAsia="宋体" w:cs="宋体"/>
          <w:b/>
          <w:bCs w:val="0"/>
          <w:color w:val="auto"/>
          <w:sz w:val="28"/>
          <w:szCs w:val="28"/>
          <w:u w:val="none"/>
          <w:lang w:val="en-US" w:eastAsia="zh-CN"/>
        </w:rPr>
      </w:pPr>
      <w:r>
        <w:rPr>
          <w:rFonts w:hint="eastAsia" w:ascii="宋体" w:hAnsi="宋体" w:eastAsia="宋体" w:cs="宋体"/>
          <w:b/>
          <w:bCs w:val="0"/>
          <w:color w:val="auto"/>
          <w:sz w:val="28"/>
          <w:szCs w:val="28"/>
          <w:u w:val="none"/>
          <w:lang w:val="en-US" w:eastAsia="zh-CN"/>
        </w:rPr>
        <w:t>中小企业声明函（工程、服务）</w:t>
      </w:r>
    </w:p>
    <w:p w14:paraId="3919315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A1D1A6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0314000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63AE8764">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4E74D41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9DE53FA">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A6FE42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3FAE8F54">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C49F051">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6615FE98">
      <w:pPr>
        <w:pStyle w:val="104"/>
        <w:rPr>
          <w:rFonts w:hint="eastAsia"/>
          <w:color w:val="auto"/>
          <w:lang w:val="en-US" w:eastAsia="zh-CN"/>
        </w:rPr>
      </w:pPr>
    </w:p>
    <w:p w14:paraId="689246B6">
      <w:pPr>
        <w:pStyle w:val="3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18F3486">
      <w:pPr>
        <w:pStyle w:val="11"/>
        <w:rPr>
          <w:rFonts w:hint="eastAsia" w:ascii="宋体" w:hAnsi="宋体" w:eastAsia="宋体" w:cs="宋体"/>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p>
    <w:p w14:paraId="679CD9D4">
      <w:pPr>
        <w:keepNext/>
        <w:keepLines/>
        <w:numPr>
          <w:ilvl w:val="0"/>
          <w:numId w:val="0"/>
        </w:numPr>
        <w:spacing w:line="415" w:lineRule="auto"/>
        <w:ind w:left="0" w:leftChars="0" w:firstLine="0" w:firstLineChars="0"/>
        <w:jc w:val="center"/>
        <w:outlineLvl w:val="1"/>
        <w:rPr>
          <w:rFonts w:hint="eastAsia" w:ascii="Calibri Light" w:hAnsi="Calibri Light" w:cs="Times New Roman"/>
          <w:b/>
          <w:bCs/>
          <w:color w:val="auto"/>
          <w:sz w:val="32"/>
          <w:szCs w:val="32"/>
          <w:lang w:eastAsia="zh-CN"/>
        </w:rPr>
      </w:pPr>
      <w:r>
        <w:rPr>
          <w:rFonts w:hint="eastAsia" w:ascii="Calibri Light" w:hAnsi="Calibri Light" w:eastAsia="宋体" w:cs="Times New Roman"/>
          <w:b/>
          <w:bCs/>
          <w:color w:val="auto"/>
          <w:kern w:val="2"/>
          <w:sz w:val="32"/>
          <w:szCs w:val="32"/>
          <w:lang w:val="en-US" w:eastAsia="zh-CN" w:bidi="ar-SA"/>
        </w:rPr>
        <w:t>第</w:t>
      </w:r>
      <w:r>
        <w:rPr>
          <w:rFonts w:hint="eastAsia" w:ascii="Calibri Light" w:hAnsi="Calibri Light" w:cs="Times New Roman"/>
          <w:b/>
          <w:bCs/>
          <w:color w:val="auto"/>
          <w:kern w:val="2"/>
          <w:sz w:val="32"/>
          <w:szCs w:val="32"/>
          <w:lang w:val="en-US" w:eastAsia="zh-CN" w:bidi="ar-SA"/>
        </w:rPr>
        <w:t>四</w:t>
      </w:r>
      <w:r>
        <w:rPr>
          <w:rFonts w:hint="eastAsia" w:ascii="Calibri Light" w:hAnsi="Calibri Light" w:eastAsia="宋体" w:cs="Times New Roman"/>
          <w:b/>
          <w:bCs/>
          <w:color w:val="auto"/>
          <w:kern w:val="2"/>
          <w:sz w:val="32"/>
          <w:szCs w:val="32"/>
          <w:lang w:val="en-US" w:eastAsia="zh-CN" w:bidi="ar-SA"/>
        </w:rPr>
        <w:t>章</w:t>
      </w:r>
      <w:r>
        <w:rPr>
          <w:rFonts w:hint="eastAsia" w:ascii="Calibri Light" w:hAnsi="Calibri Light" w:cs="Times New Roman"/>
          <w:b/>
          <w:bCs/>
          <w:color w:val="auto"/>
          <w:kern w:val="2"/>
          <w:sz w:val="32"/>
          <w:szCs w:val="32"/>
          <w:lang w:val="en-US" w:eastAsia="zh-CN" w:bidi="ar-SA"/>
        </w:rPr>
        <w:t xml:space="preserve">  </w:t>
      </w:r>
      <w:r>
        <w:rPr>
          <w:rFonts w:hint="eastAsia" w:ascii="Calibri Light" w:hAnsi="Calibri Light" w:cs="Times New Roman"/>
          <w:b/>
          <w:bCs/>
          <w:color w:val="auto"/>
          <w:sz w:val="32"/>
          <w:szCs w:val="32"/>
          <w:lang w:eastAsia="zh-CN"/>
        </w:rPr>
        <w:t>技术商务响应偏离表</w:t>
      </w:r>
    </w:p>
    <w:p w14:paraId="4A0F535A">
      <w:pPr>
        <w:pStyle w:val="3"/>
        <w:spacing w:before="0" w:after="0"/>
        <w:ind w:firstLine="422" w:firstLineChars="150"/>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w:t>
      </w:r>
      <w:r>
        <w:rPr>
          <w:rFonts w:hint="eastAsia"/>
          <w:color w:val="000000" w:themeColor="text1"/>
          <w:sz w:val="28"/>
          <w:szCs w:val="28"/>
          <w:lang w:eastAsia="zh-CN"/>
          <w14:textFill>
            <w14:solidFill>
              <w14:schemeClr w14:val="tx1"/>
            </w14:solidFill>
          </w14:textFill>
        </w:rPr>
        <w:t>响应</w:t>
      </w:r>
      <w:r>
        <w:rPr>
          <w:rFonts w:hint="eastAsia"/>
          <w:color w:val="000000" w:themeColor="text1"/>
          <w:sz w:val="28"/>
          <w:szCs w:val="28"/>
          <w14:textFill>
            <w14:solidFill>
              <w14:schemeClr w14:val="tx1"/>
            </w14:solidFill>
          </w14:textFill>
        </w:rPr>
        <w:t>偏离表</w:t>
      </w:r>
    </w:p>
    <w:tbl>
      <w:tblPr>
        <w:tblStyle w:val="35"/>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58"/>
        <w:gridCol w:w="3726"/>
        <w:gridCol w:w="1583"/>
        <w:gridCol w:w="1369"/>
      </w:tblGrid>
      <w:tr w14:paraId="0D50F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5EF0442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2258" w:type="dxa"/>
            <w:vAlign w:val="center"/>
          </w:tcPr>
          <w:p w14:paraId="3C3F765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auto"/>
                <w:sz w:val="24"/>
                <w:szCs w:val="24"/>
                <w:lang w:val="en-US" w:eastAsia="zh-CN"/>
              </w:rPr>
              <w:t>磋商</w:t>
            </w:r>
            <w:r>
              <w:rPr>
                <w:rFonts w:hint="eastAsia" w:ascii="宋体" w:hAnsi="宋体" w:cs="宋体"/>
                <w:b/>
                <w:color w:val="000000" w:themeColor="text1"/>
                <w:sz w:val="24"/>
                <w:szCs w:val="24"/>
                <w14:textFill>
                  <w14:solidFill>
                    <w14:schemeClr w14:val="tx1"/>
                  </w14:solidFill>
                </w14:textFill>
              </w:rPr>
              <w:t>文件技术要求</w:t>
            </w:r>
          </w:p>
        </w:tc>
        <w:tc>
          <w:tcPr>
            <w:tcW w:w="3726" w:type="dxa"/>
            <w:vAlign w:val="center"/>
          </w:tcPr>
          <w:p w14:paraId="7BF16EBD">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auto"/>
                <w:sz w:val="24"/>
                <w:szCs w:val="24"/>
                <w:lang w:eastAsia="zh-CN"/>
              </w:rPr>
              <w:t>响应</w:t>
            </w:r>
            <w:r>
              <w:rPr>
                <w:rFonts w:hint="eastAsia" w:ascii="宋体" w:hAnsi="宋体" w:cs="宋体"/>
                <w:b/>
                <w:color w:val="000000" w:themeColor="text1"/>
                <w:sz w:val="24"/>
                <w:szCs w:val="24"/>
                <w14:textFill>
                  <w14:solidFill>
                    <w14:schemeClr w14:val="tx1"/>
                  </w14:solidFill>
                </w14:textFill>
              </w:rPr>
              <w:t>文件技术</w:t>
            </w:r>
            <w:r>
              <w:rPr>
                <w:rFonts w:hint="eastAsia" w:ascii="宋体" w:hAnsi="宋体" w:cs="宋体"/>
                <w:b/>
                <w:color w:val="000000" w:themeColor="text1"/>
                <w:sz w:val="24"/>
                <w:szCs w:val="24"/>
                <w:lang w:val="en-US" w:eastAsia="zh-CN"/>
                <w14:textFill>
                  <w14:solidFill>
                    <w14:schemeClr w14:val="tx1"/>
                  </w14:solidFill>
                </w14:textFill>
              </w:rPr>
              <w:t>应答</w:t>
            </w:r>
          </w:p>
        </w:tc>
        <w:tc>
          <w:tcPr>
            <w:tcW w:w="1583" w:type="dxa"/>
            <w:vAlign w:val="center"/>
          </w:tcPr>
          <w:p w14:paraId="7679E2A9">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响应/偏离</w:t>
            </w:r>
          </w:p>
        </w:tc>
        <w:tc>
          <w:tcPr>
            <w:tcW w:w="1369" w:type="dxa"/>
            <w:vAlign w:val="center"/>
          </w:tcPr>
          <w:p w14:paraId="7CDC9260">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偏离简述</w:t>
            </w:r>
          </w:p>
        </w:tc>
      </w:tr>
      <w:tr w14:paraId="144A8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9401C51">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2258" w:type="dxa"/>
          </w:tcPr>
          <w:p w14:paraId="0076A03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0533ED4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6EE7913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3AB9C62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68848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418736E">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2258" w:type="dxa"/>
          </w:tcPr>
          <w:p w14:paraId="7994F7F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71F0443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4B5C6F3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1361CB6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7639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52D5710D">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w:t>
            </w:r>
          </w:p>
        </w:tc>
        <w:tc>
          <w:tcPr>
            <w:tcW w:w="2258" w:type="dxa"/>
          </w:tcPr>
          <w:p w14:paraId="65EEFA4D">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04ED584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02BB67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5150D11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4BAEE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6BAFC52B">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w:t>
            </w:r>
          </w:p>
        </w:tc>
        <w:tc>
          <w:tcPr>
            <w:tcW w:w="2258" w:type="dxa"/>
          </w:tcPr>
          <w:p w14:paraId="0DD217F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559B8C5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418079A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2E608CF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69AB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027FD7E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2258" w:type="dxa"/>
          </w:tcPr>
          <w:p w14:paraId="4753915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18357F8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6236F11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5DC30FE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33A93D79">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000000" w:themeColor="text1"/>
          <w:kern w:val="2"/>
          <w:sz w:val="24"/>
          <w:szCs w:val="24"/>
          <w:lang w:val="zh-CN"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注：</w:t>
      </w:r>
      <w:r>
        <w:rPr>
          <w:rFonts w:hint="eastAsia" w:ascii="宋体" w:hAnsi="宋体" w:cs="Times New Roman"/>
          <w:b w:val="0"/>
          <w:bCs w:val="0"/>
          <w:color w:val="auto"/>
          <w:sz w:val="24"/>
          <w:szCs w:val="24"/>
        </w:rPr>
        <w:t>对磋商文件中要求的</w:t>
      </w:r>
      <w:r>
        <w:rPr>
          <w:rFonts w:hint="eastAsia" w:ascii="宋体" w:hAnsi="宋体" w:cs="Times New Roman"/>
          <w:b w:val="0"/>
          <w:bCs w:val="0"/>
          <w:color w:val="auto"/>
          <w:sz w:val="24"/>
          <w:szCs w:val="24"/>
          <w:lang w:val="en-US" w:eastAsia="zh-CN"/>
        </w:rPr>
        <w:t>技术</w:t>
      </w:r>
      <w:r>
        <w:rPr>
          <w:rFonts w:hint="eastAsia" w:ascii="宋体" w:hAnsi="宋体" w:cs="Times New Roman"/>
          <w:b w:val="0"/>
          <w:bCs w:val="0"/>
          <w:color w:val="auto"/>
          <w:sz w:val="24"/>
          <w:szCs w:val="24"/>
        </w:rPr>
        <w:t>条款响应并详细说明。</w:t>
      </w:r>
    </w:p>
    <w:p w14:paraId="55D751E6">
      <w:pPr>
        <w:pStyle w:val="23"/>
        <w:rPr>
          <w:color w:val="000000" w:themeColor="text1"/>
          <w14:textFill>
            <w14:solidFill>
              <w14:schemeClr w14:val="tx1"/>
            </w14:solidFill>
          </w14:textFill>
        </w:rPr>
      </w:pPr>
    </w:p>
    <w:p w14:paraId="050716FA">
      <w:pPr>
        <w:jc w:val="center"/>
        <w:rPr>
          <w:rFonts w:ascii="宋体" w:hAnsi="宋体"/>
          <w:b/>
          <w:color w:val="000000" w:themeColor="text1"/>
          <w:sz w:val="24"/>
          <w:szCs w:val="24"/>
          <w14:textFill>
            <w14:solidFill>
              <w14:schemeClr w14:val="tx1"/>
            </w14:solidFill>
          </w14:textFill>
        </w:rPr>
      </w:pPr>
    </w:p>
    <w:p w14:paraId="59CB4C1A">
      <w:pPr>
        <w:pStyle w:val="15"/>
        <w:rPr>
          <w:rFonts w:ascii="宋体" w:hAnsi="宋体"/>
          <w:b/>
          <w:color w:val="000000" w:themeColor="text1"/>
          <w:sz w:val="24"/>
          <w:szCs w:val="24"/>
          <w14:textFill>
            <w14:solidFill>
              <w14:schemeClr w14:val="tx1"/>
            </w14:solidFill>
          </w14:textFill>
        </w:rPr>
      </w:pPr>
    </w:p>
    <w:p w14:paraId="117B838E">
      <w:pPr>
        <w:pStyle w:val="15"/>
        <w:rPr>
          <w:rFonts w:ascii="宋体" w:hAnsi="宋体"/>
          <w:b/>
          <w:color w:val="000000" w:themeColor="text1"/>
          <w:sz w:val="24"/>
          <w:szCs w:val="24"/>
          <w14:textFill>
            <w14:solidFill>
              <w14:schemeClr w14:val="tx1"/>
            </w14:solidFill>
          </w14:textFill>
        </w:rPr>
      </w:pPr>
    </w:p>
    <w:p w14:paraId="679097B9">
      <w:pPr>
        <w:jc w:val="center"/>
        <w:rPr>
          <w:rFonts w:ascii="宋体" w:hAnsi="宋体"/>
          <w:b/>
          <w:color w:val="000000" w:themeColor="text1"/>
          <w:sz w:val="24"/>
          <w:szCs w:val="24"/>
          <w14:textFill>
            <w14:solidFill>
              <w14:schemeClr w14:val="tx1"/>
            </w14:solidFill>
          </w14:textFill>
        </w:rPr>
      </w:pPr>
    </w:p>
    <w:p w14:paraId="57FD1BA5">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6590065D">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E2B6830">
      <w:pPr>
        <w:keepNext/>
        <w:keepLines/>
        <w:widowControl w:val="0"/>
        <w:numPr>
          <w:ilvl w:val="0"/>
          <w:numId w:val="0"/>
        </w:numPr>
        <w:spacing w:line="415" w:lineRule="auto"/>
        <w:ind w:firstLine="240" w:firstLineChars="100"/>
        <w:jc w:val="both"/>
        <w:outlineLvl w:val="1"/>
        <w:rPr>
          <w:rFonts w:hint="eastAsia" w:ascii="Calibri Light" w:hAnsi="Calibri Light" w:cs="Times New Roman"/>
          <w:b/>
          <w:bCs/>
          <w:color w:val="auto"/>
          <w:sz w:val="32"/>
          <w:szCs w:val="32"/>
          <w:lang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olor w:val="000000" w:themeColor="text1"/>
          <w:sz w:val="24"/>
          <w:szCs w:val="24"/>
          <w14:textFill>
            <w14:solidFill>
              <w14:schemeClr w14:val="tx1"/>
            </w14:solidFill>
          </w14:textFill>
        </w:rPr>
        <w:t>日      期：</w:t>
      </w:r>
    </w:p>
    <w:p w14:paraId="614763AA">
      <w:pPr>
        <w:keepNext/>
        <w:keepLines/>
        <w:numPr>
          <w:ilvl w:val="0"/>
          <w:numId w:val="0"/>
        </w:numPr>
        <w:spacing w:line="415" w:lineRule="auto"/>
        <w:ind w:left="0" w:leftChars="0" w:firstLine="0" w:firstLineChars="0"/>
        <w:jc w:val="center"/>
        <w:outlineLvl w:val="1"/>
        <w:rPr>
          <w:rFonts w:hint="eastAsia" w:ascii="Calibri Light" w:hAnsi="Calibri Light" w:cs="Times New Roman"/>
          <w:b/>
          <w:bCs/>
          <w:color w:val="auto"/>
          <w:sz w:val="28"/>
          <w:szCs w:val="28"/>
          <w:lang w:eastAsia="zh-CN"/>
        </w:rPr>
      </w:pPr>
      <w:r>
        <w:rPr>
          <w:rFonts w:hint="eastAsia" w:ascii="Calibri Light" w:hAnsi="Calibri Light" w:cs="Times New Roman"/>
          <w:b/>
          <w:bCs/>
          <w:color w:val="auto"/>
          <w:sz w:val="28"/>
          <w:szCs w:val="28"/>
          <w:lang w:eastAsia="zh-CN"/>
        </w:rPr>
        <w:t>商务响应偏离表</w:t>
      </w:r>
    </w:p>
    <w:p w14:paraId="652EA57C">
      <w:pPr>
        <w:pStyle w:val="26"/>
      </w:pPr>
    </w:p>
    <w:tbl>
      <w:tblPr>
        <w:tblStyle w:val="3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A42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53C45609">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序号</w:t>
            </w:r>
          </w:p>
        </w:tc>
        <w:tc>
          <w:tcPr>
            <w:tcW w:w="2835" w:type="dxa"/>
            <w:vAlign w:val="center"/>
          </w:tcPr>
          <w:p w14:paraId="6B5CE4D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磋商</w:t>
            </w:r>
            <w:r>
              <w:rPr>
                <w:rFonts w:hint="eastAsia" w:ascii="宋体" w:hAnsi="宋体" w:eastAsia="宋体" w:cs="宋体"/>
                <w:b/>
                <w:color w:val="auto"/>
                <w:sz w:val="24"/>
                <w:szCs w:val="24"/>
              </w:rPr>
              <w:t>文件商务要求</w:t>
            </w:r>
          </w:p>
        </w:tc>
        <w:tc>
          <w:tcPr>
            <w:tcW w:w="2552" w:type="dxa"/>
            <w:vAlign w:val="center"/>
          </w:tcPr>
          <w:p w14:paraId="2043779E">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3F4B120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响应/</w:t>
            </w:r>
            <w:r>
              <w:rPr>
                <w:rFonts w:hint="eastAsia" w:ascii="宋体" w:hAnsi="宋体" w:eastAsia="宋体" w:cs="宋体"/>
                <w:b/>
                <w:color w:val="auto"/>
                <w:sz w:val="24"/>
                <w:szCs w:val="24"/>
              </w:rPr>
              <w:t>偏离</w:t>
            </w:r>
          </w:p>
        </w:tc>
        <w:tc>
          <w:tcPr>
            <w:tcW w:w="1516" w:type="dxa"/>
            <w:vAlign w:val="center"/>
          </w:tcPr>
          <w:p w14:paraId="245CCEC1">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098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8269180">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B36F29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4E756FAA">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B101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2F50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D8F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97D8403">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260DBC6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D6E16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3271A21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5DB5E">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2D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7BB1D4">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10285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888417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2462999">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102146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E24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C4A7843">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3E3B1C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77AC1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B712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F191F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5E088FAA">
      <w:pPr>
        <w:spacing w:line="360" w:lineRule="auto"/>
        <w:ind w:firstLine="480" w:firstLineChars="200"/>
        <w:rPr>
          <w:rFonts w:hint="eastAsia" w:ascii="宋体" w:hAnsi="宋体" w:cs="Times New Roman"/>
          <w:b w:val="0"/>
          <w:bCs w:val="0"/>
          <w:color w:val="auto"/>
          <w:sz w:val="24"/>
          <w:szCs w:val="24"/>
        </w:rPr>
      </w:pPr>
    </w:p>
    <w:p w14:paraId="4207AACB">
      <w:pPr>
        <w:spacing w:line="360" w:lineRule="auto"/>
        <w:ind w:firstLine="480" w:firstLineChars="200"/>
        <w:rPr>
          <w:rFonts w:ascii="Times New Roman" w:hAnsi="Times New Roman" w:cs="Times New Roman"/>
          <w:b w:val="0"/>
          <w:bCs w:val="0"/>
          <w:color w:val="auto"/>
          <w:sz w:val="24"/>
          <w:szCs w:val="24"/>
        </w:rPr>
      </w:pPr>
      <w:r>
        <w:rPr>
          <w:rFonts w:hint="eastAsia" w:ascii="宋体" w:hAnsi="宋体" w:cs="Times New Roman"/>
          <w:b w:val="0"/>
          <w:bCs w:val="0"/>
          <w:color w:val="auto"/>
          <w:sz w:val="24"/>
          <w:szCs w:val="24"/>
        </w:rPr>
        <w:t>注：对磋商文件中要求的商务条款响应并详细说明。</w:t>
      </w:r>
    </w:p>
    <w:p w14:paraId="752129BC">
      <w:pPr>
        <w:rPr>
          <w:rFonts w:ascii="Times New Roman" w:hAnsi="Times New Roman" w:cs="Times New Roman"/>
          <w:color w:val="auto"/>
          <w:sz w:val="24"/>
          <w:szCs w:val="24"/>
        </w:rPr>
      </w:pPr>
    </w:p>
    <w:p w14:paraId="631A5752">
      <w:pPr>
        <w:pStyle w:val="20"/>
        <w:rPr>
          <w:color w:val="auto"/>
        </w:rPr>
      </w:pPr>
    </w:p>
    <w:p w14:paraId="74B80580">
      <w:pPr>
        <w:pStyle w:val="20"/>
        <w:rPr>
          <w:color w:val="auto"/>
        </w:rPr>
      </w:pPr>
    </w:p>
    <w:p w14:paraId="01CE4F28">
      <w:pPr>
        <w:pStyle w:val="20"/>
        <w:rPr>
          <w:color w:val="auto"/>
        </w:rPr>
      </w:pPr>
    </w:p>
    <w:p w14:paraId="5C88CA64">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580425E8">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5C819905">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52846BCE">
      <w:pPr>
        <w:widowControl/>
        <w:jc w:val="left"/>
        <w:rPr>
          <w:rFonts w:ascii="宋体" w:hAnsi="宋体" w:cs="宋体"/>
          <w:b/>
          <w:bCs/>
          <w:color w:val="auto"/>
          <w:sz w:val="28"/>
          <w:szCs w:val="28"/>
        </w:rPr>
      </w:pPr>
    </w:p>
    <w:bookmarkEnd w:id="75"/>
    <w:bookmarkEnd w:id="77"/>
    <w:bookmarkEnd w:id="78"/>
    <w:bookmarkEnd w:id="79"/>
    <w:bookmarkEnd w:id="80"/>
    <w:bookmarkEnd w:id="81"/>
    <w:bookmarkEnd w:id="82"/>
    <w:p w14:paraId="728AB4B6">
      <w:pPr>
        <w:pStyle w:val="3"/>
        <w:pageBreakBefore/>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bookmarkStart w:id="83" w:name="_Toc1408"/>
    </w:p>
    <w:bookmarkEnd w:id="83"/>
    <w:p w14:paraId="1FB35719">
      <w:pPr>
        <w:pStyle w:val="3"/>
        <w:pageBreakBefore/>
        <w:rPr>
          <w:rFonts w:hint="eastAsia" w:ascii="Calibri Light" w:hAnsi="Calibri Light" w:eastAsia="宋体" w:cs="Times New Roman"/>
          <w:b/>
          <w:bCs/>
          <w:color w:val="auto"/>
          <w:kern w:val="2"/>
          <w:sz w:val="32"/>
          <w:szCs w:val="32"/>
          <w:lang w:val="en-US" w:eastAsia="zh-CN" w:bidi="ar-SA"/>
        </w:rPr>
      </w:pPr>
      <w:bookmarkStart w:id="84" w:name="_Toc9172"/>
      <w:bookmarkStart w:id="85" w:name="_Toc536429392"/>
      <w:bookmarkStart w:id="86" w:name="_Toc19543359"/>
      <w:bookmarkStart w:id="87" w:name="_Toc536202330"/>
      <w:bookmarkStart w:id="88" w:name="_Toc536202399"/>
      <w:bookmarkStart w:id="89" w:name="_Toc536429339"/>
      <w:bookmarkStart w:id="90" w:name="_Toc14937"/>
      <w:bookmarkStart w:id="91" w:name="_Toc1803"/>
      <w:r>
        <w:rPr>
          <w:rFonts w:hint="eastAsia" w:ascii="Calibri Light" w:hAnsi="Calibri Light" w:eastAsia="宋体" w:cs="Times New Roman"/>
          <w:b/>
          <w:bCs/>
          <w:color w:val="auto"/>
          <w:kern w:val="2"/>
          <w:sz w:val="32"/>
          <w:szCs w:val="32"/>
          <w:lang w:val="en-US" w:eastAsia="zh-CN" w:bidi="ar-SA"/>
        </w:rPr>
        <w:t>第</w:t>
      </w:r>
      <w:r>
        <w:rPr>
          <w:rFonts w:hint="eastAsia" w:ascii="Calibri Light" w:hAnsi="Calibri Light" w:cs="Times New Roman"/>
          <w:b/>
          <w:bCs/>
          <w:color w:val="auto"/>
          <w:kern w:val="2"/>
          <w:sz w:val="32"/>
          <w:szCs w:val="32"/>
          <w:lang w:val="en-US" w:eastAsia="zh-CN" w:bidi="ar-SA"/>
        </w:rPr>
        <w:t>五</w:t>
      </w:r>
      <w:r>
        <w:rPr>
          <w:rFonts w:hint="eastAsia" w:ascii="Calibri Light" w:hAnsi="Calibri Light" w:eastAsia="宋体" w:cs="Times New Roman"/>
          <w:b/>
          <w:bCs/>
          <w:color w:val="auto"/>
          <w:kern w:val="2"/>
          <w:sz w:val="32"/>
          <w:szCs w:val="32"/>
          <w:lang w:val="en-US" w:eastAsia="zh-CN" w:bidi="ar-SA"/>
        </w:rPr>
        <w:t xml:space="preserve">章  </w:t>
      </w:r>
      <w:bookmarkEnd w:id="84"/>
      <w:r>
        <w:rPr>
          <w:rFonts w:hint="eastAsia" w:ascii="Calibri Light" w:hAnsi="Calibri Light" w:cs="Times New Roman"/>
          <w:b/>
          <w:bCs/>
          <w:color w:val="auto"/>
          <w:kern w:val="2"/>
          <w:sz w:val="32"/>
          <w:szCs w:val="32"/>
          <w:lang w:val="en-US" w:eastAsia="zh-CN" w:bidi="ar-SA"/>
        </w:rPr>
        <w:t>响应</w:t>
      </w:r>
      <w:r>
        <w:rPr>
          <w:rFonts w:hint="eastAsia" w:ascii="Calibri Light" w:hAnsi="Calibri Light" w:eastAsia="宋体" w:cs="Times New Roman"/>
          <w:b/>
          <w:bCs/>
          <w:color w:val="auto"/>
          <w:kern w:val="2"/>
          <w:sz w:val="32"/>
          <w:szCs w:val="32"/>
          <w:lang w:val="en-US" w:eastAsia="zh-CN" w:bidi="ar-SA"/>
        </w:rPr>
        <w:t>方案</w:t>
      </w:r>
      <w:bookmarkEnd w:id="85"/>
      <w:bookmarkEnd w:id="86"/>
      <w:bookmarkEnd w:id="87"/>
      <w:bookmarkEnd w:id="88"/>
      <w:bookmarkEnd w:id="89"/>
      <w:bookmarkEnd w:id="90"/>
    </w:p>
    <w:p w14:paraId="678E84F4">
      <w:pPr>
        <w:overflowPunct/>
        <w:topLinePunct w:val="0"/>
        <w:bidi w:val="0"/>
        <w:spacing w:line="500" w:lineRule="atLeast"/>
        <w:ind w:firstLine="482" w:firstLineChars="200"/>
        <w:rPr>
          <w:rFonts w:hint="eastAsia" w:ascii="宋体" w:hAnsi="宋体" w:eastAsia="宋体" w:cs="宋体"/>
          <w:b/>
          <w:bCs/>
          <w:color w:val="auto"/>
          <w:sz w:val="24"/>
          <w:szCs w:val="24"/>
        </w:rPr>
      </w:pPr>
      <w:bookmarkStart w:id="92" w:name="_Toc23258631"/>
      <w:bookmarkStart w:id="93" w:name="_Toc484198844"/>
      <w:bookmarkStart w:id="94" w:name="_Toc26541342"/>
      <w:bookmarkStart w:id="95" w:name="_Toc528240834"/>
      <w:bookmarkStart w:id="96" w:name="_Toc19543360"/>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文件的《评分标准》各条款的要求，结合《采购内容及要求》编制</w:t>
      </w:r>
      <w:r>
        <w:rPr>
          <w:rFonts w:hint="eastAsia" w:ascii="宋体" w:hAnsi="宋体" w:eastAsia="宋体" w:cs="宋体"/>
          <w:b/>
          <w:bCs/>
          <w:color w:val="auto"/>
          <w:sz w:val="24"/>
          <w:szCs w:val="24"/>
          <w:lang w:val="en-US" w:eastAsia="zh-CN"/>
        </w:rPr>
        <w:t>响应方案</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方案由供应商自行编写，包含但不限于以下内容：</w:t>
      </w:r>
    </w:p>
    <w:p w14:paraId="1AE64424">
      <w:pPr>
        <w:adjustRightInd w:val="0"/>
        <w:snapToGrid w:val="0"/>
        <w:spacing w:line="500" w:lineRule="exact"/>
        <w:ind w:firstLine="480" w:firstLineChars="200"/>
        <w:rPr>
          <w:rFonts w:hint="default" w:ascii="宋体" w:hAnsi="宋体" w:eastAsia="宋体" w:cs="宋体"/>
          <w:color w:val="auto"/>
          <w:sz w:val="24"/>
          <w:lang w:val="en-US"/>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整体组织管理方案；</w:t>
      </w:r>
    </w:p>
    <w:p w14:paraId="28C34F94">
      <w:pPr>
        <w:adjustRightInd w:val="0"/>
        <w:snapToGrid w:val="0"/>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实施方案</w:t>
      </w:r>
      <w:r>
        <w:rPr>
          <w:rFonts w:hint="eastAsia" w:ascii="宋体" w:hAnsi="宋体" w:eastAsia="宋体" w:cs="宋体"/>
          <w:color w:val="auto"/>
          <w:sz w:val="24"/>
          <w:lang w:val="en-US" w:eastAsia="zh-CN"/>
        </w:rPr>
        <w:t>；</w:t>
      </w:r>
    </w:p>
    <w:p w14:paraId="57014C62">
      <w:pPr>
        <w:adjustRightInd w:val="0"/>
        <w:snapToGrid w:val="0"/>
        <w:spacing w:line="50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宣传视频摄制方案；场馆搭建布展实施方案；人员交通统筹方案；食宿保障方案；人员意外险投保方案。</w:t>
      </w:r>
    </w:p>
    <w:p w14:paraId="434E7727">
      <w:pPr>
        <w:adjustRightInd w:val="0"/>
        <w:snapToGrid w:val="0"/>
        <w:spacing w:line="50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3.人员配置；</w:t>
      </w:r>
    </w:p>
    <w:p w14:paraId="4103E30C">
      <w:pPr>
        <w:adjustRightInd w:val="0"/>
        <w:snapToGrid w:val="0"/>
        <w:spacing w:line="50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4.现场安全保障与应急预案；</w:t>
      </w:r>
    </w:p>
    <w:p w14:paraId="66D6D1E7">
      <w:pPr>
        <w:adjustRightInd w:val="0"/>
        <w:snapToGrid w:val="0"/>
        <w:spacing w:line="50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5.工期保障与交付承诺；</w:t>
      </w:r>
    </w:p>
    <w:p w14:paraId="2A3962E7">
      <w:pPr>
        <w:adjustRightInd w:val="0"/>
        <w:snapToGrid w:val="0"/>
        <w:spacing w:line="500" w:lineRule="exact"/>
        <w:ind w:firstLine="480" w:firstLineChars="200"/>
        <w:rPr>
          <w:rFonts w:hint="default" w:ascii="宋体" w:hAnsi="宋体" w:cs="宋体"/>
          <w:color w:val="auto"/>
          <w:sz w:val="24"/>
          <w:lang w:val="en-US" w:eastAsia="zh-CN"/>
        </w:rPr>
      </w:pPr>
      <w:r>
        <w:rPr>
          <w:rFonts w:hint="eastAsia" w:ascii="宋体" w:hAnsi="宋体" w:cs="宋体"/>
          <w:color w:val="auto"/>
          <w:sz w:val="24"/>
          <w:lang w:val="en-US" w:eastAsia="zh-CN"/>
        </w:rPr>
        <w:t>6.技能展演配套增值服务；</w:t>
      </w:r>
    </w:p>
    <w:p w14:paraId="033A4B48">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7.业绩；</w:t>
      </w:r>
    </w:p>
    <w:p w14:paraId="7FD8AA12">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8.</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59460848">
      <w:pPr>
        <w:pStyle w:val="106"/>
        <w:rPr>
          <w:rFonts w:hint="default"/>
          <w:color w:val="auto"/>
          <w:lang w:val="en-US" w:eastAsia="zh-CN"/>
        </w:rPr>
      </w:pPr>
      <w:r>
        <w:rPr>
          <w:rFonts w:hint="eastAsia" w:ascii="宋体" w:hAnsi="宋体" w:eastAsia="宋体" w:cs="宋体"/>
          <w:color w:val="auto"/>
          <w:sz w:val="24"/>
          <w:lang w:val="en-US" w:eastAsia="zh-CN"/>
        </w:rPr>
        <w:t>……</w:t>
      </w:r>
    </w:p>
    <w:p w14:paraId="6623791B">
      <w:pPr>
        <w:spacing w:line="520" w:lineRule="exact"/>
        <w:ind w:left="420" w:leftChars="200" w:firstLine="480" w:firstLineChars="200"/>
        <w:rPr>
          <w:rFonts w:ascii="宋体" w:hAnsi="宋体" w:cs="宋体"/>
          <w:color w:val="auto"/>
          <w:sz w:val="24"/>
        </w:rPr>
      </w:pPr>
    </w:p>
    <w:p w14:paraId="37C8C66E">
      <w:pPr>
        <w:widowControl/>
        <w:jc w:val="left"/>
        <w:rPr>
          <w:rFonts w:ascii="宋体" w:hAnsi="宋体" w:cs="Times New Roman"/>
          <w:color w:val="auto"/>
          <w:sz w:val="24"/>
          <w:szCs w:val="24"/>
        </w:rPr>
      </w:pPr>
      <w:r>
        <w:rPr>
          <w:rFonts w:ascii="宋体" w:hAnsi="宋体" w:cs="Times New Roman"/>
          <w:color w:val="auto"/>
          <w:sz w:val="24"/>
          <w:szCs w:val="24"/>
        </w:rPr>
        <w:br w:type="page"/>
      </w:r>
    </w:p>
    <w:p w14:paraId="1EB7EBB4">
      <w:pPr>
        <w:keepNext/>
        <w:keepLines/>
        <w:spacing w:before="260" w:after="260" w:line="416" w:lineRule="auto"/>
        <w:ind w:firstLine="422" w:firstLineChars="150"/>
        <w:jc w:val="center"/>
        <w:outlineLvl w:val="1"/>
        <w:rPr>
          <w:rFonts w:ascii="宋体" w:hAnsi="宋体" w:cs="宋体"/>
          <w:b/>
          <w:bCs/>
          <w:color w:val="auto"/>
          <w:kern w:val="20"/>
          <w:sz w:val="28"/>
          <w:szCs w:val="28"/>
        </w:rPr>
      </w:pPr>
      <w:r>
        <w:rPr>
          <w:rFonts w:hint="eastAsia" w:ascii="Calibri Light" w:hAnsi="Calibri Light" w:cs="Times New Roman"/>
          <w:b/>
          <w:bCs/>
          <w:color w:val="auto"/>
          <w:sz w:val="28"/>
          <w:szCs w:val="28"/>
        </w:rPr>
        <w:t>投标人情况表</w:t>
      </w:r>
      <w:bookmarkEnd w:id="92"/>
      <w:bookmarkEnd w:id="93"/>
      <w:bookmarkEnd w:id="94"/>
      <w:bookmarkEnd w:id="95"/>
    </w:p>
    <w:tbl>
      <w:tblPr>
        <w:tblStyle w:val="3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0BD0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2097A22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B91FF3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1707012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6C132EE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7402CBE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1476C88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43DCF46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37A0DDF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50EA90D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338B9F8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3D72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0B39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63F1B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5866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ED16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A552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6BE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4651B1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DE2C9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E2F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E3E46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A0108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8BA03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C5FA3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47A71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C7A91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D20D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D4BFD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D53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D0F0F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84689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4CF0C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47940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002D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BDA37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5DF7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5E8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5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E71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CF973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0E43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048C1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09166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F309D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F7A3D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3BBE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6E2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7286E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9622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BC76A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A0066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6C44D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F2E2F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A1AF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DEC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6A5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1876F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19DF2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223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01FA9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98409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37FF3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6B43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16093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551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B24A4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F431D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B5D9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3302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5AE7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224D0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90097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B6E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6A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1068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4694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97E3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4CE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471C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DAF61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C7C0F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750F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351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CC7D2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B187A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F4BA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BF0E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C0F2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6BC0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AAF0F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4D71A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40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0A53A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FD9D6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E062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DC029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35AC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23B6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9C37B7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CC97B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DA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227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337F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D98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3FF6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EDD3B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8CECEF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2070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CDE2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6D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2E451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2185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77B98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170E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B73F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8BAE2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D3B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E17B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1DB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74D55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FE45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FF6B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D04D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8640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6D08A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79734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17EEB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F73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A7C6A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4D38D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3EBE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6A3E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C54B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D057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53E40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E1155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B4B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72168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FBF6A0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783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83AE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ADA81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6B8776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E4E41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627DF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323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C9EA5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F7E94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BDF58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7F4D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FE43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A213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EEEC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C661F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7AB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45F3FB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53448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E5487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C4AF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7561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2319F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224F4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D1CB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31B33A79">
      <w:pPr>
        <w:rPr>
          <w:rFonts w:ascii="Times New Roman" w:hAnsi="Times New Roman" w:cs="Times New Roman"/>
          <w:color w:val="auto"/>
          <w:szCs w:val="22"/>
        </w:rPr>
      </w:pPr>
    </w:p>
    <w:p w14:paraId="44724DF8">
      <w:pPr>
        <w:adjustRightInd w:val="0"/>
        <w:snapToGrid w:val="0"/>
        <w:spacing w:line="480" w:lineRule="auto"/>
        <w:jc w:val="left"/>
        <w:rPr>
          <w:rFonts w:hint="eastAsia" w:ascii="宋体" w:hAnsi="宋体" w:eastAsia="宋体" w:cs="宋体"/>
          <w:color w:val="auto"/>
          <w:sz w:val="24"/>
          <w:szCs w:val="24"/>
        </w:rPr>
      </w:pPr>
      <w:bookmarkStart w:id="97" w:name="_Hlt491765944"/>
      <w:bookmarkEnd w:id="97"/>
      <w:bookmarkStart w:id="98" w:name="_Hlt491766019"/>
      <w:bookmarkEnd w:id="98"/>
      <w:bookmarkStart w:id="99" w:name="_Hlt491573425"/>
      <w:bookmarkEnd w:id="99"/>
      <w:bookmarkStart w:id="100" w:name="_Hlt491572882"/>
      <w:bookmarkEnd w:id="100"/>
      <w:bookmarkStart w:id="101" w:name="_Hlt491765868"/>
      <w:bookmarkEnd w:id="101"/>
    </w:p>
    <w:p w14:paraId="7A9DC047">
      <w:pPr>
        <w:adjustRightInd w:val="0"/>
        <w:snapToGrid w:val="0"/>
        <w:spacing w:line="480" w:lineRule="auto"/>
        <w:jc w:val="left"/>
        <w:rPr>
          <w:rFonts w:hint="eastAsia" w:ascii="宋体" w:hAnsi="宋体" w:eastAsia="宋体" w:cs="宋体"/>
          <w:color w:val="auto"/>
          <w:sz w:val="24"/>
          <w:szCs w:val="24"/>
        </w:rPr>
      </w:pPr>
    </w:p>
    <w:p w14:paraId="3EC4FA1C">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120BE305">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1560CADF">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4C56DECF">
      <w:pPr>
        <w:rPr>
          <w:rFonts w:ascii="Times New Roman" w:hAnsi="Times New Roman" w:cs="Times New Roman"/>
          <w:color w:val="auto"/>
          <w:sz w:val="24"/>
          <w:szCs w:val="24"/>
        </w:rPr>
      </w:pPr>
    </w:p>
    <w:p w14:paraId="01867E4D">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96"/>
    </w:p>
    <w:tbl>
      <w:tblPr>
        <w:tblStyle w:val="3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63DCF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37D009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232E38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6E44EEB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4D81FF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630905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54D09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29246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628FEA9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9C28AB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F9FE3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9C87C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4CEF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70EFA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0B037A1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7166D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82C55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D474E2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BF7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61AC1E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4DFDC13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B4C045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EAB7A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CE51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C26A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586629">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7FF276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21DED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3CF51D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67FF49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6C80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323A55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4584C1C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F9986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0B7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3DBAC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3A7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AAB9AA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34B91A0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19CA42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C63A84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B0791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771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14D58B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B90158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D2E08C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C4CC2F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340FBF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14B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ED3D8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0ACA50B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D0EE1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47EAD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F3C3B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E3C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43A0FE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3FEB03B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FA2543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01A460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15CCBD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66B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ABEDA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1BB13AD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787568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399BF3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16C8E5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57C5FEB4">
      <w:pPr>
        <w:tabs>
          <w:tab w:val="left" w:pos="8782"/>
        </w:tabs>
        <w:snapToGrid w:val="0"/>
        <w:spacing w:line="360" w:lineRule="auto"/>
        <w:ind w:firstLine="480" w:firstLineChars="200"/>
        <w:rPr>
          <w:rFonts w:ascii="宋体" w:hAnsi="宋体" w:cs="Times New Roman"/>
          <w:color w:val="auto"/>
          <w:sz w:val="24"/>
          <w:szCs w:val="24"/>
        </w:rPr>
      </w:pPr>
    </w:p>
    <w:p w14:paraId="1A2A20AC">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5A1E0356">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71EADFC0">
      <w:pPr>
        <w:pStyle w:val="20"/>
        <w:rPr>
          <w:color w:val="auto"/>
        </w:rPr>
      </w:pPr>
    </w:p>
    <w:p w14:paraId="50681F89">
      <w:pPr>
        <w:adjustRightInd w:val="0"/>
        <w:snapToGrid w:val="0"/>
        <w:spacing w:line="480" w:lineRule="auto"/>
        <w:jc w:val="left"/>
        <w:rPr>
          <w:rFonts w:hint="eastAsia" w:ascii="宋体" w:hAnsi="宋体" w:eastAsia="宋体" w:cs="宋体"/>
          <w:color w:val="auto"/>
          <w:sz w:val="24"/>
          <w:szCs w:val="24"/>
        </w:rPr>
      </w:pPr>
    </w:p>
    <w:p w14:paraId="061833A3">
      <w:pPr>
        <w:adjustRightInd w:val="0"/>
        <w:snapToGrid w:val="0"/>
        <w:spacing w:line="480" w:lineRule="auto"/>
        <w:jc w:val="left"/>
        <w:rPr>
          <w:rFonts w:hint="eastAsia" w:ascii="宋体" w:hAnsi="宋体" w:eastAsia="宋体" w:cs="宋体"/>
          <w:color w:val="auto"/>
          <w:sz w:val="24"/>
          <w:szCs w:val="24"/>
        </w:rPr>
      </w:pPr>
    </w:p>
    <w:p w14:paraId="19BDBAAA">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E76914">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667FB279">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bookmarkEnd w:id="91"/>
    <w:p w14:paraId="665C59CE">
      <w:pPr>
        <w:pStyle w:val="3"/>
        <w:pageBreakBefore/>
        <w:rPr>
          <w:rFonts w:hint="eastAsia" w:ascii="Calibri Light" w:hAnsi="Calibri Light" w:eastAsia="宋体" w:cs="Times New Roman"/>
          <w:b/>
          <w:bCs/>
          <w:color w:val="auto"/>
          <w:kern w:val="2"/>
          <w:sz w:val="32"/>
          <w:szCs w:val="32"/>
          <w:lang w:val="en-US" w:eastAsia="zh-CN" w:bidi="ar-SA"/>
        </w:rPr>
      </w:pPr>
      <w:bookmarkStart w:id="102" w:name="_Toc19543363"/>
      <w:bookmarkStart w:id="103" w:name="_Toc536429395"/>
      <w:bookmarkStart w:id="104" w:name="_Toc536202333"/>
      <w:bookmarkStart w:id="105" w:name="_Toc24683"/>
      <w:bookmarkStart w:id="106" w:name="_Toc10667"/>
      <w:bookmarkStart w:id="107" w:name="_Toc536429342"/>
      <w:bookmarkStart w:id="108" w:name="_Toc536202402"/>
      <w:r>
        <w:rPr>
          <w:rFonts w:hint="eastAsia" w:ascii="Calibri Light" w:hAnsi="Calibri Light" w:eastAsia="宋体" w:cs="Times New Roman"/>
          <w:b/>
          <w:bCs/>
          <w:color w:val="auto"/>
          <w:kern w:val="2"/>
          <w:sz w:val="32"/>
          <w:szCs w:val="32"/>
          <w:lang w:val="en-US" w:eastAsia="zh-CN" w:bidi="ar-SA"/>
        </w:rPr>
        <w:t>第</w:t>
      </w:r>
      <w:r>
        <w:rPr>
          <w:rFonts w:hint="eastAsia" w:ascii="Calibri Light" w:hAnsi="Calibri Light" w:cs="Times New Roman"/>
          <w:b/>
          <w:bCs/>
          <w:color w:val="auto"/>
          <w:kern w:val="2"/>
          <w:sz w:val="32"/>
          <w:szCs w:val="32"/>
          <w:lang w:val="en-US" w:eastAsia="zh-CN" w:bidi="ar-SA"/>
        </w:rPr>
        <w:t>六</w:t>
      </w:r>
      <w:r>
        <w:rPr>
          <w:rFonts w:hint="eastAsia" w:ascii="Calibri Light" w:hAnsi="Calibri Light" w:eastAsia="宋体" w:cs="Times New Roman"/>
          <w:b/>
          <w:bCs/>
          <w:color w:val="auto"/>
          <w:kern w:val="2"/>
          <w:sz w:val="32"/>
          <w:szCs w:val="32"/>
          <w:lang w:val="en-US" w:eastAsia="zh-CN" w:bidi="ar-SA"/>
        </w:rPr>
        <w:t>章  供应商承诺书</w:t>
      </w:r>
      <w:bookmarkEnd w:id="102"/>
      <w:bookmarkEnd w:id="103"/>
      <w:bookmarkEnd w:id="104"/>
      <w:bookmarkEnd w:id="105"/>
      <w:bookmarkEnd w:id="106"/>
      <w:bookmarkEnd w:id="107"/>
      <w:bookmarkEnd w:id="108"/>
    </w:p>
    <w:p w14:paraId="4C71CC1C">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49F3FC4B">
      <w:pPr>
        <w:widowControl/>
        <w:spacing w:line="240" w:lineRule="exact"/>
        <w:ind w:firstLine="420" w:firstLineChars="200"/>
        <w:jc w:val="left"/>
        <w:rPr>
          <w:rFonts w:cs="仿宋" w:asciiTheme="minorEastAsia" w:hAnsiTheme="minorEastAsia" w:eastAsiaTheme="minorEastAsia"/>
          <w:bCs/>
          <w:color w:val="auto"/>
          <w:kern w:val="0"/>
        </w:rPr>
      </w:pPr>
    </w:p>
    <w:p w14:paraId="00EC87F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5CA608B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72D97D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BD60CF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10D66C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 xml:space="preserve">不采取“围标、陪标”等商业欺诈手段获得政府采购定单。 </w:t>
      </w:r>
    </w:p>
    <w:p w14:paraId="1B3BEDA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506A440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7744155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1E3B42F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179CC478">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2C4FF5D5">
      <w:pPr>
        <w:widowControl/>
        <w:spacing w:line="440" w:lineRule="exact"/>
        <w:ind w:firstLine="960" w:firstLineChars="400"/>
        <w:rPr>
          <w:rFonts w:cs="仿宋" w:asciiTheme="minorEastAsia" w:hAnsiTheme="minorEastAsia" w:eastAsiaTheme="minorEastAsia"/>
          <w:bCs/>
          <w:color w:val="auto"/>
          <w:kern w:val="0"/>
          <w:sz w:val="24"/>
          <w:szCs w:val="28"/>
        </w:rPr>
      </w:pPr>
    </w:p>
    <w:p w14:paraId="7C82AD97">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6317FEFC">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 xml:space="preserve">） </w:t>
      </w:r>
    </w:p>
    <w:p w14:paraId="5A194E80">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4A559179">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798A17AC">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35580E5F">
      <w:pPr>
        <w:widowControl/>
        <w:spacing w:line="340" w:lineRule="exact"/>
        <w:rPr>
          <w:rFonts w:cs="仿宋" w:asciiTheme="minorEastAsia" w:hAnsiTheme="minorEastAsia" w:eastAsiaTheme="minorEastAsia"/>
          <w:bCs/>
          <w:color w:val="auto"/>
          <w:kern w:val="0"/>
          <w:sz w:val="24"/>
          <w:szCs w:val="28"/>
        </w:rPr>
      </w:pPr>
    </w:p>
    <w:p w14:paraId="1C570005">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0ED688C">
      <w:pPr>
        <w:widowControl/>
        <w:spacing w:line="640" w:lineRule="exact"/>
        <w:jc w:val="center"/>
        <w:rPr>
          <w:rFonts w:cs="仿宋" w:asciiTheme="minorEastAsia" w:hAnsiTheme="minorEastAsia" w:eastAsiaTheme="minorEastAsia"/>
          <w:bCs/>
          <w:color w:val="auto"/>
          <w:sz w:val="36"/>
          <w:szCs w:val="40"/>
        </w:rPr>
      </w:pPr>
    </w:p>
    <w:p w14:paraId="329BED2C">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5C0545C3">
      <w:pPr>
        <w:widowControl/>
        <w:jc w:val="left"/>
        <w:rPr>
          <w:rFonts w:cs="仿宋" w:asciiTheme="minorEastAsia" w:hAnsiTheme="minorEastAsia" w:eastAsiaTheme="minorEastAsia"/>
          <w:bCs/>
          <w:color w:val="auto"/>
          <w:kern w:val="0"/>
          <w:sz w:val="32"/>
          <w:szCs w:val="32"/>
        </w:rPr>
      </w:pPr>
    </w:p>
    <w:p w14:paraId="41018882">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F16C49A">
      <w:pPr>
        <w:widowControl/>
        <w:shd w:val="clear" w:color="auto" w:fill="FFFFFF"/>
        <w:spacing w:before="100" w:beforeAutospacing="1" w:after="100" w:afterAutospacing="1" w:line="400" w:lineRule="exact"/>
        <w:jc w:val="center"/>
        <w:rPr>
          <w:rFonts w:cs="仿宋" w:asciiTheme="minorEastAsia" w:hAnsiTheme="minorEastAsia" w:eastAsiaTheme="minorEastAsia"/>
          <w:b/>
          <w:bCs w:val="0"/>
          <w:color w:val="auto"/>
          <w:kern w:val="0"/>
          <w:sz w:val="24"/>
          <w:szCs w:val="24"/>
        </w:rPr>
      </w:pPr>
      <w:r>
        <w:rPr>
          <w:rFonts w:hint="eastAsia" w:cs="仿宋" w:asciiTheme="minorEastAsia" w:hAnsiTheme="minorEastAsia" w:eastAsiaTheme="minorEastAsia"/>
          <w:b/>
          <w:bCs w:val="0"/>
          <w:color w:val="auto"/>
          <w:kern w:val="0"/>
          <w:sz w:val="32"/>
          <w:szCs w:val="32"/>
        </w:rPr>
        <w:t>承诺书Ⅱ</w:t>
      </w:r>
    </w:p>
    <w:p w14:paraId="354E2DF5">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3C6DEEC4">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78A0EBDC">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41504CC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267ACC4">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31E2ADF3">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w:t>
      </w:r>
    </w:p>
    <w:p w14:paraId="1A919D7B">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23C97535">
      <w:pPr>
        <w:pStyle w:val="3"/>
        <w:adjustRightInd w:val="0"/>
        <w:spacing w:line="416" w:lineRule="atLeast"/>
        <w:textAlignment w:val="baseline"/>
        <w:rPr>
          <w:rFonts w:ascii="宋体" w:hAnsi="宋体" w:cs="宋体"/>
          <w:color w:val="auto"/>
        </w:rPr>
      </w:pPr>
      <w:bookmarkStart w:id="109" w:name="_Toc536429343"/>
      <w:bookmarkStart w:id="110" w:name="_Toc536202403"/>
      <w:bookmarkStart w:id="111" w:name="_Toc536429396"/>
      <w:bookmarkStart w:id="112" w:name="_Toc25514"/>
      <w:bookmarkStart w:id="113" w:name="_Toc536202334"/>
    </w:p>
    <w:bookmarkEnd w:id="0"/>
    <w:bookmarkEnd w:id="109"/>
    <w:bookmarkEnd w:id="110"/>
    <w:bookmarkEnd w:id="111"/>
    <w:bookmarkEnd w:id="112"/>
    <w:bookmarkEnd w:id="113"/>
    <w:p w14:paraId="6E1D0FD5">
      <w:pPr>
        <w:widowControl/>
        <w:jc w:val="left"/>
        <w:rPr>
          <w:color w:val="auto"/>
          <w:sz w:val="24"/>
          <w:szCs w:val="28"/>
        </w:rPr>
      </w:pPr>
    </w:p>
    <w:p w14:paraId="18395C5F">
      <w:pPr>
        <w:pStyle w:val="11"/>
        <w:rPr>
          <w:color w:val="auto"/>
          <w:sz w:val="24"/>
          <w:szCs w:val="28"/>
        </w:rPr>
      </w:pPr>
    </w:p>
    <w:p w14:paraId="6FA812C5">
      <w:pPr>
        <w:rPr>
          <w:color w:val="auto"/>
          <w:sz w:val="24"/>
          <w:szCs w:val="28"/>
        </w:rPr>
      </w:pPr>
    </w:p>
    <w:p w14:paraId="437BF3F1">
      <w:pPr>
        <w:pStyle w:val="11"/>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rtlGutter w:val="0"/>
          <w:docGrid w:type="lines" w:linePitch="333" w:charSpace="0"/>
        </w:sectPr>
      </w:pPr>
    </w:p>
    <w:p w14:paraId="2B78AAB1">
      <w:pPr>
        <w:rPr>
          <w:color w:val="auto"/>
        </w:rPr>
      </w:pPr>
    </w:p>
    <w:p w14:paraId="775D3714">
      <w:pPr>
        <w:pStyle w:val="20"/>
        <w:rPr>
          <w:rFonts w:hint="eastAsia"/>
          <w:color w:val="auto"/>
        </w:rPr>
      </w:pPr>
    </w:p>
    <w:p w14:paraId="09511F4F">
      <w:pPr>
        <w:pStyle w:val="20"/>
        <w:rPr>
          <w:rFonts w:hint="eastAsia"/>
          <w:color w:val="auto"/>
        </w:rPr>
      </w:pPr>
    </w:p>
    <w:p w14:paraId="62B46690">
      <w:pPr>
        <w:pStyle w:val="20"/>
        <w:rPr>
          <w:rFonts w:hint="eastAsia"/>
          <w:color w:val="auto"/>
        </w:rPr>
      </w:pPr>
    </w:p>
    <w:p w14:paraId="06DC6332">
      <w:pPr>
        <w:pStyle w:val="20"/>
        <w:rPr>
          <w:rFonts w:hint="eastAsia"/>
          <w:color w:val="auto"/>
        </w:rPr>
      </w:pPr>
    </w:p>
    <w:p w14:paraId="286A6AF7">
      <w:pPr>
        <w:pStyle w:val="20"/>
        <w:rPr>
          <w:rFonts w:hint="eastAsia"/>
          <w:color w:val="auto"/>
        </w:rPr>
      </w:pPr>
    </w:p>
    <w:p w14:paraId="4314B1B4">
      <w:pPr>
        <w:pStyle w:val="20"/>
        <w:rPr>
          <w:rFonts w:hint="eastAsia"/>
          <w:color w:val="auto"/>
        </w:rPr>
      </w:pPr>
    </w:p>
    <w:p w14:paraId="7F0FC2AE">
      <w:pPr>
        <w:pStyle w:val="20"/>
        <w:rPr>
          <w:rFonts w:hint="eastAsia"/>
          <w:color w:val="auto"/>
        </w:rPr>
      </w:pPr>
    </w:p>
    <w:p w14:paraId="0D1949EB">
      <w:pPr>
        <w:pStyle w:val="20"/>
        <w:rPr>
          <w:rFonts w:hint="eastAsia"/>
          <w:color w:val="auto"/>
        </w:rPr>
      </w:pPr>
    </w:p>
    <w:p w14:paraId="1196B570">
      <w:pPr>
        <w:pStyle w:val="20"/>
        <w:rPr>
          <w:rFonts w:hint="eastAsia"/>
          <w:color w:val="auto"/>
        </w:rPr>
      </w:pPr>
    </w:p>
    <w:p w14:paraId="23EA664E">
      <w:pPr>
        <w:pStyle w:val="20"/>
        <w:rPr>
          <w:rFonts w:hint="eastAsia"/>
          <w:color w:val="auto"/>
        </w:rPr>
      </w:pPr>
    </w:p>
    <w:p w14:paraId="0769AC00">
      <w:pPr>
        <w:pStyle w:val="20"/>
        <w:rPr>
          <w:rFonts w:hint="eastAsia"/>
          <w:color w:val="auto"/>
        </w:rPr>
      </w:pPr>
    </w:p>
    <w:p w14:paraId="3C47C8C1">
      <w:pPr>
        <w:pStyle w:val="20"/>
        <w:rPr>
          <w:rFonts w:hint="eastAsia"/>
          <w:color w:val="auto"/>
        </w:rPr>
      </w:pPr>
    </w:p>
    <w:p w14:paraId="23181402">
      <w:pPr>
        <w:pStyle w:val="20"/>
        <w:rPr>
          <w:rFonts w:hint="eastAsia"/>
          <w:color w:val="auto"/>
        </w:rPr>
      </w:pPr>
    </w:p>
    <w:p w14:paraId="767D1CA1">
      <w:pPr>
        <w:pStyle w:val="20"/>
        <w:rPr>
          <w:rFonts w:hint="eastAsia"/>
          <w:color w:val="auto"/>
        </w:rPr>
      </w:pPr>
    </w:p>
    <w:p w14:paraId="7796C108">
      <w:pPr>
        <w:pStyle w:val="20"/>
        <w:rPr>
          <w:rFonts w:hint="eastAsia"/>
          <w:color w:val="auto"/>
        </w:rPr>
      </w:pPr>
    </w:p>
    <w:p w14:paraId="19E235D9">
      <w:pPr>
        <w:pStyle w:val="20"/>
        <w:rPr>
          <w:rFonts w:hint="eastAsia"/>
          <w:color w:val="auto"/>
        </w:rPr>
      </w:pPr>
    </w:p>
    <w:p w14:paraId="7891A375">
      <w:pPr>
        <w:pStyle w:val="20"/>
        <w:rPr>
          <w:rFonts w:hint="eastAsia"/>
          <w:color w:val="auto"/>
        </w:rPr>
      </w:pPr>
    </w:p>
    <w:p w14:paraId="3000B14B">
      <w:pPr>
        <w:pStyle w:val="20"/>
        <w:rPr>
          <w:rFonts w:hint="eastAsia"/>
          <w:color w:val="auto"/>
        </w:rPr>
      </w:pPr>
    </w:p>
    <w:p w14:paraId="7B4A390E">
      <w:pPr>
        <w:pStyle w:val="20"/>
        <w:rPr>
          <w:rFonts w:hint="eastAsia"/>
          <w:color w:val="auto"/>
        </w:rPr>
      </w:pPr>
    </w:p>
    <w:p w14:paraId="750F1F1C">
      <w:pPr>
        <w:pStyle w:val="20"/>
        <w:rPr>
          <w:rFonts w:hint="eastAsia"/>
          <w:color w:val="auto"/>
        </w:rPr>
      </w:pPr>
    </w:p>
    <w:p w14:paraId="18E14C8F">
      <w:pPr>
        <w:pStyle w:val="20"/>
        <w:rPr>
          <w:rFonts w:hint="eastAsia"/>
          <w:color w:val="auto"/>
        </w:rPr>
      </w:pPr>
    </w:p>
    <w:p w14:paraId="199C8755">
      <w:pPr>
        <w:pStyle w:val="20"/>
        <w:rPr>
          <w:rFonts w:hint="eastAsia"/>
          <w:color w:val="auto"/>
        </w:rPr>
      </w:pPr>
    </w:p>
    <w:p w14:paraId="3005BFD9">
      <w:pPr>
        <w:pStyle w:val="20"/>
        <w:rPr>
          <w:rFonts w:hint="eastAsia"/>
          <w:color w:val="auto"/>
        </w:rPr>
      </w:pPr>
    </w:p>
    <w:p w14:paraId="26412661">
      <w:pPr>
        <w:pStyle w:val="20"/>
        <w:rPr>
          <w:rFonts w:hint="eastAsia"/>
          <w:color w:val="auto"/>
        </w:rPr>
      </w:pPr>
    </w:p>
    <w:p w14:paraId="354F6F27">
      <w:pPr>
        <w:pStyle w:val="20"/>
        <w:rPr>
          <w:rFonts w:hint="eastAsia"/>
          <w:color w:val="auto"/>
        </w:rPr>
      </w:pPr>
    </w:p>
    <w:p w14:paraId="5C5CD1D6">
      <w:pPr>
        <w:pStyle w:val="20"/>
        <w:rPr>
          <w:rFonts w:hint="eastAsia"/>
          <w:color w:val="auto"/>
        </w:rPr>
      </w:pPr>
    </w:p>
    <w:p w14:paraId="229E53E2">
      <w:pPr>
        <w:pStyle w:val="20"/>
        <w:rPr>
          <w:rFonts w:hint="eastAsia"/>
          <w:color w:val="auto"/>
        </w:rPr>
      </w:pPr>
    </w:p>
    <w:p w14:paraId="1321F1B0">
      <w:pPr>
        <w:pStyle w:val="20"/>
        <w:rPr>
          <w:rFonts w:hint="eastAsia"/>
          <w:color w:val="auto"/>
        </w:rPr>
      </w:pPr>
    </w:p>
    <w:p w14:paraId="280310F0">
      <w:pPr>
        <w:pStyle w:val="20"/>
        <w:rPr>
          <w:rFonts w:hint="eastAsia"/>
          <w:color w:val="auto"/>
        </w:rPr>
      </w:pPr>
    </w:p>
    <w:p w14:paraId="63880A84">
      <w:pPr>
        <w:pStyle w:val="20"/>
        <w:rPr>
          <w:rFonts w:hint="eastAsia"/>
          <w:color w:val="auto"/>
        </w:rPr>
      </w:pPr>
    </w:p>
    <w:p w14:paraId="64989FF4">
      <w:pPr>
        <w:pStyle w:val="20"/>
        <w:rPr>
          <w:rFonts w:hint="eastAsia"/>
          <w:color w:val="auto"/>
        </w:rPr>
      </w:pPr>
    </w:p>
    <w:p w14:paraId="1A492665">
      <w:pPr>
        <w:pStyle w:val="20"/>
        <w:rPr>
          <w:rFonts w:hint="eastAsia"/>
          <w:color w:val="auto"/>
        </w:rPr>
      </w:pPr>
    </w:p>
    <w:p w14:paraId="58FEE840">
      <w:pPr>
        <w:pStyle w:val="20"/>
        <w:rPr>
          <w:rFonts w:hint="eastAsia"/>
          <w:color w:val="auto"/>
        </w:rPr>
      </w:pPr>
    </w:p>
    <w:p w14:paraId="16828725">
      <w:pPr>
        <w:pStyle w:val="20"/>
        <w:rPr>
          <w:rFonts w:hint="eastAsia"/>
          <w:color w:val="auto"/>
        </w:rPr>
      </w:pPr>
    </w:p>
    <w:p w14:paraId="2F1A536E">
      <w:pPr>
        <w:pStyle w:val="20"/>
        <w:rPr>
          <w:rFonts w:hint="eastAsia"/>
          <w:color w:val="auto"/>
        </w:rPr>
      </w:pPr>
    </w:p>
    <w:p w14:paraId="505F7219">
      <w:pPr>
        <w:pStyle w:val="20"/>
        <w:rPr>
          <w:rFonts w:hint="eastAsia"/>
          <w:color w:val="auto"/>
        </w:rPr>
      </w:pPr>
    </w:p>
    <w:p w14:paraId="734D719E">
      <w:pPr>
        <w:pStyle w:val="20"/>
        <w:rPr>
          <w:rFonts w:hint="eastAsia"/>
          <w:color w:val="auto"/>
        </w:rPr>
      </w:pPr>
    </w:p>
    <w:p w14:paraId="52E526F2">
      <w:pPr>
        <w:pStyle w:val="20"/>
        <w:rPr>
          <w:rFonts w:hint="eastAsia"/>
          <w:color w:val="auto"/>
        </w:rPr>
      </w:pPr>
    </w:p>
    <w:p w14:paraId="29410928">
      <w:pPr>
        <w:pStyle w:val="20"/>
        <w:rPr>
          <w:rFonts w:hint="eastAsia"/>
          <w:color w:val="auto"/>
        </w:rPr>
      </w:pPr>
    </w:p>
    <w:p w14:paraId="5C53200C">
      <w:pPr>
        <w:pStyle w:val="20"/>
        <w:rPr>
          <w:rFonts w:hint="eastAsia"/>
          <w:color w:val="auto"/>
        </w:rPr>
      </w:pPr>
    </w:p>
    <w:p w14:paraId="3B738FE6">
      <w:pPr>
        <w:pStyle w:val="20"/>
        <w:rPr>
          <w:rFonts w:hint="eastAsia"/>
          <w:color w:val="auto"/>
        </w:rPr>
      </w:pPr>
    </w:p>
    <w:p w14:paraId="6A9423B1">
      <w:pPr>
        <w:pStyle w:val="20"/>
        <w:rPr>
          <w:rFonts w:hint="eastAsia"/>
          <w:color w:val="auto"/>
        </w:rPr>
      </w:pPr>
    </w:p>
    <w:p w14:paraId="3DAEF2D2">
      <w:pPr>
        <w:pStyle w:val="20"/>
        <w:rPr>
          <w:rFonts w:hint="eastAsia"/>
          <w:color w:val="auto"/>
        </w:rPr>
      </w:pPr>
    </w:p>
    <w:p w14:paraId="69B63914">
      <w:pPr>
        <w:pStyle w:val="20"/>
        <w:rPr>
          <w:rFonts w:hint="eastAsia"/>
          <w:color w:val="auto"/>
        </w:rPr>
      </w:pPr>
      <w:r>
        <w:rPr>
          <w:rFonts w:hint="eastAsia"/>
          <w:color w:val="auto"/>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7"/>
                    <a:stretch>
                      <a:fillRect/>
                    </a:stretch>
                  </pic:blipFill>
                  <pic:spPr>
                    <a:xfrm>
                      <a:off x="0" y="0"/>
                      <a:ext cx="353060" cy="255905"/>
                    </a:xfrm>
                    <a:prstGeom prst="rect">
                      <a:avLst/>
                    </a:prstGeom>
                  </pic:spPr>
                </pic:pic>
              </a:graphicData>
            </a:graphic>
          </wp:anchor>
        </w:drawing>
      </w:r>
    </w:p>
    <w:p w14:paraId="5F1B27CF">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14BED3A3">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198179FC">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地    址：安康市高新区高新观澜8幢2单元801室</w:t>
      </w:r>
    </w:p>
    <w:p w14:paraId="3EA205EF">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邮    编：725000</w:t>
      </w:r>
    </w:p>
    <w:p w14:paraId="078C668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val="en-US" w:eastAsia="zh-CN"/>
        </w:rPr>
      </w:pPr>
      <w:r>
        <w:rPr>
          <w:rFonts w:hint="eastAsia" w:asciiTheme="majorEastAsia" w:hAnsiTheme="majorEastAsia" w:eastAsiaTheme="majorEastAsia" w:cstheme="majorEastAsia"/>
          <w:color w:val="auto"/>
          <w:spacing w:val="-6"/>
          <w:sz w:val="28"/>
          <w:szCs w:val="28"/>
          <w:lang w:eastAsia="zh-CN"/>
        </w:rPr>
        <w:t>电    话：</w:t>
      </w:r>
      <w:r>
        <w:rPr>
          <w:rFonts w:hint="eastAsia" w:asciiTheme="majorEastAsia" w:hAnsiTheme="majorEastAsia" w:eastAsiaTheme="majorEastAsia" w:cstheme="majorEastAsia"/>
          <w:color w:val="auto"/>
          <w:spacing w:val="-6"/>
          <w:sz w:val="28"/>
          <w:szCs w:val="28"/>
          <w:lang w:val="en-US" w:eastAsia="zh-CN"/>
        </w:rPr>
        <w:t>13991519725</w:t>
      </w:r>
    </w:p>
    <w:p w14:paraId="651675B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公司名称：安康尚昊招标代理有限公司</w:t>
      </w:r>
    </w:p>
    <w:p w14:paraId="2956B673">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开户银行：中国建设银行股份有限公司安康分行营业部</w:t>
      </w:r>
    </w:p>
    <w:p w14:paraId="62671FBB">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账    号：61050166371100000492</w:t>
      </w:r>
      <w:r>
        <w:rPr>
          <w:rFonts w:hint="eastAsia" w:asciiTheme="majorEastAsia" w:hAnsiTheme="majorEastAsia" w:eastAsiaTheme="majorEastAsia" w:cstheme="majorEastAsia"/>
          <w:color w:val="auto"/>
          <w:spacing w:val="-6"/>
          <w:sz w:val="28"/>
          <w:szCs w:val="28"/>
          <w:lang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7496097">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p>
    <w:p w14:paraId="3040AC23">
      <w:pPr>
        <w:keepNext w:val="0"/>
        <w:keepLines w:val="0"/>
        <w:pageBreakBefore w:val="0"/>
        <w:widowControl w:val="0"/>
        <w:kinsoku/>
        <w:wordWrap/>
        <w:overflowPunct/>
        <w:topLinePunct w:val="0"/>
        <w:autoSpaceDE/>
        <w:autoSpaceDN/>
        <w:bidi w:val="0"/>
        <w:adjustRightInd/>
        <w:snapToGrid/>
        <w:spacing w:line="20" w:lineRule="exact"/>
        <w:textAlignment w:val="auto"/>
        <w:rPr>
          <w:color w:val="auto"/>
        </w:rPr>
      </w:pPr>
    </w:p>
    <w:sectPr>
      <w:footerReference r:id="rId25" w:type="first"/>
      <w:footerReference r:id="rId24" w:type="default"/>
      <w:pgSz w:w="11906" w:h="16838"/>
      <w:pgMar w:top="1417" w:right="1417" w:bottom="1417" w:left="1417" w:header="1134"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18A69">
    <w:pPr>
      <w:pStyle w:val="20"/>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F9BB">
    <w:pPr>
      <w:pStyle w:val="20"/>
      <w:tabs>
        <w:tab w:val="center" w:pos="4819"/>
        <w:tab w:val="left" w:pos="7440"/>
      </w:tabs>
    </w:pPr>
    <w:r>
      <w:tab/>
    </w:r>
  </w:p>
  <w:p w14:paraId="1B6184A8">
    <w:pPr>
      <w:pStyle w:val="20"/>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1FDF0">
    <w:pPr>
      <w:pStyle w:val="20"/>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5F4C">
    <w:pPr>
      <w:pStyle w:val="20"/>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84BDD">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684BDD">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v:textbox>
            </v:shape>
          </w:pict>
        </mc:Fallback>
      </mc:AlternateContent>
    </w:r>
    <w:r>
      <w:tab/>
    </w:r>
  </w:p>
  <w:p w14:paraId="4BF5D1EA">
    <w:pPr>
      <w:pStyle w:val="20"/>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CA7D">
    <w:pPr>
      <w:pStyle w:val="20"/>
      <w:tabs>
        <w:tab w:val="clear" w:pos="4153"/>
      </w:tabs>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6DBEC">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C6DBEC">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E613B">
    <w:pPr>
      <w:pStyle w:val="20"/>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D0C67">
                          <w:pPr>
                            <w:pStyle w:val="20"/>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19D0C67">
                    <w:pPr>
                      <w:pStyle w:val="20"/>
                    </w:pPr>
                    <w:r>
                      <w:t xml:space="preserve">第 </w:t>
                    </w:r>
                    <w:r>
                      <w:fldChar w:fldCharType="begin"/>
                    </w:r>
                    <w:r>
                      <w:instrText xml:space="preserve"> PAGE  \* MERGEFORMAT </w:instrText>
                    </w:r>
                    <w:r>
                      <w:fldChar w:fldCharType="separate"/>
                    </w:r>
                    <w:r>
                      <w:t>29</w:t>
                    </w:r>
                    <w:r>
                      <w:fldChar w:fldCharType="end"/>
                    </w:r>
                    <w:r>
                      <w:t xml:space="preserve"> 页 共 </w:t>
                    </w:r>
                    <w:r>
                      <w:rPr>
                        <w:rFonts w:hint="eastAsia"/>
                        <w:lang w:val="en-US" w:eastAsia="zh-CN"/>
                      </w:rPr>
                      <w:t>52</w:t>
                    </w:r>
                    <w:r>
                      <w:t xml:space="preserve"> 页</w:t>
                    </w:r>
                  </w:p>
                </w:txbxContent>
              </v:textbox>
            </v:shape>
          </w:pict>
        </mc:Fallback>
      </mc:AlternateContent>
    </w:r>
    <w:r>
      <w:tab/>
    </w:r>
  </w:p>
  <w:p w14:paraId="58D1F380">
    <w:pPr>
      <w:pStyle w:val="20"/>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0C14">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EC0BF">
                          <w:pPr>
                            <w:pStyle w:val="20"/>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FBEC0BF">
                    <w:pPr>
                      <w:pStyle w:val="20"/>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EA86D">
    <w:pPr>
      <w:pStyle w:val="20"/>
      <w:tabs>
        <w:tab w:val="center" w:pos="4819"/>
        <w:tab w:val="left" w:pos="7440"/>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59388">
                          <w:pPr>
                            <w:pStyle w:val="20"/>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E859388">
                    <w:pPr>
                      <w:pStyle w:val="20"/>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52</w:t>
                    </w:r>
                    <w:r>
                      <w:t xml:space="preserve"> 页</w:t>
                    </w:r>
                  </w:p>
                </w:txbxContent>
              </v:textbox>
            </v:shape>
          </w:pict>
        </mc:Fallback>
      </mc:AlternateContent>
    </w:r>
    <w:r>
      <w:tab/>
    </w:r>
  </w:p>
  <w:p w14:paraId="56F0BAD3">
    <w:pPr>
      <w:pStyle w:val="20"/>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CC6A">
    <w:pPr>
      <w:pStyle w:val="2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CD1782">
                          <w:pPr>
                            <w:pStyle w:val="20"/>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1CD1782">
                    <w:pPr>
                      <w:pStyle w:val="20"/>
                    </w:pPr>
                    <w:r>
                      <w:t xml:space="preserve">第 </w:t>
                    </w:r>
                    <w:r>
                      <w:fldChar w:fldCharType="begin"/>
                    </w:r>
                    <w:r>
                      <w:instrText xml:space="preserve"> PAGE  \* MERGEFORMAT </w:instrText>
                    </w:r>
                    <w:r>
                      <w:fldChar w:fldCharType="separate"/>
                    </w:r>
                    <w:r>
                      <w:t>40</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BE66E">
    <w:pPr>
      <w:pStyle w:val="20"/>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39FDC">
                          <w:pPr>
                            <w:pStyle w:val="20"/>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8439FDC">
                    <w:pPr>
                      <w:pStyle w:val="20"/>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52</w:t>
                    </w:r>
                    <w:r>
                      <w:t xml:space="preserve"> 页</w:t>
                    </w:r>
                  </w:p>
                </w:txbxContent>
              </v:textbox>
            </v:shape>
          </w:pict>
        </mc:Fallback>
      </mc:AlternateContent>
    </w:r>
    <w:r>
      <w:tab/>
    </w:r>
  </w:p>
  <w:p w14:paraId="4EEF941E">
    <w:pPr>
      <w:pStyle w:val="20"/>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C9006">
    <w:pPr>
      <w:pStyle w:val="2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3EF75">
                          <w:pPr>
                            <w:pStyle w:val="20"/>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D73EF75">
                    <w:pPr>
                      <w:pStyle w:val="20"/>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C2A8">
    <w:pPr>
      <w:pStyle w:val="20"/>
      <w:tabs>
        <w:tab w:val="center" w:pos="4819"/>
        <w:tab w:val="left" w:pos="7440"/>
      </w:tabs>
    </w:pPr>
    <w:r>
      <w:tab/>
    </w:r>
  </w:p>
  <w:p w14:paraId="74586288">
    <w:pPr>
      <w:pStyle w:val="20"/>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9E52A">
    <w:pPr>
      <w:pStyle w:val="20"/>
      <w:tabs>
        <w:tab w:val="clear" w:pos="4153"/>
      </w:tabs>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0FFF4">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安康市人力资源和社会保障局</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32AFA">
    <w:pPr>
      <w:pStyle w:val="21"/>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6891">
    <w:pPr>
      <w:pStyle w:val="21"/>
      <w:pBdr>
        <w:bottom w:val="none" w:color="auto" w:sz="0" w:space="1"/>
      </w:pBdr>
      <w:jc w:val="left"/>
      <w:rPr>
        <w:rFonts w:hint="default"/>
        <w:lang w:val="en-US"/>
      </w:rPr>
    </w:pPr>
    <w:r>
      <w:rPr>
        <w:rFonts w:hint="eastAsia" w:ascii="宋体" w:hAnsi="宋体" w:cs="宋体"/>
        <w:sz w:val="21"/>
        <w:szCs w:val="21"/>
        <w:u w:val="single"/>
        <w:lang w:val="en-US" w:eastAsia="zh-CN"/>
      </w:rPr>
      <w:t xml:space="preserve">项目名称：陕西省 2026 职业技能大赛安康市展馆展示和技能表演（绝技绝活）项目                        项目编号：AKSH2026-ZCS-086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CC895">
    <w:pPr>
      <w:pStyle w:val="21"/>
      <w:pBdr>
        <w:bottom w:val="none" w:color="auto" w:sz="0" w:space="1"/>
      </w:pBdr>
      <w:jc w:val="both"/>
      <w:rPr>
        <w:rFonts w:hint="default" w:ascii="宋体" w:hAnsi="宋体" w:eastAsia="宋体" w:cs="宋体"/>
        <w:sz w:val="21"/>
        <w:szCs w:val="21"/>
        <w:u w:val="single"/>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7F960">
    <w:pPr>
      <w:pStyle w:val="21"/>
      <w:pBdr>
        <w:bottom w:val="none" w:color="auto" w:sz="0" w:space="1"/>
      </w:pBdr>
      <w:jc w:val="both"/>
      <w:rPr>
        <w:rFonts w:hint="default"/>
        <w:lang w:val="en-US"/>
      </w:rPr>
    </w:pPr>
    <w:r>
      <w:rPr>
        <w:rFonts w:hint="eastAsia" w:ascii="宋体" w:hAnsi="宋体" w:cs="宋体"/>
        <w:sz w:val="22"/>
        <w:szCs w:val="22"/>
        <w:u w:val="single"/>
        <w:lang w:val="en-US" w:eastAsia="zh-CN"/>
      </w:rPr>
      <w:t>项目名称：陕西省 2026 职业技能大赛安康市展馆展示和技能表演（绝技绝活）项目</w:t>
    </w:r>
    <w:r>
      <w:rPr>
        <w:rFonts w:hint="eastAsia" w:ascii="宋体" w:hAnsi="宋体" w:cs="宋体"/>
        <w:sz w:val="21"/>
        <w:szCs w:val="21"/>
        <w:u w:val="single"/>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7142">
    <w:pPr>
      <w:pStyle w:val="21"/>
      <w:pBdr>
        <w:bottom w:val="none" w:color="auto" w:sz="0" w:space="1"/>
      </w:pBdr>
      <w:jc w:val="both"/>
      <w:rPr>
        <w:rFonts w:hint="default" w:ascii="宋体" w:hAnsi="宋体" w:eastAsia="宋体" w:cs="宋体"/>
        <w:sz w:val="21"/>
        <w:szCs w:val="21"/>
        <w:u w:val="single"/>
        <w:lang w:val="en-US" w:eastAsia="zh-CN"/>
      </w:rPr>
    </w:pPr>
    <w:r>
      <w:rPr>
        <w:rFonts w:hint="eastAsia" w:ascii="宋体" w:hAnsi="宋体" w:cs="宋体"/>
        <w:sz w:val="22"/>
        <w:szCs w:val="22"/>
        <w:u w:val="single"/>
        <w:lang w:val="en-US" w:eastAsia="zh-CN"/>
      </w:rPr>
      <w:t>项目名称：陕西省 2026 职业技能大赛安康市展馆展示和技能表演（绝技绝活）项目</w:t>
    </w:r>
    <w:r>
      <w:rPr>
        <w:rFonts w:hint="eastAsia" w:ascii="宋体" w:hAnsi="宋体" w:cs="宋体"/>
        <w:sz w:val="21"/>
        <w:szCs w:val="21"/>
        <w:u w:val="single"/>
        <w:lang w:val="en-US" w:eastAsia="zh-CN"/>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FC443">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项目名称：陕西省 2026 职业技能大赛安康市展馆展示和技能表演（绝技绝活）项目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13C5F">
    <w:pPr>
      <w:pStyle w:val="21"/>
      <w:pBdr>
        <w:bottom w:val="none" w:color="auto" w:sz="0" w:space="1"/>
      </w:pBdr>
      <w:jc w:val="left"/>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项目名称：陕西省 2026 职业技能大赛安康市展馆展示和技能表演（绝技绝活）项目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E86AA">
    <w:pPr>
      <w:pStyle w:val="21"/>
      <w:pBdr>
        <w:bottom w:val="none" w:color="auto" w:sz="0" w:space="1"/>
      </w:pBdr>
      <w:jc w:val="left"/>
      <w:rPr>
        <w:rFonts w:hint="default" w:ascii="宋体" w:hAnsi="宋体" w:cs="宋体"/>
        <w:sz w:val="21"/>
        <w:szCs w:val="21"/>
        <w:u w:val="single"/>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F06A">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098F06A">
                    <w:pPr>
                      <w:pStyle w:val="21"/>
                    </w:pPr>
                  </w:p>
                </w:txbxContent>
              </v:textbox>
            </v:shape>
          </w:pict>
        </mc:Fallback>
      </mc:AlternateContent>
    </w:r>
    <w:r>
      <w:rPr>
        <w:rFonts w:hint="eastAsia" w:ascii="宋体" w:hAnsi="宋体" w:cs="宋体"/>
        <w:sz w:val="21"/>
        <w:szCs w:val="21"/>
        <w:u w:val="single"/>
        <w:lang w:val="en-US" w:eastAsia="zh-CN"/>
      </w:rPr>
      <w:t xml:space="preserve">项目名称：陕西省 2026 职业技能大赛安康市展馆展示和技能表演（绝技绝活）项目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6F30">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项目名称：陕西省 2026 职业技能大赛安康市展馆展示和技能表演（绝技绝活）项目 </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2">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dit="forms" w:enforcement="1" w:cryptProviderType="rsaFull" w:cryptAlgorithmClass="hash" w:cryptAlgorithmType="typeAny" w:cryptAlgorithmSid="4" w:cryptSpinCount="0" w:hash="oSDHOoHyKInWFbmpi4/7Q0ZgpRY=" w:salt="DWfLOnS7PGHFSaqJCi7HRA=="/>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3563"/>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739A1"/>
    <w:rsid w:val="00675301"/>
    <w:rsid w:val="00676150"/>
    <w:rsid w:val="0068208A"/>
    <w:rsid w:val="00686E29"/>
    <w:rsid w:val="0069197F"/>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2434"/>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2C2953"/>
    <w:rsid w:val="012F2443"/>
    <w:rsid w:val="013A223F"/>
    <w:rsid w:val="013E5C8D"/>
    <w:rsid w:val="01450DC1"/>
    <w:rsid w:val="01525A0A"/>
    <w:rsid w:val="016A454D"/>
    <w:rsid w:val="016E2B68"/>
    <w:rsid w:val="017D3840"/>
    <w:rsid w:val="018422B6"/>
    <w:rsid w:val="018E640A"/>
    <w:rsid w:val="01920D21"/>
    <w:rsid w:val="01AA1AC9"/>
    <w:rsid w:val="01AC2FBF"/>
    <w:rsid w:val="01AD1AAE"/>
    <w:rsid w:val="01C84DE7"/>
    <w:rsid w:val="01DA363D"/>
    <w:rsid w:val="01F90F7C"/>
    <w:rsid w:val="020600F6"/>
    <w:rsid w:val="02064B47"/>
    <w:rsid w:val="020E71AE"/>
    <w:rsid w:val="02192117"/>
    <w:rsid w:val="022D433C"/>
    <w:rsid w:val="0236335D"/>
    <w:rsid w:val="023C7D0C"/>
    <w:rsid w:val="023E1BBB"/>
    <w:rsid w:val="02590F24"/>
    <w:rsid w:val="02854F8C"/>
    <w:rsid w:val="02B50726"/>
    <w:rsid w:val="02BA6C1F"/>
    <w:rsid w:val="02C56FBB"/>
    <w:rsid w:val="02CB14A4"/>
    <w:rsid w:val="02D3498C"/>
    <w:rsid w:val="02E57ADC"/>
    <w:rsid w:val="02F61685"/>
    <w:rsid w:val="02FA17E2"/>
    <w:rsid w:val="02FD5BFC"/>
    <w:rsid w:val="02FE73C3"/>
    <w:rsid w:val="030A0C9E"/>
    <w:rsid w:val="031A67DB"/>
    <w:rsid w:val="03442ED4"/>
    <w:rsid w:val="034C725D"/>
    <w:rsid w:val="035F4ABA"/>
    <w:rsid w:val="037938F5"/>
    <w:rsid w:val="038C50E0"/>
    <w:rsid w:val="03A85B56"/>
    <w:rsid w:val="03C10C9F"/>
    <w:rsid w:val="03C921C1"/>
    <w:rsid w:val="03EA3C10"/>
    <w:rsid w:val="03FD053E"/>
    <w:rsid w:val="04006C5A"/>
    <w:rsid w:val="040B7728"/>
    <w:rsid w:val="0410030A"/>
    <w:rsid w:val="04140CC2"/>
    <w:rsid w:val="0446450F"/>
    <w:rsid w:val="044E3659"/>
    <w:rsid w:val="04536164"/>
    <w:rsid w:val="045C354F"/>
    <w:rsid w:val="046402BE"/>
    <w:rsid w:val="04837BF7"/>
    <w:rsid w:val="049F51EA"/>
    <w:rsid w:val="04A70542"/>
    <w:rsid w:val="04AB0E36"/>
    <w:rsid w:val="04AC0867"/>
    <w:rsid w:val="04C42EA2"/>
    <w:rsid w:val="04C840A8"/>
    <w:rsid w:val="04CB26A7"/>
    <w:rsid w:val="04CD0688"/>
    <w:rsid w:val="04D502BA"/>
    <w:rsid w:val="04DF4866"/>
    <w:rsid w:val="04F06D3D"/>
    <w:rsid w:val="04FC43EA"/>
    <w:rsid w:val="050047DB"/>
    <w:rsid w:val="050438CD"/>
    <w:rsid w:val="051A0FB1"/>
    <w:rsid w:val="052B0940"/>
    <w:rsid w:val="053973B5"/>
    <w:rsid w:val="05402991"/>
    <w:rsid w:val="05483AD3"/>
    <w:rsid w:val="054B711F"/>
    <w:rsid w:val="054E1CE0"/>
    <w:rsid w:val="056C728C"/>
    <w:rsid w:val="057A7F6E"/>
    <w:rsid w:val="059705B7"/>
    <w:rsid w:val="05A76A4C"/>
    <w:rsid w:val="05C72C4A"/>
    <w:rsid w:val="05D137D6"/>
    <w:rsid w:val="05D71396"/>
    <w:rsid w:val="05DB4DA3"/>
    <w:rsid w:val="05EC375F"/>
    <w:rsid w:val="05FA123D"/>
    <w:rsid w:val="05FB4E02"/>
    <w:rsid w:val="05FF224E"/>
    <w:rsid w:val="060454DB"/>
    <w:rsid w:val="06110D47"/>
    <w:rsid w:val="0624009C"/>
    <w:rsid w:val="063F6A07"/>
    <w:rsid w:val="06523C1F"/>
    <w:rsid w:val="065A46B0"/>
    <w:rsid w:val="065B3B93"/>
    <w:rsid w:val="066D1D57"/>
    <w:rsid w:val="066D5199"/>
    <w:rsid w:val="066F6E3E"/>
    <w:rsid w:val="06B07B82"/>
    <w:rsid w:val="06B12629"/>
    <w:rsid w:val="06BD3616"/>
    <w:rsid w:val="06BE30D0"/>
    <w:rsid w:val="06CD112D"/>
    <w:rsid w:val="06DC7813"/>
    <w:rsid w:val="06E56C12"/>
    <w:rsid w:val="071C0D73"/>
    <w:rsid w:val="07224610"/>
    <w:rsid w:val="07261BF2"/>
    <w:rsid w:val="073278A0"/>
    <w:rsid w:val="073E5E68"/>
    <w:rsid w:val="07621A18"/>
    <w:rsid w:val="07634BF4"/>
    <w:rsid w:val="076E497F"/>
    <w:rsid w:val="077166EC"/>
    <w:rsid w:val="077741FC"/>
    <w:rsid w:val="077F1302"/>
    <w:rsid w:val="0781151E"/>
    <w:rsid w:val="07892C9E"/>
    <w:rsid w:val="07997C89"/>
    <w:rsid w:val="07B241D3"/>
    <w:rsid w:val="07BE1E2B"/>
    <w:rsid w:val="07C5140B"/>
    <w:rsid w:val="07CF5DE6"/>
    <w:rsid w:val="07E562BD"/>
    <w:rsid w:val="07F700E8"/>
    <w:rsid w:val="07FC0B21"/>
    <w:rsid w:val="07FC0D88"/>
    <w:rsid w:val="08047F2D"/>
    <w:rsid w:val="08145F16"/>
    <w:rsid w:val="08366DA4"/>
    <w:rsid w:val="086E2AD1"/>
    <w:rsid w:val="087D1536"/>
    <w:rsid w:val="089E6E52"/>
    <w:rsid w:val="08A059D4"/>
    <w:rsid w:val="08B16FB6"/>
    <w:rsid w:val="08E53CD3"/>
    <w:rsid w:val="08E74CA6"/>
    <w:rsid w:val="08E95814"/>
    <w:rsid w:val="090A42F6"/>
    <w:rsid w:val="092266DC"/>
    <w:rsid w:val="09271A18"/>
    <w:rsid w:val="09293304"/>
    <w:rsid w:val="09306D58"/>
    <w:rsid w:val="09414AC1"/>
    <w:rsid w:val="09491BC8"/>
    <w:rsid w:val="0949327F"/>
    <w:rsid w:val="094D1E21"/>
    <w:rsid w:val="09560FD7"/>
    <w:rsid w:val="097A7578"/>
    <w:rsid w:val="099106B6"/>
    <w:rsid w:val="09913C41"/>
    <w:rsid w:val="099B4B5E"/>
    <w:rsid w:val="099E1F14"/>
    <w:rsid w:val="09A52E1C"/>
    <w:rsid w:val="09A9060C"/>
    <w:rsid w:val="09C35E1E"/>
    <w:rsid w:val="09CF513B"/>
    <w:rsid w:val="09E25AD9"/>
    <w:rsid w:val="09EA213D"/>
    <w:rsid w:val="0A0976BB"/>
    <w:rsid w:val="0A31265E"/>
    <w:rsid w:val="0A3245CA"/>
    <w:rsid w:val="0A3E3F88"/>
    <w:rsid w:val="0A5C36A3"/>
    <w:rsid w:val="0A672A35"/>
    <w:rsid w:val="0A6F07AC"/>
    <w:rsid w:val="0A706A46"/>
    <w:rsid w:val="0A891706"/>
    <w:rsid w:val="0AB437F6"/>
    <w:rsid w:val="0AEE50E0"/>
    <w:rsid w:val="0AFC5610"/>
    <w:rsid w:val="0B350656"/>
    <w:rsid w:val="0B462863"/>
    <w:rsid w:val="0B5A78B0"/>
    <w:rsid w:val="0B5D1A85"/>
    <w:rsid w:val="0B5D1E36"/>
    <w:rsid w:val="0B651A2B"/>
    <w:rsid w:val="0BA8707A"/>
    <w:rsid w:val="0BA94BA0"/>
    <w:rsid w:val="0BB5243F"/>
    <w:rsid w:val="0BB772BD"/>
    <w:rsid w:val="0BC1638D"/>
    <w:rsid w:val="0BC639A4"/>
    <w:rsid w:val="0BED26A5"/>
    <w:rsid w:val="0BEE4F68"/>
    <w:rsid w:val="0BF91A7F"/>
    <w:rsid w:val="0C0A394D"/>
    <w:rsid w:val="0C104C1F"/>
    <w:rsid w:val="0C193A0B"/>
    <w:rsid w:val="0C4A5A7C"/>
    <w:rsid w:val="0C550884"/>
    <w:rsid w:val="0C5F0865"/>
    <w:rsid w:val="0C670CE3"/>
    <w:rsid w:val="0C7B690B"/>
    <w:rsid w:val="0C891E2E"/>
    <w:rsid w:val="0C8A66B9"/>
    <w:rsid w:val="0CB5191B"/>
    <w:rsid w:val="0CB6728F"/>
    <w:rsid w:val="0CD45C4C"/>
    <w:rsid w:val="0CFD25BD"/>
    <w:rsid w:val="0D056BBF"/>
    <w:rsid w:val="0D1F6213"/>
    <w:rsid w:val="0D2652D8"/>
    <w:rsid w:val="0D2D00AD"/>
    <w:rsid w:val="0D3B3F1D"/>
    <w:rsid w:val="0D452987"/>
    <w:rsid w:val="0D62596E"/>
    <w:rsid w:val="0D6C19EE"/>
    <w:rsid w:val="0D70006B"/>
    <w:rsid w:val="0D7B32BC"/>
    <w:rsid w:val="0D933F5C"/>
    <w:rsid w:val="0D984ECC"/>
    <w:rsid w:val="0D9D390A"/>
    <w:rsid w:val="0DA800E4"/>
    <w:rsid w:val="0DB77A48"/>
    <w:rsid w:val="0DC7526D"/>
    <w:rsid w:val="0DC7755F"/>
    <w:rsid w:val="0DCB40A1"/>
    <w:rsid w:val="0DEF6094"/>
    <w:rsid w:val="0DF802F3"/>
    <w:rsid w:val="0E005C7A"/>
    <w:rsid w:val="0E0C42FA"/>
    <w:rsid w:val="0E381521"/>
    <w:rsid w:val="0E4C5684"/>
    <w:rsid w:val="0E5D7B1D"/>
    <w:rsid w:val="0E6D0107"/>
    <w:rsid w:val="0E9C75AF"/>
    <w:rsid w:val="0EA91CC7"/>
    <w:rsid w:val="0EC83E9C"/>
    <w:rsid w:val="0EC875FE"/>
    <w:rsid w:val="0EE8058A"/>
    <w:rsid w:val="0EFD2AF6"/>
    <w:rsid w:val="0F03025E"/>
    <w:rsid w:val="0F1A17DC"/>
    <w:rsid w:val="0F1C13DE"/>
    <w:rsid w:val="0F261F26"/>
    <w:rsid w:val="0F323BCC"/>
    <w:rsid w:val="0F537409"/>
    <w:rsid w:val="0F563291"/>
    <w:rsid w:val="0F6459AD"/>
    <w:rsid w:val="0F79260C"/>
    <w:rsid w:val="0F987E27"/>
    <w:rsid w:val="0FA47B58"/>
    <w:rsid w:val="0FA719DC"/>
    <w:rsid w:val="0FAB0EE6"/>
    <w:rsid w:val="0FAB538A"/>
    <w:rsid w:val="0FBB76E3"/>
    <w:rsid w:val="0FC41BBC"/>
    <w:rsid w:val="0FC66DA3"/>
    <w:rsid w:val="0FD22DBC"/>
    <w:rsid w:val="0FE32D76"/>
    <w:rsid w:val="100E0796"/>
    <w:rsid w:val="10102A21"/>
    <w:rsid w:val="10122E9C"/>
    <w:rsid w:val="10204FBD"/>
    <w:rsid w:val="10372E26"/>
    <w:rsid w:val="103966FB"/>
    <w:rsid w:val="104D6442"/>
    <w:rsid w:val="105B0B5E"/>
    <w:rsid w:val="105E41AB"/>
    <w:rsid w:val="106C132D"/>
    <w:rsid w:val="10794994"/>
    <w:rsid w:val="108E6DDE"/>
    <w:rsid w:val="10A6243E"/>
    <w:rsid w:val="10AB38B0"/>
    <w:rsid w:val="10DB24BE"/>
    <w:rsid w:val="10DD209D"/>
    <w:rsid w:val="10E44981"/>
    <w:rsid w:val="10FF1E8F"/>
    <w:rsid w:val="111645C6"/>
    <w:rsid w:val="11180C71"/>
    <w:rsid w:val="112C7AF5"/>
    <w:rsid w:val="113D64B6"/>
    <w:rsid w:val="115433FE"/>
    <w:rsid w:val="116003F7"/>
    <w:rsid w:val="11687FB0"/>
    <w:rsid w:val="119963B1"/>
    <w:rsid w:val="11AE2812"/>
    <w:rsid w:val="11B361D3"/>
    <w:rsid w:val="11BB4D58"/>
    <w:rsid w:val="11BB6630"/>
    <w:rsid w:val="11C8466F"/>
    <w:rsid w:val="11D20449"/>
    <w:rsid w:val="11E9219A"/>
    <w:rsid w:val="11EF6F34"/>
    <w:rsid w:val="120E39AF"/>
    <w:rsid w:val="12103BCB"/>
    <w:rsid w:val="123A4D81"/>
    <w:rsid w:val="12793BBE"/>
    <w:rsid w:val="127A7296"/>
    <w:rsid w:val="128C33F4"/>
    <w:rsid w:val="12B409FA"/>
    <w:rsid w:val="12C329EB"/>
    <w:rsid w:val="12C708C2"/>
    <w:rsid w:val="12C82F5F"/>
    <w:rsid w:val="131C06AC"/>
    <w:rsid w:val="13383132"/>
    <w:rsid w:val="133A4EB7"/>
    <w:rsid w:val="13487675"/>
    <w:rsid w:val="137447B2"/>
    <w:rsid w:val="13830E2C"/>
    <w:rsid w:val="138D11BC"/>
    <w:rsid w:val="13992EB6"/>
    <w:rsid w:val="139D2FCC"/>
    <w:rsid w:val="13A24639"/>
    <w:rsid w:val="13AD2810"/>
    <w:rsid w:val="13D84C83"/>
    <w:rsid w:val="13E946D3"/>
    <w:rsid w:val="13EA285B"/>
    <w:rsid w:val="14065285"/>
    <w:rsid w:val="14074063"/>
    <w:rsid w:val="142468C7"/>
    <w:rsid w:val="14365C2E"/>
    <w:rsid w:val="143C5260"/>
    <w:rsid w:val="143D057B"/>
    <w:rsid w:val="14480B77"/>
    <w:rsid w:val="149C20CC"/>
    <w:rsid w:val="14A12650"/>
    <w:rsid w:val="14AF4B49"/>
    <w:rsid w:val="14B00D4D"/>
    <w:rsid w:val="14B41673"/>
    <w:rsid w:val="14B90B15"/>
    <w:rsid w:val="14CD1555"/>
    <w:rsid w:val="14D56A06"/>
    <w:rsid w:val="14E46C49"/>
    <w:rsid w:val="14E868B9"/>
    <w:rsid w:val="14F838A9"/>
    <w:rsid w:val="15273101"/>
    <w:rsid w:val="153E2DB6"/>
    <w:rsid w:val="154B7F88"/>
    <w:rsid w:val="155509E3"/>
    <w:rsid w:val="15550B09"/>
    <w:rsid w:val="155550C1"/>
    <w:rsid w:val="15576ACE"/>
    <w:rsid w:val="1568217F"/>
    <w:rsid w:val="15761223"/>
    <w:rsid w:val="15784E47"/>
    <w:rsid w:val="15861B5E"/>
    <w:rsid w:val="159517A5"/>
    <w:rsid w:val="15A74B21"/>
    <w:rsid w:val="15AB431C"/>
    <w:rsid w:val="15C63EAE"/>
    <w:rsid w:val="15E23CA8"/>
    <w:rsid w:val="15FA6095"/>
    <w:rsid w:val="1606156C"/>
    <w:rsid w:val="166B3507"/>
    <w:rsid w:val="166C32BB"/>
    <w:rsid w:val="16810BF3"/>
    <w:rsid w:val="16930926"/>
    <w:rsid w:val="16A37A9D"/>
    <w:rsid w:val="16C2284B"/>
    <w:rsid w:val="16CB423B"/>
    <w:rsid w:val="16F861BD"/>
    <w:rsid w:val="17035549"/>
    <w:rsid w:val="17062F69"/>
    <w:rsid w:val="17103863"/>
    <w:rsid w:val="171347E8"/>
    <w:rsid w:val="17423544"/>
    <w:rsid w:val="17450DD5"/>
    <w:rsid w:val="17575561"/>
    <w:rsid w:val="176A1687"/>
    <w:rsid w:val="1779199A"/>
    <w:rsid w:val="17881110"/>
    <w:rsid w:val="17907B2D"/>
    <w:rsid w:val="179944DC"/>
    <w:rsid w:val="17A06173"/>
    <w:rsid w:val="17B56054"/>
    <w:rsid w:val="17C22E6D"/>
    <w:rsid w:val="17CF6476"/>
    <w:rsid w:val="17D908F6"/>
    <w:rsid w:val="17DE7245"/>
    <w:rsid w:val="17DF536C"/>
    <w:rsid w:val="17EA0C48"/>
    <w:rsid w:val="18120EEB"/>
    <w:rsid w:val="182B6938"/>
    <w:rsid w:val="1833416F"/>
    <w:rsid w:val="18345C55"/>
    <w:rsid w:val="183D0E38"/>
    <w:rsid w:val="1841587E"/>
    <w:rsid w:val="184B14B9"/>
    <w:rsid w:val="184D1F22"/>
    <w:rsid w:val="18630E03"/>
    <w:rsid w:val="186662F2"/>
    <w:rsid w:val="186F3E63"/>
    <w:rsid w:val="187327BD"/>
    <w:rsid w:val="187857E7"/>
    <w:rsid w:val="187B19AA"/>
    <w:rsid w:val="18811F09"/>
    <w:rsid w:val="188321C6"/>
    <w:rsid w:val="189015C1"/>
    <w:rsid w:val="18917327"/>
    <w:rsid w:val="18921717"/>
    <w:rsid w:val="18A25EE0"/>
    <w:rsid w:val="18AE37F5"/>
    <w:rsid w:val="18CC1476"/>
    <w:rsid w:val="190D3CF6"/>
    <w:rsid w:val="190E1B7D"/>
    <w:rsid w:val="191B713B"/>
    <w:rsid w:val="192071E1"/>
    <w:rsid w:val="19287A4C"/>
    <w:rsid w:val="192F739D"/>
    <w:rsid w:val="195C4F98"/>
    <w:rsid w:val="195E21AF"/>
    <w:rsid w:val="198F7ACB"/>
    <w:rsid w:val="19C27C94"/>
    <w:rsid w:val="19D10924"/>
    <w:rsid w:val="19DC5DE9"/>
    <w:rsid w:val="19E42EEC"/>
    <w:rsid w:val="19EC0A79"/>
    <w:rsid w:val="19FC4F49"/>
    <w:rsid w:val="19FE255B"/>
    <w:rsid w:val="1A1E247D"/>
    <w:rsid w:val="1A206E13"/>
    <w:rsid w:val="1A324F2D"/>
    <w:rsid w:val="1A3B730B"/>
    <w:rsid w:val="1A462475"/>
    <w:rsid w:val="1A622AE9"/>
    <w:rsid w:val="1A736AA5"/>
    <w:rsid w:val="1A754C02"/>
    <w:rsid w:val="1AA30DFE"/>
    <w:rsid w:val="1AA66E7A"/>
    <w:rsid w:val="1AC06A39"/>
    <w:rsid w:val="1AC76DF0"/>
    <w:rsid w:val="1ACC4F36"/>
    <w:rsid w:val="1AF11218"/>
    <w:rsid w:val="1AF44A0B"/>
    <w:rsid w:val="1B115D3C"/>
    <w:rsid w:val="1B1C538E"/>
    <w:rsid w:val="1B1E0896"/>
    <w:rsid w:val="1B274435"/>
    <w:rsid w:val="1B3C173F"/>
    <w:rsid w:val="1B3C333B"/>
    <w:rsid w:val="1B483F91"/>
    <w:rsid w:val="1B554868"/>
    <w:rsid w:val="1B614048"/>
    <w:rsid w:val="1B7C407F"/>
    <w:rsid w:val="1B807337"/>
    <w:rsid w:val="1BA47C58"/>
    <w:rsid w:val="1BAF6202"/>
    <w:rsid w:val="1BB27AA1"/>
    <w:rsid w:val="1BB80F43"/>
    <w:rsid w:val="1BC170B5"/>
    <w:rsid w:val="1BC63CDD"/>
    <w:rsid w:val="1BC85289"/>
    <w:rsid w:val="1BCA2AC1"/>
    <w:rsid w:val="1BDC02C0"/>
    <w:rsid w:val="1BEB4B83"/>
    <w:rsid w:val="1BF0529D"/>
    <w:rsid w:val="1BF74872"/>
    <w:rsid w:val="1C346EAE"/>
    <w:rsid w:val="1C446BE5"/>
    <w:rsid w:val="1C6457DA"/>
    <w:rsid w:val="1C6D0873"/>
    <w:rsid w:val="1C821221"/>
    <w:rsid w:val="1C915866"/>
    <w:rsid w:val="1CA05B4B"/>
    <w:rsid w:val="1CD102CB"/>
    <w:rsid w:val="1CE647C1"/>
    <w:rsid w:val="1CE67A02"/>
    <w:rsid w:val="1D1A33B2"/>
    <w:rsid w:val="1D1C4E72"/>
    <w:rsid w:val="1D385997"/>
    <w:rsid w:val="1D3C25C0"/>
    <w:rsid w:val="1D5E31C4"/>
    <w:rsid w:val="1D673AB8"/>
    <w:rsid w:val="1D6B0D1C"/>
    <w:rsid w:val="1D724537"/>
    <w:rsid w:val="1D8D5C15"/>
    <w:rsid w:val="1D923F90"/>
    <w:rsid w:val="1D946A32"/>
    <w:rsid w:val="1DA31A6F"/>
    <w:rsid w:val="1DB51F23"/>
    <w:rsid w:val="1DC65199"/>
    <w:rsid w:val="1DE55082"/>
    <w:rsid w:val="1DEB7A42"/>
    <w:rsid w:val="1DF97E9A"/>
    <w:rsid w:val="1DFA19DF"/>
    <w:rsid w:val="1E1919C1"/>
    <w:rsid w:val="1E193E07"/>
    <w:rsid w:val="1E396257"/>
    <w:rsid w:val="1E414EAF"/>
    <w:rsid w:val="1E421B94"/>
    <w:rsid w:val="1E5A1C2F"/>
    <w:rsid w:val="1E5E18A6"/>
    <w:rsid w:val="1E707ECB"/>
    <w:rsid w:val="1E7B3D90"/>
    <w:rsid w:val="1E832DAB"/>
    <w:rsid w:val="1E865B1A"/>
    <w:rsid w:val="1EA47B74"/>
    <w:rsid w:val="1EC331FD"/>
    <w:rsid w:val="1EDC3EA5"/>
    <w:rsid w:val="1EE937D9"/>
    <w:rsid w:val="1EF17E08"/>
    <w:rsid w:val="1F1F3A24"/>
    <w:rsid w:val="1F206854"/>
    <w:rsid w:val="1F244EC9"/>
    <w:rsid w:val="1F2D6E0F"/>
    <w:rsid w:val="1F525822"/>
    <w:rsid w:val="1F5A3842"/>
    <w:rsid w:val="1F6659C8"/>
    <w:rsid w:val="1F690A75"/>
    <w:rsid w:val="1F7304BB"/>
    <w:rsid w:val="1F7977EE"/>
    <w:rsid w:val="1F7F7C9A"/>
    <w:rsid w:val="1F882FF2"/>
    <w:rsid w:val="1F895E51"/>
    <w:rsid w:val="1F9F1011"/>
    <w:rsid w:val="1FA073B6"/>
    <w:rsid w:val="1FA94D17"/>
    <w:rsid w:val="1FB12B7F"/>
    <w:rsid w:val="1FC14DDE"/>
    <w:rsid w:val="1FC81833"/>
    <w:rsid w:val="1FD91AA0"/>
    <w:rsid w:val="1FEA5A5B"/>
    <w:rsid w:val="1FFC578E"/>
    <w:rsid w:val="20025D99"/>
    <w:rsid w:val="200A2C27"/>
    <w:rsid w:val="203A68C1"/>
    <w:rsid w:val="204809D3"/>
    <w:rsid w:val="2054435F"/>
    <w:rsid w:val="20670906"/>
    <w:rsid w:val="20692E24"/>
    <w:rsid w:val="208640FC"/>
    <w:rsid w:val="20C3636D"/>
    <w:rsid w:val="20E03EA8"/>
    <w:rsid w:val="20E64474"/>
    <w:rsid w:val="20ED38FC"/>
    <w:rsid w:val="211D78B0"/>
    <w:rsid w:val="212A1E87"/>
    <w:rsid w:val="212E72D0"/>
    <w:rsid w:val="21313216"/>
    <w:rsid w:val="213A3C94"/>
    <w:rsid w:val="213C19C8"/>
    <w:rsid w:val="213E32F0"/>
    <w:rsid w:val="2149131F"/>
    <w:rsid w:val="2149340F"/>
    <w:rsid w:val="214E43E5"/>
    <w:rsid w:val="21562C7C"/>
    <w:rsid w:val="215F5FD5"/>
    <w:rsid w:val="21600B88"/>
    <w:rsid w:val="219519F6"/>
    <w:rsid w:val="21AE78B8"/>
    <w:rsid w:val="21B53414"/>
    <w:rsid w:val="21E5038E"/>
    <w:rsid w:val="21E8206B"/>
    <w:rsid w:val="21EA14F4"/>
    <w:rsid w:val="22330628"/>
    <w:rsid w:val="223E6CF8"/>
    <w:rsid w:val="2243364A"/>
    <w:rsid w:val="224A62E8"/>
    <w:rsid w:val="224E045E"/>
    <w:rsid w:val="226338A3"/>
    <w:rsid w:val="226823A3"/>
    <w:rsid w:val="227C1E95"/>
    <w:rsid w:val="22806203"/>
    <w:rsid w:val="22833F45"/>
    <w:rsid w:val="229226B8"/>
    <w:rsid w:val="22A73267"/>
    <w:rsid w:val="22AF5BBC"/>
    <w:rsid w:val="22C677C0"/>
    <w:rsid w:val="22CD1033"/>
    <w:rsid w:val="22DD3C85"/>
    <w:rsid w:val="22E25187"/>
    <w:rsid w:val="234629D3"/>
    <w:rsid w:val="234A3673"/>
    <w:rsid w:val="23555288"/>
    <w:rsid w:val="23740A0F"/>
    <w:rsid w:val="23773046"/>
    <w:rsid w:val="238115CF"/>
    <w:rsid w:val="238A31D0"/>
    <w:rsid w:val="23A012D9"/>
    <w:rsid w:val="23AD3718"/>
    <w:rsid w:val="23B42767"/>
    <w:rsid w:val="23D5432C"/>
    <w:rsid w:val="23E303FA"/>
    <w:rsid w:val="23E869F5"/>
    <w:rsid w:val="23EB5574"/>
    <w:rsid w:val="23F724F4"/>
    <w:rsid w:val="23F911BA"/>
    <w:rsid w:val="23FE56CB"/>
    <w:rsid w:val="242B03F0"/>
    <w:rsid w:val="242B39CD"/>
    <w:rsid w:val="242D516F"/>
    <w:rsid w:val="24340889"/>
    <w:rsid w:val="244B3DA0"/>
    <w:rsid w:val="245247ED"/>
    <w:rsid w:val="24575A93"/>
    <w:rsid w:val="245C1D65"/>
    <w:rsid w:val="24897F40"/>
    <w:rsid w:val="248B67FD"/>
    <w:rsid w:val="248F6CA6"/>
    <w:rsid w:val="249E0BC2"/>
    <w:rsid w:val="24A73AFB"/>
    <w:rsid w:val="24BF3406"/>
    <w:rsid w:val="24D938C4"/>
    <w:rsid w:val="24DC4EE5"/>
    <w:rsid w:val="24E3532B"/>
    <w:rsid w:val="2508212D"/>
    <w:rsid w:val="252B038C"/>
    <w:rsid w:val="252C333B"/>
    <w:rsid w:val="252E1698"/>
    <w:rsid w:val="25543DDA"/>
    <w:rsid w:val="255F7AD2"/>
    <w:rsid w:val="2562439C"/>
    <w:rsid w:val="256B13EC"/>
    <w:rsid w:val="256D4FBD"/>
    <w:rsid w:val="257A0E0A"/>
    <w:rsid w:val="257E016B"/>
    <w:rsid w:val="25861D82"/>
    <w:rsid w:val="258C4EBE"/>
    <w:rsid w:val="25AA58E4"/>
    <w:rsid w:val="25B52A47"/>
    <w:rsid w:val="25C10491"/>
    <w:rsid w:val="25C46D47"/>
    <w:rsid w:val="25C64874"/>
    <w:rsid w:val="25E074E7"/>
    <w:rsid w:val="25EE4017"/>
    <w:rsid w:val="25F25669"/>
    <w:rsid w:val="25F72C80"/>
    <w:rsid w:val="25F97290"/>
    <w:rsid w:val="26223B26"/>
    <w:rsid w:val="26241D26"/>
    <w:rsid w:val="2627224F"/>
    <w:rsid w:val="263537A8"/>
    <w:rsid w:val="263A2B6C"/>
    <w:rsid w:val="265B0A5D"/>
    <w:rsid w:val="26624D38"/>
    <w:rsid w:val="266360FF"/>
    <w:rsid w:val="266C4868"/>
    <w:rsid w:val="269D762C"/>
    <w:rsid w:val="26A10A3D"/>
    <w:rsid w:val="26C976F8"/>
    <w:rsid w:val="26CD1C32"/>
    <w:rsid w:val="26D72EC0"/>
    <w:rsid w:val="26EF72E5"/>
    <w:rsid w:val="26FC4A2E"/>
    <w:rsid w:val="270B0E4A"/>
    <w:rsid w:val="27180E6A"/>
    <w:rsid w:val="271E393C"/>
    <w:rsid w:val="271E669F"/>
    <w:rsid w:val="27333A9E"/>
    <w:rsid w:val="27363334"/>
    <w:rsid w:val="273C73E8"/>
    <w:rsid w:val="273D5A6D"/>
    <w:rsid w:val="274023D4"/>
    <w:rsid w:val="274253D5"/>
    <w:rsid w:val="27663E92"/>
    <w:rsid w:val="276D74EC"/>
    <w:rsid w:val="276F6A21"/>
    <w:rsid w:val="277853D2"/>
    <w:rsid w:val="278A534F"/>
    <w:rsid w:val="27A72484"/>
    <w:rsid w:val="27B04BAD"/>
    <w:rsid w:val="27C748D4"/>
    <w:rsid w:val="27D163B4"/>
    <w:rsid w:val="28002089"/>
    <w:rsid w:val="281C1B43"/>
    <w:rsid w:val="282615FA"/>
    <w:rsid w:val="282B36F9"/>
    <w:rsid w:val="28322D19"/>
    <w:rsid w:val="28375A3F"/>
    <w:rsid w:val="284A5CA4"/>
    <w:rsid w:val="28520495"/>
    <w:rsid w:val="286533D6"/>
    <w:rsid w:val="287813D0"/>
    <w:rsid w:val="28836A4D"/>
    <w:rsid w:val="28A813E1"/>
    <w:rsid w:val="28B92E20"/>
    <w:rsid w:val="28B93CEB"/>
    <w:rsid w:val="28E02A8F"/>
    <w:rsid w:val="28E1683E"/>
    <w:rsid w:val="28F416F8"/>
    <w:rsid w:val="29125D60"/>
    <w:rsid w:val="291C7A80"/>
    <w:rsid w:val="291F766B"/>
    <w:rsid w:val="292B1C11"/>
    <w:rsid w:val="2960365F"/>
    <w:rsid w:val="29712D49"/>
    <w:rsid w:val="297B2875"/>
    <w:rsid w:val="299802D6"/>
    <w:rsid w:val="299E3412"/>
    <w:rsid w:val="29A50D71"/>
    <w:rsid w:val="29C92C9E"/>
    <w:rsid w:val="29D10A88"/>
    <w:rsid w:val="29D3130E"/>
    <w:rsid w:val="29E76B67"/>
    <w:rsid w:val="2A1A46E9"/>
    <w:rsid w:val="2A2A2452"/>
    <w:rsid w:val="2A3717F0"/>
    <w:rsid w:val="2A41271B"/>
    <w:rsid w:val="2A441BE1"/>
    <w:rsid w:val="2A4836B1"/>
    <w:rsid w:val="2A4A0382"/>
    <w:rsid w:val="2A5341FD"/>
    <w:rsid w:val="2A851BD9"/>
    <w:rsid w:val="2A863893"/>
    <w:rsid w:val="2A932720"/>
    <w:rsid w:val="2AA02867"/>
    <w:rsid w:val="2AB357E7"/>
    <w:rsid w:val="2AC9578D"/>
    <w:rsid w:val="2ACC5C5A"/>
    <w:rsid w:val="2AF04F6E"/>
    <w:rsid w:val="2AF05EF0"/>
    <w:rsid w:val="2B000827"/>
    <w:rsid w:val="2B0C0F7B"/>
    <w:rsid w:val="2B0D7E3B"/>
    <w:rsid w:val="2B420288"/>
    <w:rsid w:val="2B421328"/>
    <w:rsid w:val="2B5C43D0"/>
    <w:rsid w:val="2B5E1033"/>
    <w:rsid w:val="2B5F159F"/>
    <w:rsid w:val="2B641D7F"/>
    <w:rsid w:val="2B6A541F"/>
    <w:rsid w:val="2B6D3C7A"/>
    <w:rsid w:val="2B786D85"/>
    <w:rsid w:val="2B927BC6"/>
    <w:rsid w:val="2B955445"/>
    <w:rsid w:val="2BB23B01"/>
    <w:rsid w:val="2BB32D41"/>
    <w:rsid w:val="2BC069D0"/>
    <w:rsid w:val="2BC367B8"/>
    <w:rsid w:val="2BD07B70"/>
    <w:rsid w:val="2BE960EF"/>
    <w:rsid w:val="2BFC2739"/>
    <w:rsid w:val="2C071A15"/>
    <w:rsid w:val="2C0B64AA"/>
    <w:rsid w:val="2C1C3440"/>
    <w:rsid w:val="2C1F6A8C"/>
    <w:rsid w:val="2C2D3420"/>
    <w:rsid w:val="2C3D5164"/>
    <w:rsid w:val="2C5030EA"/>
    <w:rsid w:val="2C610E53"/>
    <w:rsid w:val="2C6941AB"/>
    <w:rsid w:val="2C6C747A"/>
    <w:rsid w:val="2C7B4E8C"/>
    <w:rsid w:val="2C842D34"/>
    <w:rsid w:val="2C845095"/>
    <w:rsid w:val="2C9446A0"/>
    <w:rsid w:val="2CA04D25"/>
    <w:rsid w:val="2CAE1BBE"/>
    <w:rsid w:val="2CED77C1"/>
    <w:rsid w:val="2CF617E0"/>
    <w:rsid w:val="2CF77A09"/>
    <w:rsid w:val="2D0B4249"/>
    <w:rsid w:val="2D16631A"/>
    <w:rsid w:val="2D391C9E"/>
    <w:rsid w:val="2D4C5A5E"/>
    <w:rsid w:val="2D4E7FAB"/>
    <w:rsid w:val="2D546C0A"/>
    <w:rsid w:val="2D5A4743"/>
    <w:rsid w:val="2D6C2100"/>
    <w:rsid w:val="2D762BBA"/>
    <w:rsid w:val="2D944CD1"/>
    <w:rsid w:val="2DBB723B"/>
    <w:rsid w:val="2DC37DF1"/>
    <w:rsid w:val="2DCE0619"/>
    <w:rsid w:val="2DD35AE8"/>
    <w:rsid w:val="2DD97BC5"/>
    <w:rsid w:val="2DE463B0"/>
    <w:rsid w:val="2DE6399F"/>
    <w:rsid w:val="2DE64BF5"/>
    <w:rsid w:val="2DE84AF7"/>
    <w:rsid w:val="2E0D173F"/>
    <w:rsid w:val="2E307DB7"/>
    <w:rsid w:val="2E3E5270"/>
    <w:rsid w:val="2E4B1814"/>
    <w:rsid w:val="2E6011D7"/>
    <w:rsid w:val="2E727E5A"/>
    <w:rsid w:val="2E8250B1"/>
    <w:rsid w:val="2E8928E3"/>
    <w:rsid w:val="2E961606"/>
    <w:rsid w:val="2EC54F0E"/>
    <w:rsid w:val="2EC90F31"/>
    <w:rsid w:val="2EFE7D6E"/>
    <w:rsid w:val="2EFF4953"/>
    <w:rsid w:val="2F1F0B51"/>
    <w:rsid w:val="2F4B7B98"/>
    <w:rsid w:val="2F8530AA"/>
    <w:rsid w:val="2F984ABB"/>
    <w:rsid w:val="2FA015C3"/>
    <w:rsid w:val="2FDB716E"/>
    <w:rsid w:val="2FE34275"/>
    <w:rsid w:val="30052AD8"/>
    <w:rsid w:val="30095335"/>
    <w:rsid w:val="30201025"/>
    <w:rsid w:val="30354AD0"/>
    <w:rsid w:val="30561692"/>
    <w:rsid w:val="30586CDF"/>
    <w:rsid w:val="30600479"/>
    <w:rsid w:val="309722D7"/>
    <w:rsid w:val="309E4373"/>
    <w:rsid w:val="30AA13BF"/>
    <w:rsid w:val="30AA79E3"/>
    <w:rsid w:val="30B40AB8"/>
    <w:rsid w:val="30CC2BB8"/>
    <w:rsid w:val="30DF6CA0"/>
    <w:rsid w:val="30ED32FC"/>
    <w:rsid w:val="310A08C8"/>
    <w:rsid w:val="310F192C"/>
    <w:rsid w:val="311554EE"/>
    <w:rsid w:val="31195802"/>
    <w:rsid w:val="31321010"/>
    <w:rsid w:val="313533BC"/>
    <w:rsid w:val="313E4759"/>
    <w:rsid w:val="313F54DB"/>
    <w:rsid w:val="314B1C9B"/>
    <w:rsid w:val="314D7BF8"/>
    <w:rsid w:val="31612184"/>
    <w:rsid w:val="31692558"/>
    <w:rsid w:val="31796C3F"/>
    <w:rsid w:val="317D0C73"/>
    <w:rsid w:val="31926D16"/>
    <w:rsid w:val="3194218A"/>
    <w:rsid w:val="31B444D7"/>
    <w:rsid w:val="31C342A2"/>
    <w:rsid w:val="31F83438"/>
    <w:rsid w:val="31FC5556"/>
    <w:rsid w:val="32170FF5"/>
    <w:rsid w:val="32286B1B"/>
    <w:rsid w:val="32356B5E"/>
    <w:rsid w:val="324E226E"/>
    <w:rsid w:val="325356E2"/>
    <w:rsid w:val="32C1086E"/>
    <w:rsid w:val="32D4454C"/>
    <w:rsid w:val="32F341BB"/>
    <w:rsid w:val="32F54E61"/>
    <w:rsid w:val="32FF35F9"/>
    <w:rsid w:val="330001A2"/>
    <w:rsid w:val="33044C2E"/>
    <w:rsid w:val="332A6927"/>
    <w:rsid w:val="332E6808"/>
    <w:rsid w:val="33386686"/>
    <w:rsid w:val="33434A04"/>
    <w:rsid w:val="334713E7"/>
    <w:rsid w:val="335C0F0C"/>
    <w:rsid w:val="33631954"/>
    <w:rsid w:val="3363480C"/>
    <w:rsid w:val="336B6721"/>
    <w:rsid w:val="338257CE"/>
    <w:rsid w:val="33B10912"/>
    <w:rsid w:val="33CB12A8"/>
    <w:rsid w:val="33D45A74"/>
    <w:rsid w:val="33EA4F8B"/>
    <w:rsid w:val="34027E2D"/>
    <w:rsid w:val="34112A47"/>
    <w:rsid w:val="34125129"/>
    <w:rsid w:val="341A1198"/>
    <w:rsid w:val="341E587B"/>
    <w:rsid w:val="343717A5"/>
    <w:rsid w:val="344A5CAF"/>
    <w:rsid w:val="345E1EFF"/>
    <w:rsid w:val="345E211C"/>
    <w:rsid w:val="34627E84"/>
    <w:rsid w:val="346907A6"/>
    <w:rsid w:val="346C4843"/>
    <w:rsid w:val="34761B3D"/>
    <w:rsid w:val="347C6980"/>
    <w:rsid w:val="34861646"/>
    <w:rsid w:val="34B01683"/>
    <w:rsid w:val="34B7692C"/>
    <w:rsid w:val="34C226AB"/>
    <w:rsid w:val="34E00D83"/>
    <w:rsid w:val="34ED2EF3"/>
    <w:rsid w:val="34FB6280"/>
    <w:rsid w:val="35152498"/>
    <w:rsid w:val="351737E1"/>
    <w:rsid w:val="35184C6D"/>
    <w:rsid w:val="351C016C"/>
    <w:rsid w:val="351C625F"/>
    <w:rsid w:val="351F0B3B"/>
    <w:rsid w:val="353D1B92"/>
    <w:rsid w:val="355754E9"/>
    <w:rsid w:val="356946DE"/>
    <w:rsid w:val="356A2C20"/>
    <w:rsid w:val="357511B6"/>
    <w:rsid w:val="35773F4E"/>
    <w:rsid w:val="357F234A"/>
    <w:rsid w:val="35847960"/>
    <w:rsid w:val="358B1967"/>
    <w:rsid w:val="35906410"/>
    <w:rsid w:val="35941EE7"/>
    <w:rsid w:val="35A61FCC"/>
    <w:rsid w:val="35BE61A8"/>
    <w:rsid w:val="35D903FF"/>
    <w:rsid w:val="35DB2555"/>
    <w:rsid w:val="35E1119D"/>
    <w:rsid w:val="35ED19A9"/>
    <w:rsid w:val="35EF609A"/>
    <w:rsid w:val="35F55D16"/>
    <w:rsid w:val="35FF1F8E"/>
    <w:rsid w:val="360B1967"/>
    <w:rsid w:val="360E3D96"/>
    <w:rsid w:val="36144F46"/>
    <w:rsid w:val="36347C65"/>
    <w:rsid w:val="363506B5"/>
    <w:rsid w:val="36405F7D"/>
    <w:rsid w:val="36475791"/>
    <w:rsid w:val="366F28DB"/>
    <w:rsid w:val="368178C2"/>
    <w:rsid w:val="36897EB8"/>
    <w:rsid w:val="369116D0"/>
    <w:rsid w:val="369301F2"/>
    <w:rsid w:val="369B35A4"/>
    <w:rsid w:val="369F5F8F"/>
    <w:rsid w:val="36A1205A"/>
    <w:rsid w:val="36A46172"/>
    <w:rsid w:val="36AE1139"/>
    <w:rsid w:val="36B349A1"/>
    <w:rsid w:val="36B9188B"/>
    <w:rsid w:val="36CD7058"/>
    <w:rsid w:val="36D22E56"/>
    <w:rsid w:val="36D90673"/>
    <w:rsid w:val="36FA437E"/>
    <w:rsid w:val="370666E5"/>
    <w:rsid w:val="371640D0"/>
    <w:rsid w:val="37211C00"/>
    <w:rsid w:val="373511EA"/>
    <w:rsid w:val="373F25CC"/>
    <w:rsid w:val="37411FAD"/>
    <w:rsid w:val="3745767C"/>
    <w:rsid w:val="374E3698"/>
    <w:rsid w:val="375111F8"/>
    <w:rsid w:val="37785578"/>
    <w:rsid w:val="377E35EE"/>
    <w:rsid w:val="378A0189"/>
    <w:rsid w:val="379501B2"/>
    <w:rsid w:val="379540A7"/>
    <w:rsid w:val="37AB75F3"/>
    <w:rsid w:val="37C37A26"/>
    <w:rsid w:val="37DD61FF"/>
    <w:rsid w:val="3818637F"/>
    <w:rsid w:val="38207E14"/>
    <w:rsid w:val="382507E6"/>
    <w:rsid w:val="382B67B9"/>
    <w:rsid w:val="3834566E"/>
    <w:rsid w:val="383A3644"/>
    <w:rsid w:val="383E3230"/>
    <w:rsid w:val="384F6697"/>
    <w:rsid w:val="385F1A9D"/>
    <w:rsid w:val="38657F1D"/>
    <w:rsid w:val="38767A34"/>
    <w:rsid w:val="3883540B"/>
    <w:rsid w:val="38910707"/>
    <w:rsid w:val="38934A8A"/>
    <w:rsid w:val="389712F2"/>
    <w:rsid w:val="389E0B7E"/>
    <w:rsid w:val="38B42B1B"/>
    <w:rsid w:val="38DD3307"/>
    <w:rsid w:val="38EC0F5C"/>
    <w:rsid w:val="38F023FD"/>
    <w:rsid w:val="38F92413"/>
    <w:rsid w:val="390366E6"/>
    <w:rsid w:val="390447E4"/>
    <w:rsid w:val="390F1C92"/>
    <w:rsid w:val="39293DB0"/>
    <w:rsid w:val="3932357B"/>
    <w:rsid w:val="393542AD"/>
    <w:rsid w:val="394B0CF0"/>
    <w:rsid w:val="396E7062"/>
    <w:rsid w:val="39700927"/>
    <w:rsid w:val="39764653"/>
    <w:rsid w:val="398630C2"/>
    <w:rsid w:val="39945775"/>
    <w:rsid w:val="399D7242"/>
    <w:rsid w:val="39A03524"/>
    <w:rsid w:val="39B13AE1"/>
    <w:rsid w:val="39DD2465"/>
    <w:rsid w:val="39E901AB"/>
    <w:rsid w:val="39EB6200"/>
    <w:rsid w:val="39F36619"/>
    <w:rsid w:val="39FC2F9F"/>
    <w:rsid w:val="3A080B60"/>
    <w:rsid w:val="3A5503F1"/>
    <w:rsid w:val="3A5E6443"/>
    <w:rsid w:val="3A63048C"/>
    <w:rsid w:val="3A6E01EF"/>
    <w:rsid w:val="3A7206CF"/>
    <w:rsid w:val="3A7E7084"/>
    <w:rsid w:val="3A8D3267"/>
    <w:rsid w:val="3A9A5F88"/>
    <w:rsid w:val="3A9B3EA5"/>
    <w:rsid w:val="3A9E0B45"/>
    <w:rsid w:val="3AB86041"/>
    <w:rsid w:val="3AD30754"/>
    <w:rsid w:val="3AD31A4B"/>
    <w:rsid w:val="3AD63FAA"/>
    <w:rsid w:val="3AD82BC6"/>
    <w:rsid w:val="3AFE2C6B"/>
    <w:rsid w:val="3B1866F7"/>
    <w:rsid w:val="3B376687"/>
    <w:rsid w:val="3B3E6939"/>
    <w:rsid w:val="3B3F7FDD"/>
    <w:rsid w:val="3B4A1AE9"/>
    <w:rsid w:val="3B4F12B2"/>
    <w:rsid w:val="3B5B6D00"/>
    <w:rsid w:val="3B6343C3"/>
    <w:rsid w:val="3B730A2C"/>
    <w:rsid w:val="3B732300"/>
    <w:rsid w:val="3BAE5839"/>
    <w:rsid w:val="3BC73BD4"/>
    <w:rsid w:val="3BD52EB9"/>
    <w:rsid w:val="3BDB763B"/>
    <w:rsid w:val="3BFB5246"/>
    <w:rsid w:val="3C0A04BB"/>
    <w:rsid w:val="3C0E69E9"/>
    <w:rsid w:val="3C125F73"/>
    <w:rsid w:val="3C1A101E"/>
    <w:rsid w:val="3C1F45B2"/>
    <w:rsid w:val="3C3360EC"/>
    <w:rsid w:val="3C3643F9"/>
    <w:rsid w:val="3C452831"/>
    <w:rsid w:val="3C5D17C0"/>
    <w:rsid w:val="3C5D5748"/>
    <w:rsid w:val="3C7057AE"/>
    <w:rsid w:val="3C7265BA"/>
    <w:rsid w:val="3C9C7362"/>
    <w:rsid w:val="3CA53C3A"/>
    <w:rsid w:val="3CA74A0B"/>
    <w:rsid w:val="3CA97F92"/>
    <w:rsid w:val="3CC1259B"/>
    <w:rsid w:val="3CEA1C78"/>
    <w:rsid w:val="3CF0119C"/>
    <w:rsid w:val="3CFE2FEB"/>
    <w:rsid w:val="3D1D0DC6"/>
    <w:rsid w:val="3D37642D"/>
    <w:rsid w:val="3D453E79"/>
    <w:rsid w:val="3D4B442E"/>
    <w:rsid w:val="3D672756"/>
    <w:rsid w:val="3D687B67"/>
    <w:rsid w:val="3D6D69CE"/>
    <w:rsid w:val="3D8D5B29"/>
    <w:rsid w:val="3D945377"/>
    <w:rsid w:val="3DB13B3B"/>
    <w:rsid w:val="3DC065C6"/>
    <w:rsid w:val="3DC079A3"/>
    <w:rsid w:val="3DC54FBA"/>
    <w:rsid w:val="3DC70F93"/>
    <w:rsid w:val="3DD0505D"/>
    <w:rsid w:val="3DDC0B07"/>
    <w:rsid w:val="3DDD5F6E"/>
    <w:rsid w:val="3DE713D4"/>
    <w:rsid w:val="3DEC38A8"/>
    <w:rsid w:val="3E0169BD"/>
    <w:rsid w:val="3E153786"/>
    <w:rsid w:val="3E301DCE"/>
    <w:rsid w:val="3E3D3FF6"/>
    <w:rsid w:val="3E526AD0"/>
    <w:rsid w:val="3E5700F6"/>
    <w:rsid w:val="3E5D317C"/>
    <w:rsid w:val="3E7B17BF"/>
    <w:rsid w:val="3EB05C6A"/>
    <w:rsid w:val="3EB721C8"/>
    <w:rsid w:val="3EC24055"/>
    <w:rsid w:val="3EC60FE9"/>
    <w:rsid w:val="3EC7628C"/>
    <w:rsid w:val="3ED16309"/>
    <w:rsid w:val="3EDA411D"/>
    <w:rsid w:val="3EF4037B"/>
    <w:rsid w:val="3EF839DA"/>
    <w:rsid w:val="3F0302EC"/>
    <w:rsid w:val="3F122481"/>
    <w:rsid w:val="3F197280"/>
    <w:rsid w:val="3F2A77CA"/>
    <w:rsid w:val="3F454604"/>
    <w:rsid w:val="3F4B496B"/>
    <w:rsid w:val="3F4B6BB2"/>
    <w:rsid w:val="3F4F5483"/>
    <w:rsid w:val="3F593C0C"/>
    <w:rsid w:val="3F91658F"/>
    <w:rsid w:val="3F9966FE"/>
    <w:rsid w:val="3FA46EF8"/>
    <w:rsid w:val="3FEC6BE3"/>
    <w:rsid w:val="400022D9"/>
    <w:rsid w:val="402203F5"/>
    <w:rsid w:val="402657A8"/>
    <w:rsid w:val="4028158A"/>
    <w:rsid w:val="40442B0E"/>
    <w:rsid w:val="40574F8A"/>
    <w:rsid w:val="405A40DF"/>
    <w:rsid w:val="40610FCA"/>
    <w:rsid w:val="40672358"/>
    <w:rsid w:val="406E1939"/>
    <w:rsid w:val="4071391F"/>
    <w:rsid w:val="40953369"/>
    <w:rsid w:val="409A4580"/>
    <w:rsid w:val="40A2305E"/>
    <w:rsid w:val="40AE5034"/>
    <w:rsid w:val="40B35057"/>
    <w:rsid w:val="40F7683E"/>
    <w:rsid w:val="4105229D"/>
    <w:rsid w:val="412E0396"/>
    <w:rsid w:val="41303C39"/>
    <w:rsid w:val="41364AA2"/>
    <w:rsid w:val="414F74CB"/>
    <w:rsid w:val="415B6654"/>
    <w:rsid w:val="41636FFF"/>
    <w:rsid w:val="41662EBF"/>
    <w:rsid w:val="416745BC"/>
    <w:rsid w:val="417C2EE6"/>
    <w:rsid w:val="41803457"/>
    <w:rsid w:val="41A80755"/>
    <w:rsid w:val="41AC7C60"/>
    <w:rsid w:val="41C46BAD"/>
    <w:rsid w:val="41D12A32"/>
    <w:rsid w:val="41D301C3"/>
    <w:rsid w:val="41D34149"/>
    <w:rsid w:val="41D623AF"/>
    <w:rsid w:val="41F6377C"/>
    <w:rsid w:val="420B66EE"/>
    <w:rsid w:val="422F49B3"/>
    <w:rsid w:val="423767ED"/>
    <w:rsid w:val="425213C3"/>
    <w:rsid w:val="425968DE"/>
    <w:rsid w:val="426E68C9"/>
    <w:rsid w:val="42802614"/>
    <w:rsid w:val="42A31F5B"/>
    <w:rsid w:val="42B01704"/>
    <w:rsid w:val="42B9333F"/>
    <w:rsid w:val="42CA3C47"/>
    <w:rsid w:val="42CC4106"/>
    <w:rsid w:val="42D22B67"/>
    <w:rsid w:val="42DC0E76"/>
    <w:rsid w:val="42E92879"/>
    <w:rsid w:val="42EC69CA"/>
    <w:rsid w:val="42FA277B"/>
    <w:rsid w:val="42FB4A28"/>
    <w:rsid w:val="43170066"/>
    <w:rsid w:val="431F1AE3"/>
    <w:rsid w:val="43325FEA"/>
    <w:rsid w:val="433858A5"/>
    <w:rsid w:val="434626F9"/>
    <w:rsid w:val="43527105"/>
    <w:rsid w:val="436C03B1"/>
    <w:rsid w:val="436D4954"/>
    <w:rsid w:val="438753A5"/>
    <w:rsid w:val="43891048"/>
    <w:rsid w:val="438D0328"/>
    <w:rsid w:val="43920E07"/>
    <w:rsid w:val="43951B04"/>
    <w:rsid w:val="439F33FF"/>
    <w:rsid w:val="43A044FF"/>
    <w:rsid w:val="43A24887"/>
    <w:rsid w:val="43B26B9C"/>
    <w:rsid w:val="43F715ED"/>
    <w:rsid w:val="44000E21"/>
    <w:rsid w:val="44020D16"/>
    <w:rsid w:val="440D15A1"/>
    <w:rsid w:val="44323820"/>
    <w:rsid w:val="444B4C5F"/>
    <w:rsid w:val="445702E4"/>
    <w:rsid w:val="44655A6C"/>
    <w:rsid w:val="4467168F"/>
    <w:rsid w:val="44737AF8"/>
    <w:rsid w:val="44766B6D"/>
    <w:rsid w:val="44864A89"/>
    <w:rsid w:val="448F50C0"/>
    <w:rsid w:val="44983838"/>
    <w:rsid w:val="44984355"/>
    <w:rsid w:val="449A0F4E"/>
    <w:rsid w:val="44A8226D"/>
    <w:rsid w:val="44A8366B"/>
    <w:rsid w:val="44AA08C6"/>
    <w:rsid w:val="44B32010"/>
    <w:rsid w:val="44C91BE7"/>
    <w:rsid w:val="44E677D0"/>
    <w:rsid w:val="44EF4A70"/>
    <w:rsid w:val="452364C9"/>
    <w:rsid w:val="45342FB5"/>
    <w:rsid w:val="454A7F5D"/>
    <w:rsid w:val="454C0370"/>
    <w:rsid w:val="4550153F"/>
    <w:rsid w:val="45631ACD"/>
    <w:rsid w:val="45660998"/>
    <w:rsid w:val="456B28EB"/>
    <w:rsid w:val="458000C7"/>
    <w:rsid w:val="4585213C"/>
    <w:rsid w:val="458B3F95"/>
    <w:rsid w:val="45967A06"/>
    <w:rsid w:val="4597548E"/>
    <w:rsid w:val="459B5B99"/>
    <w:rsid w:val="45AA2F38"/>
    <w:rsid w:val="45AA2F79"/>
    <w:rsid w:val="45B63B66"/>
    <w:rsid w:val="45C41CBE"/>
    <w:rsid w:val="45CD0190"/>
    <w:rsid w:val="45CF1BC3"/>
    <w:rsid w:val="4601483F"/>
    <w:rsid w:val="46025A85"/>
    <w:rsid w:val="461A266E"/>
    <w:rsid w:val="461F5BAF"/>
    <w:rsid w:val="463B406B"/>
    <w:rsid w:val="465239D4"/>
    <w:rsid w:val="465530CB"/>
    <w:rsid w:val="46760020"/>
    <w:rsid w:val="46982676"/>
    <w:rsid w:val="46A7659A"/>
    <w:rsid w:val="46AF7138"/>
    <w:rsid w:val="46D66D51"/>
    <w:rsid w:val="46DF280C"/>
    <w:rsid w:val="46F030A7"/>
    <w:rsid w:val="46FE3A16"/>
    <w:rsid w:val="475E6263"/>
    <w:rsid w:val="47630D4C"/>
    <w:rsid w:val="476A14DB"/>
    <w:rsid w:val="476A5FE9"/>
    <w:rsid w:val="478A52AA"/>
    <w:rsid w:val="4790205D"/>
    <w:rsid w:val="47975C19"/>
    <w:rsid w:val="479804CC"/>
    <w:rsid w:val="47A10846"/>
    <w:rsid w:val="47A735E5"/>
    <w:rsid w:val="47B75E90"/>
    <w:rsid w:val="47BE4F54"/>
    <w:rsid w:val="47CF0F0F"/>
    <w:rsid w:val="48082BD4"/>
    <w:rsid w:val="48294CD4"/>
    <w:rsid w:val="483319A6"/>
    <w:rsid w:val="483413B6"/>
    <w:rsid w:val="48383932"/>
    <w:rsid w:val="48490A61"/>
    <w:rsid w:val="48580F04"/>
    <w:rsid w:val="485A1120"/>
    <w:rsid w:val="487657D6"/>
    <w:rsid w:val="487B19AB"/>
    <w:rsid w:val="488E4926"/>
    <w:rsid w:val="48D664FA"/>
    <w:rsid w:val="49001E86"/>
    <w:rsid w:val="49081412"/>
    <w:rsid w:val="49184B37"/>
    <w:rsid w:val="492550D0"/>
    <w:rsid w:val="492A223F"/>
    <w:rsid w:val="493C6BB3"/>
    <w:rsid w:val="49500C1A"/>
    <w:rsid w:val="495B1646"/>
    <w:rsid w:val="496D50BB"/>
    <w:rsid w:val="49787384"/>
    <w:rsid w:val="49881085"/>
    <w:rsid w:val="4989196F"/>
    <w:rsid w:val="498E1308"/>
    <w:rsid w:val="498E392B"/>
    <w:rsid w:val="49902920"/>
    <w:rsid w:val="49953FD2"/>
    <w:rsid w:val="49A67FEA"/>
    <w:rsid w:val="49B42357"/>
    <w:rsid w:val="49CC282C"/>
    <w:rsid w:val="49D14C7B"/>
    <w:rsid w:val="49DF3484"/>
    <w:rsid w:val="49EE2E55"/>
    <w:rsid w:val="49F033BE"/>
    <w:rsid w:val="49F64E88"/>
    <w:rsid w:val="4A0B5680"/>
    <w:rsid w:val="4A442DE8"/>
    <w:rsid w:val="4A4C3C76"/>
    <w:rsid w:val="4A582F08"/>
    <w:rsid w:val="4A5C19ED"/>
    <w:rsid w:val="4A6A6B40"/>
    <w:rsid w:val="4A713EF7"/>
    <w:rsid w:val="4A71669A"/>
    <w:rsid w:val="4A7D2EA4"/>
    <w:rsid w:val="4A8E2CDD"/>
    <w:rsid w:val="4A8F0AE8"/>
    <w:rsid w:val="4A990DB8"/>
    <w:rsid w:val="4AAD7B65"/>
    <w:rsid w:val="4AB03279"/>
    <w:rsid w:val="4AB30EDE"/>
    <w:rsid w:val="4AB35D91"/>
    <w:rsid w:val="4AD50ED2"/>
    <w:rsid w:val="4AE25FEA"/>
    <w:rsid w:val="4AE87797"/>
    <w:rsid w:val="4B140282"/>
    <w:rsid w:val="4B1B7449"/>
    <w:rsid w:val="4B341F77"/>
    <w:rsid w:val="4B536B77"/>
    <w:rsid w:val="4B5A6F67"/>
    <w:rsid w:val="4B7B039D"/>
    <w:rsid w:val="4B7D0C82"/>
    <w:rsid w:val="4B7D207A"/>
    <w:rsid w:val="4B875EB6"/>
    <w:rsid w:val="4B8D42B7"/>
    <w:rsid w:val="4BAC5677"/>
    <w:rsid w:val="4BBC3115"/>
    <w:rsid w:val="4BD4666D"/>
    <w:rsid w:val="4BD71FC2"/>
    <w:rsid w:val="4BE34F89"/>
    <w:rsid w:val="4C3D761E"/>
    <w:rsid w:val="4C3F21A1"/>
    <w:rsid w:val="4C473333"/>
    <w:rsid w:val="4C6562E6"/>
    <w:rsid w:val="4C657AAE"/>
    <w:rsid w:val="4C7D1FFD"/>
    <w:rsid w:val="4C7D64B1"/>
    <w:rsid w:val="4C8A275C"/>
    <w:rsid w:val="4C8C446E"/>
    <w:rsid w:val="4CCF19B1"/>
    <w:rsid w:val="4CCF4510"/>
    <w:rsid w:val="4CD86AB8"/>
    <w:rsid w:val="4CF316EE"/>
    <w:rsid w:val="4CF5763E"/>
    <w:rsid w:val="4D1400D2"/>
    <w:rsid w:val="4D1E7969"/>
    <w:rsid w:val="4D2A0882"/>
    <w:rsid w:val="4D3F7CBF"/>
    <w:rsid w:val="4D55429F"/>
    <w:rsid w:val="4D64659D"/>
    <w:rsid w:val="4D6D4C62"/>
    <w:rsid w:val="4D7F6F33"/>
    <w:rsid w:val="4DA65831"/>
    <w:rsid w:val="4DA93FB0"/>
    <w:rsid w:val="4DBD3383"/>
    <w:rsid w:val="4DC46301"/>
    <w:rsid w:val="4DCD6596"/>
    <w:rsid w:val="4DF711BF"/>
    <w:rsid w:val="4DF71CA3"/>
    <w:rsid w:val="4DF807D9"/>
    <w:rsid w:val="4DFE3CC8"/>
    <w:rsid w:val="4DFE681B"/>
    <w:rsid w:val="4E037B64"/>
    <w:rsid w:val="4E1230AB"/>
    <w:rsid w:val="4E17716C"/>
    <w:rsid w:val="4E200716"/>
    <w:rsid w:val="4E3F7ECE"/>
    <w:rsid w:val="4E4E418E"/>
    <w:rsid w:val="4E5008D0"/>
    <w:rsid w:val="4E785D7B"/>
    <w:rsid w:val="4E8167AD"/>
    <w:rsid w:val="4E8B2268"/>
    <w:rsid w:val="4EA053B3"/>
    <w:rsid w:val="4EA902EC"/>
    <w:rsid w:val="4EAA7DA0"/>
    <w:rsid w:val="4EC310A1"/>
    <w:rsid w:val="4EC97B4E"/>
    <w:rsid w:val="4ECF3EC9"/>
    <w:rsid w:val="4ED17C62"/>
    <w:rsid w:val="4EE058CB"/>
    <w:rsid w:val="4EF30992"/>
    <w:rsid w:val="4EFB4CDF"/>
    <w:rsid w:val="4EFF706A"/>
    <w:rsid w:val="4F0A7123"/>
    <w:rsid w:val="4F2A3762"/>
    <w:rsid w:val="4F2B4700"/>
    <w:rsid w:val="4F2E0DB1"/>
    <w:rsid w:val="4F2E3E2A"/>
    <w:rsid w:val="4F365D17"/>
    <w:rsid w:val="4F5A7C58"/>
    <w:rsid w:val="4F710AFD"/>
    <w:rsid w:val="4F7F2F0C"/>
    <w:rsid w:val="4F802128"/>
    <w:rsid w:val="4F9042E4"/>
    <w:rsid w:val="4F9B5B7A"/>
    <w:rsid w:val="4FBF6DE2"/>
    <w:rsid w:val="4FD41C1D"/>
    <w:rsid w:val="4FD64C5B"/>
    <w:rsid w:val="4FE0641D"/>
    <w:rsid w:val="4FE30C63"/>
    <w:rsid w:val="4FED2322"/>
    <w:rsid w:val="4FED4628"/>
    <w:rsid w:val="4FFD53C6"/>
    <w:rsid w:val="501040B3"/>
    <w:rsid w:val="50113FD1"/>
    <w:rsid w:val="501A73E7"/>
    <w:rsid w:val="50321789"/>
    <w:rsid w:val="50353485"/>
    <w:rsid w:val="503D1B16"/>
    <w:rsid w:val="50456141"/>
    <w:rsid w:val="50493828"/>
    <w:rsid w:val="508E47DC"/>
    <w:rsid w:val="50A81D9E"/>
    <w:rsid w:val="50A849F3"/>
    <w:rsid w:val="50AE3F83"/>
    <w:rsid w:val="50BB4726"/>
    <w:rsid w:val="50CF7A4B"/>
    <w:rsid w:val="50DE2E0E"/>
    <w:rsid w:val="50E772C9"/>
    <w:rsid w:val="50E92709"/>
    <w:rsid w:val="51354115"/>
    <w:rsid w:val="5137564E"/>
    <w:rsid w:val="513B5867"/>
    <w:rsid w:val="514E0A72"/>
    <w:rsid w:val="514E7348"/>
    <w:rsid w:val="51521A69"/>
    <w:rsid w:val="51576FE4"/>
    <w:rsid w:val="51915487"/>
    <w:rsid w:val="519F488C"/>
    <w:rsid w:val="51B03B5F"/>
    <w:rsid w:val="51B362DA"/>
    <w:rsid w:val="51C5493F"/>
    <w:rsid w:val="51C94C21"/>
    <w:rsid w:val="520713EF"/>
    <w:rsid w:val="520923F4"/>
    <w:rsid w:val="520E2F00"/>
    <w:rsid w:val="5221335A"/>
    <w:rsid w:val="5222282D"/>
    <w:rsid w:val="52302A27"/>
    <w:rsid w:val="52450012"/>
    <w:rsid w:val="5253098E"/>
    <w:rsid w:val="52547F54"/>
    <w:rsid w:val="52753496"/>
    <w:rsid w:val="527F07B8"/>
    <w:rsid w:val="528033A6"/>
    <w:rsid w:val="5291537E"/>
    <w:rsid w:val="529320FE"/>
    <w:rsid w:val="52992845"/>
    <w:rsid w:val="529A6D62"/>
    <w:rsid w:val="529D4EC7"/>
    <w:rsid w:val="529E7DC9"/>
    <w:rsid w:val="52A1157D"/>
    <w:rsid w:val="52B753C1"/>
    <w:rsid w:val="52B940B1"/>
    <w:rsid w:val="52FE4D9E"/>
    <w:rsid w:val="530B2D71"/>
    <w:rsid w:val="530F6FAB"/>
    <w:rsid w:val="53117559"/>
    <w:rsid w:val="532452B2"/>
    <w:rsid w:val="532F31A9"/>
    <w:rsid w:val="533237C4"/>
    <w:rsid w:val="53331AF6"/>
    <w:rsid w:val="53403A04"/>
    <w:rsid w:val="53513120"/>
    <w:rsid w:val="535B4CF0"/>
    <w:rsid w:val="53693CDD"/>
    <w:rsid w:val="538006C3"/>
    <w:rsid w:val="539574B0"/>
    <w:rsid w:val="539C576C"/>
    <w:rsid w:val="53BA08AE"/>
    <w:rsid w:val="53BC278B"/>
    <w:rsid w:val="53D53162"/>
    <w:rsid w:val="53DF24DA"/>
    <w:rsid w:val="53F938E0"/>
    <w:rsid w:val="53FA59B7"/>
    <w:rsid w:val="5400093A"/>
    <w:rsid w:val="541A1B62"/>
    <w:rsid w:val="54210D44"/>
    <w:rsid w:val="543B6670"/>
    <w:rsid w:val="543E150A"/>
    <w:rsid w:val="545A24A8"/>
    <w:rsid w:val="54760CFA"/>
    <w:rsid w:val="547747B8"/>
    <w:rsid w:val="547F24EC"/>
    <w:rsid w:val="549403B5"/>
    <w:rsid w:val="54B35714"/>
    <w:rsid w:val="54B972CF"/>
    <w:rsid w:val="54C3004D"/>
    <w:rsid w:val="54CD2C7A"/>
    <w:rsid w:val="54DE554B"/>
    <w:rsid w:val="54E164AC"/>
    <w:rsid w:val="54E57B65"/>
    <w:rsid w:val="54F759FC"/>
    <w:rsid w:val="550348EE"/>
    <w:rsid w:val="55115528"/>
    <w:rsid w:val="551B6B41"/>
    <w:rsid w:val="55230827"/>
    <w:rsid w:val="55376345"/>
    <w:rsid w:val="55411377"/>
    <w:rsid w:val="558477DD"/>
    <w:rsid w:val="55992746"/>
    <w:rsid w:val="55A15285"/>
    <w:rsid w:val="55A96275"/>
    <w:rsid w:val="55AE7D4E"/>
    <w:rsid w:val="55B87486"/>
    <w:rsid w:val="55C9649C"/>
    <w:rsid w:val="55DA41BD"/>
    <w:rsid w:val="55DD766C"/>
    <w:rsid w:val="55EE0C0B"/>
    <w:rsid w:val="56063D5E"/>
    <w:rsid w:val="56177A73"/>
    <w:rsid w:val="5625421C"/>
    <w:rsid w:val="56290384"/>
    <w:rsid w:val="564306A0"/>
    <w:rsid w:val="564E3912"/>
    <w:rsid w:val="56530F5D"/>
    <w:rsid w:val="56546941"/>
    <w:rsid w:val="565B2641"/>
    <w:rsid w:val="566C201F"/>
    <w:rsid w:val="567F3662"/>
    <w:rsid w:val="569B59A6"/>
    <w:rsid w:val="56A30136"/>
    <w:rsid w:val="56BA15D9"/>
    <w:rsid w:val="56C8194B"/>
    <w:rsid w:val="56F65BBA"/>
    <w:rsid w:val="57132F95"/>
    <w:rsid w:val="572664EB"/>
    <w:rsid w:val="572D4E3F"/>
    <w:rsid w:val="572D56F6"/>
    <w:rsid w:val="5732287F"/>
    <w:rsid w:val="57326ADE"/>
    <w:rsid w:val="573C5E95"/>
    <w:rsid w:val="574A2E0C"/>
    <w:rsid w:val="57606393"/>
    <w:rsid w:val="57655A52"/>
    <w:rsid w:val="57733E7E"/>
    <w:rsid w:val="57746AA3"/>
    <w:rsid w:val="577E64AD"/>
    <w:rsid w:val="57894A0E"/>
    <w:rsid w:val="57C02302"/>
    <w:rsid w:val="57C63600"/>
    <w:rsid w:val="57D91936"/>
    <w:rsid w:val="57DA7B88"/>
    <w:rsid w:val="57E8417C"/>
    <w:rsid w:val="5812180A"/>
    <w:rsid w:val="5814296E"/>
    <w:rsid w:val="581D479D"/>
    <w:rsid w:val="583059FA"/>
    <w:rsid w:val="58315DB1"/>
    <w:rsid w:val="58430210"/>
    <w:rsid w:val="585838C1"/>
    <w:rsid w:val="58606A21"/>
    <w:rsid w:val="5863214C"/>
    <w:rsid w:val="58717162"/>
    <w:rsid w:val="58857496"/>
    <w:rsid w:val="589A7317"/>
    <w:rsid w:val="58B96227"/>
    <w:rsid w:val="58ED44C3"/>
    <w:rsid w:val="58F307D5"/>
    <w:rsid w:val="59647B33"/>
    <w:rsid w:val="596C14D3"/>
    <w:rsid w:val="596C7E01"/>
    <w:rsid w:val="597D4C6F"/>
    <w:rsid w:val="597F1615"/>
    <w:rsid w:val="59801346"/>
    <w:rsid w:val="598B0635"/>
    <w:rsid w:val="59A47948"/>
    <w:rsid w:val="59AF7FC1"/>
    <w:rsid w:val="59B937CD"/>
    <w:rsid w:val="59C77E08"/>
    <w:rsid w:val="59DC43D8"/>
    <w:rsid w:val="59F91E1B"/>
    <w:rsid w:val="5A270225"/>
    <w:rsid w:val="5A400973"/>
    <w:rsid w:val="5A4B3A12"/>
    <w:rsid w:val="5A737DB0"/>
    <w:rsid w:val="5A7747D4"/>
    <w:rsid w:val="5A7C4202"/>
    <w:rsid w:val="5A7F451A"/>
    <w:rsid w:val="5AA549B2"/>
    <w:rsid w:val="5AAE3BCD"/>
    <w:rsid w:val="5ADC7386"/>
    <w:rsid w:val="5AF17297"/>
    <w:rsid w:val="5B0608E3"/>
    <w:rsid w:val="5B184523"/>
    <w:rsid w:val="5B3461B1"/>
    <w:rsid w:val="5B5104F9"/>
    <w:rsid w:val="5B527A35"/>
    <w:rsid w:val="5B5D0855"/>
    <w:rsid w:val="5B654DE1"/>
    <w:rsid w:val="5B736D19"/>
    <w:rsid w:val="5B741EE3"/>
    <w:rsid w:val="5B7B407E"/>
    <w:rsid w:val="5B817F90"/>
    <w:rsid w:val="5BAC4E3A"/>
    <w:rsid w:val="5BB22BCA"/>
    <w:rsid w:val="5BBD471D"/>
    <w:rsid w:val="5BC87CA3"/>
    <w:rsid w:val="5C012B8C"/>
    <w:rsid w:val="5C362AF4"/>
    <w:rsid w:val="5C3D6C81"/>
    <w:rsid w:val="5C3E4720"/>
    <w:rsid w:val="5C526BB4"/>
    <w:rsid w:val="5C5D48E3"/>
    <w:rsid w:val="5C615D0C"/>
    <w:rsid w:val="5C694A3B"/>
    <w:rsid w:val="5C9B09C7"/>
    <w:rsid w:val="5CC85BD5"/>
    <w:rsid w:val="5CD851F3"/>
    <w:rsid w:val="5CDC5954"/>
    <w:rsid w:val="5CE018DD"/>
    <w:rsid w:val="5CE648D9"/>
    <w:rsid w:val="5D082632"/>
    <w:rsid w:val="5D1B01A7"/>
    <w:rsid w:val="5D327B1E"/>
    <w:rsid w:val="5D5B7D4A"/>
    <w:rsid w:val="5D5E4DB7"/>
    <w:rsid w:val="5D602734"/>
    <w:rsid w:val="5DA12EF6"/>
    <w:rsid w:val="5DB554E1"/>
    <w:rsid w:val="5DD00333"/>
    <w:rsid w:val="5E026C2D"/>
    <w:rsid w:val="5E074110"/>
    <w:rsid w:val="5E08087F"/>
    <w:rsid w:val="5E0854EE"/>
    <w:rsid w:val="5E214762"/>
    <w:rsid w:val="5E263CC0"/>
    <w:rsid w:val="5E284390"/>
    <w:rsid w:val="5E6200F2"/>
    <w:rsid w:val="5E7D301B"/>
    <w:rsid w:val="5E8E1E7B"/>
    <w:rsid w:val="5E933865"/>
    <w:rsid w:val="5E9D308B"/>
    <w:rsid w:val="5EB1181D"/>
    <w:rsid w:val="5EBC03E1"/>
    <w:rsid w:val="5EC24ED2"/>
    <w:rsid w:val="5EC33BF1"/>
    <w:rsid w:val="5EC52109"/>
    <w:rsid w:val="5EDC6635"/>
    <w:rsid w:val="5EDF242A"/>
    <w:rsid w:val="5EDF7832"/>
    <w:rsid w:val="5EEC4CC9"/>
    <w:rsid w:val="5EF03EB9"/>
    <w:rsid w:val="5EF85E29"/>
    <w:rsid w:val="5EFC424F"/>
    <w:rsid w:val="5F21609C"/>
    <w:rsid w:val="5F387DD8"/>
    <w:rsid w:val="5F5C6417"/>
    <w:rsid w:val="5F610F9A"/>
    <w:rsid w:val="5F6601DC"/>
    <w:rsid w:val="5F665EC3"/>
    <w:rsid w:val="5F69434A"/>
    <w:rsid w:val="5F700DD2"/>
    <w:rsid w:val="5F712D16"/>
    <w:rsid w:val="5F925D02"/>
    <w:rsid w:val="5FA6205D"/>
    <w:rsid w:val="5FBD7E8C"/>
    <w:rsid w:val="5FC72CEE"/>
    <w:rsid w:val="5FE17054"/>
    <w:rsid w:val="5FF04AF3"/>
    <w:rsid w:val="60234096"/>
    <w:rsid w:val="60285208"/>
    <w:rsid w:val="602B5EDC"/>
    <w:rsid w:val="602C20DD"/>
    <w:rsid w:val="60433DF0"/>
    <w:rsid w:val="60442474"/>
    <w:rsid w:val="60452D1D"/>
    <w:rsid w:val="6075462D"/>
    <w:rsid w:val="6082700E"/>
    <w:rsid w:val="60830691"/>
    <w:rsid w:val="60B12374"/>
    <w:rsid w:val="60B12B22"/>
    <w:rsid w:val="60C70A54"/>
    <w:rsid w:val="60CB5CDD"/>
    <w:rsid w:val="60D45B6B"/>
    <w:rsid w:val="60E92BEA"/>
    <w:rsid w:val="61073070"/>
    <w:rsid w:val="61177267"/>
    <w:rsid w:val="611C7D9F"/>
    <w:rsid w:val="6135490B"/>
    <w:rsid w:val="613B0F6B"/>
    <w:rsid w:val="613F6452"/>
    <w:rsid w:val="61623A9A"/>
    <w:rsid w:val="617519E8"/>
    <w:rsid w:val="617F354E"/>
    <w:rsid w:val="618A7FBC"/>
    <w:rsid w:val="619D7EDB"/>
    <w:rsid w:val="61B42655"/>
    <w:rsid w:val="61C55F03"/>
    <w:rsid w:val="61EB04E9"/>
    <w:rsid w:val="62296F68"/>
    <w:rsid w:val="622F4266"/>
    <w:rsid w:val="623A6737"/>
    <w:rsid w:val="62462A72"/>
    <w:rsid w:val="6259166C"/>
    <w:rsid w:val="62846CDE"/>
    <w:rsid w:val="6299419B"/>
    <w:rsid w:val="629F40C2"/>
    <w:rsid w:val="62A42D3A"/>
    <w:rsid w:val="62AC3ECF"/>
    <w:rsid w:val="62AD7C47"/>
    <w:rsid w:val="62B95A2A"/>
    <w:rsid w:val="62DE6052"/>
    <w:rsid w:val="62EA6460"/>
    <w:rsid w:val="63030F14"/>
    <w:rsid w:val="634B5349"/>
    <w:rsid w:val="634C56B2"/>
    <w:rsid w:val="634C71AA"/>
    <w:rsid w:val="63607EDD"/>
    <w:rsid w:val="63725792"/>
    <w:rsid w:val="637C0957"/>
    <w:rsid w:val="63806113"/>
    <w:rsid w:val="63942F1D"/>
    <w:rsid w:val="63D26110"/>
    <w:rsid w:val="63D27965"/>
    <w:rsid w:val="63D57637"/>
    <w:rsid w:val="63E477B4"/>
    <w:rsid w:val="63ED6827"/>
    <w:rsid w:val="64063AB3"/>
    <w:rsid w:val="640E2967"/>
    <w:rsid w:val="64124205"/>
    <w:rsid w:val="64300B2F"/>
    <w:rsid w:val="6453132F"/>
    <w:rsid w:val="64546739"/>
    <w:rsid w:val="645965B8"/>
    <w:rsid w:val="6470710A"/>
    <w:rsid w:val="649B6252"/>
    <w:rsid w:val="64A036C7"/>
    <w:rsid w:val="64A5586D"/>
    <w:rsid w:val="64B61035"/>
    <w:rsid w:val="64C22BED"/>
    <w:rsid w:val="64D82908"/>
    <w:rsid w:val="64D91523"/>
    <w:rsid w:val="64DB2E27"/>
    <w:rsid w:val="64DB381E"/>
    <w:rsid w:val="64EC5F80"/>
    <w:rsid w:val="65244480"/>
    <w:rsid w:val="65313EA1"/>
    <w:rsid w:val="654A64C0"/>
    <w:rsid w:val="654B1ECF"/>
    <w:rsid w:val="65585BAA"/>
    <w:rsid w:val="65622439"/>
    <w:rsid w:val="656E52FB"/>
    <w:rsid w:val="658D680B"/>
    <w:rsid w:val="659214C0"/>
    <w:rsid w:val="659D4F99"/>
    <w:rsid w:val="65A12770"/>
    <w:rsid w:val="65DC4ACB"/>
    <w:rsid w:val="65FC33BF"/>
    <w:rsid w:val="66035B03"/>
    <w:rsid w:val="660B3602"/>
    <w:rsid w:val="661462F7"/>
    <w:rsid w:val="66150AEC"/>
    <w:rsid w:val="661701F9"/>
    <w:rsid w:val="662A132F"/>
    <w:rsid w:val="66495ED8"/>
    <w:rsid w:val="66501015"/>
    <w:rsid w:val="6650158D"/>
    <w:rsid w:val="665A22F4"/>
    <w:rsid w:val="666A0329"/>
    <w:rsid w:val="666B7416"/>
    <w:rsid w:val="66707909"/>
    <w:rsid w:val="6672542F"/>
    <w:rsid w:val="667C4500"/>
    <w:rsid w:val="66811B16"/>
    <w:rsid w:val="66876490"/>
    <w:rsid w:val="668B5CC3"/>
    <w:rsid w:val="66901A75"/>
    <w:rsid w:val="669A3DF5"/>
    <w:rsid w:val="66B27F22"/>
    <w:rsid w:val="66D238E8"/>
    <w:rsid w:val="66E30E48"/>
    <w:rsid w:val="67010AE3"/>
    <w:rsid w:val="670F1CAF"/>
    <w:rsid w:val="67251571"/>
    <w:rsid w:val="67277FC8"/>
    <w:rsid w:val="67322B5A"/>
    <w:rsid w:val="67555158"/>
    <w:rsid w:val="675608AD"/>
    <w:rsid w:val="6759214B"/>
    <w:rsid w:val="6783286B"/>
    <w:rsid w:val="678A5539"/>
    <w:rsid w:val="6794124F"/>
    <w:rsid w:val="6796339F"/>
    <w:rsid w:val="679A2E90"/>
    <w:rsid w:val="67A4791B"/>
    <w:rsid w:val="67C373D8"/>
    <w:rsid w:val="67C63C85"/>
    <w:rsid w:val="67D652A3"/>
    <w:rsid w:val="67DD4F5A"/>
    <w:rsid w:val="67DE5687"/>
    <w:rsid w:val="67EE40CD"/>
    <w:rsid w:val="67F035BE"/>
    <w:rsid w:val="68002120"/>
    <w:rsid w:val="680726BA"/>
    <w:rsid w:val="68075EEC"/>
    <w:rsid w:val="68183231"/>
    <w:rsid w:val="68210EBB"/>
    <w:rsid w:val="68307350"/>
    <w:rsid w:val="687112E4"/>
    <w:rsid w:val="687D53C4"/>
    <w:rsid w:val="68811569"/>
    <w:rsid w:val="688D5AAB"/>
    <w:rsid w:val="689F47D3"/>
    <w:rsid w:val="68B51551"/>
    <w:rsid w:val="68C22BD8"/>
    <w:rsid w:val="68C83A2C"/>
    <w:rsid w:val="68E814B4"/>
    <w:rsid w:val="68F91EAB"/>
    <w:rsid w:val="69121E3A"/>
    <w:rsid w:val="69154D60"/>
    <w:rsid w:val="691F4D9F"/>
    <w:rsid w:val="69206401"/>
    <w:rsid w:val="69310EA3"/>
    <w:rsid w:val="693D1D24"/>
    <w:rsid w:val="694A6DBA"/>
    <w:rsid w:val="69670B4F"/>
    <w:rsid w:val="69676DA1"/>
    <w:rsid w:val="69723EB6"/>
    <w:rsid w:val="699954C4"/>
    <w:rsid w:val="699D33F8"/>
    <w:rsid w:val="699D36D6"/>
    <w:rsid w:val="69A7578F"/>
    <w:rsid w:val="69B02560"/>
    <w:rsid w:val="69B779BF"/>
    <w:rsid w:val="69C21B11"/>
    <w:rsid w:val="69CD7FDE"/>
    <w:rsid w:val="69DC6DBD"/>
    <w:rsid w:val="6A07214F"/>
    <w:rsid w:val="6A097C8B"/>
    <w:rsid w:val="6A2E2210"/>
    <w:rsid w:val="6A2F7723"/>
    <w:rsid w:val="6A6674DD"/>
    <w:rsid w:val="6A70797F"/>
    <w:rsid w:val="6A7E510F"/>
    <w:rsid w:val="6A8B4D12"/>
    <w:rsid w:val="6A9F44B9"/>
    <w:rsid w:val="6ABB21A6"/>
    <w:rsid w:val="6ACE0CEA"/>
    <w:rsid w:val="6ADB2F03"/>
    <w:rsid w:val="6ADB7D06"/>
    <w:rsid w:val="6AE2354A"/>
    <w:rsid w:val="6AEB5722"/>
    <w:rsid w:val="6AF8649D"/>
    <w:rsid w:val="6AFA7A77"/>
    <w:rsid w:val="6AFB24CA"/>
    <w:rsid w:val="6AFF2463"/>
    <w:rsid w:val="6B064398"/>
    <w:rsid w:val="6B0874EA"/>
    <w:rsid w:val="6B1F10AD"/>
    <w:rsid w:val="6B22477C"/>
    <w:rsid w:val="6B320A31"/>
    <w:rsid w:val="6B3555BC"/>
    <w:rsid w:val="6B423B68"/>
    <w:rsid w:val="6B43739A"/>
    <w:rsid w:val="6B491DA4"/>
    <w:rsid w:val="6B594672"/>
    <w:rsid w:val="6B594E10"/>
    <w:rsid w:val="6B5D28FD"/>
    <w:rsid w:val="6B5E4D2E"/>
    <w:rsid w:val="6BB05F5F"/>
    <w:rsid w:val="6BB640C5"/>
    <w:rsid w:val="6BBF2EC5"/>
    <w:rsid w:val="6BD9385B"/>
    <w:rsid w:val="6BE116D3"/>
    <w:rsid w:val="6C032026"/>
    <w:rsid w:val="6C0A5026"/>
    <w:rsid w:val="6C172E65"/>
    <w:rsid w:val="6C2A7865"/>
    <w:rsid w:val="6C382C77"/>
    <w:rsid w:val="6C3C6D68"/>
    <w:rsid w:val="6C523F43"/>
    <w:rsid w:val="6C620EF9"/>
    <w:rsid w:val="6C635F46"/>
    <w:rsid w:val="6C6A54FD"/>
    <w:rsid w:val="6C8859AD"/>
    <w:rsid w:val="6C950FE9"/>
    <w:rsid w:val="6CA1081C"/>
    <w:rsid w:val="6CAD26D2"/>
    <w:rsid w:val="6CBD35F3"/>
    <w:rsid w:val="6CC12C6C"/>
    <w:rsid w:val="6CC60283"/>
    <w:rsid w:val="6CF6746A"/>
    <w:rsid w:val="6D127D3D"/>
    <w:rsid w:val="6D1D60F5"/>
    <w:rsid w:val="6D2D03F9"/>
    <w:rsid w:val="6D3F3B91"/>
    <w:rsid w:val="6D655CEE"/>
    <w:rsid w:val="6D9E588E"/>
    <w:rsid w:val="6DA94262"/>
    <w:rsid w:val="6DB70CB4"/>
    <w:rsid w:val="6DE63DAE"/>
    <w:rsid w:val="6DF97515"/>
    <w:rsid w:val="6DFA6436"/>
    <w:rsid w:val="6E094352"/>
    <w:rsid w:val="6E0A2C2C"/>
    <w:rsid w:val="6E135B2D"/>
    <w:rsid w:val="6E1868BC"/>
    <w:rsid w:val="6E3C1122"/>
    <w:rsid w:val="6E511DCE"/>
    <w:rsid w:val="6E5864AC"/>
    <w:rsid w:val="6E6E0BD2"/>
    <w:rsid w:val="6E7579F1"/>
    <w:rsid w:val="6E8E4DD0"/>
    <w:rsid w:val="6E92195E"/>
    <w:rsid w:val="6E9D66DB"/>
    <w:rsid w:val="6EAB13DD"/>
    <w:rsid w:val="6EB97BB5"/>
    <w:rsid w:val="6F19182E"/>
    <w:rsid w:val="6F1E7F02"/>
    <w:rsid w:val="6F3626B6"/>
    <w:rsid w:val="6F3911E0"/>
    <w:rsid w:val="6F3F40AE"/>
    <w:rsid w:val="6F815117"/>
    <w:rsid w:val="6F9603E0"/>
    <w:rsid w:val="6F9A3937"/>
    <w:rsid w:val="6FAD7EFC"/>
    <w:rsid w:val="6FC413E7"/>
    <w:rsid w:val="6FC666A0"/>
    <w:rsid w:val="6FD16974"/>
    <w:rsid w:val="6FF173C5"/>
    <w:rsid w:val="70234308"/>
    <w:rsid w:val="702A2DF0"/>
    <w:rsid w:val="703E6382"/>
    <w:rsid w:val="704A4E48"/>
    <w:rsid w:val="708020B9"/>
    <w:rsid w:val="708F3F4F"/>
    <w:rsid w:val="70967F6C"/>
    <w:rsid w:val="709771CD"/>
    <w:rsid w:val="70B269EA"/>
    <w:rsid w:val="70DA275C"/>
    <w:rsid w:val="70ED0603"/>
    <w:rsid w:val="70F40DF1"/>
    <w:rsid w:val="70F84783"/>
    <w:rsid w:val="70FA71EB"/>
    <w:rsid w:val="71105F71"/>
    <w:rsid w:val="71155E1B"/>
    <w:rsid w:val="71180999"/>
    <w:rsid w:val="71393588"/>
    <w:rsid w:val="71431EA2"/>
    <w:rsid w:val="714D6812"/>
    <w:rsid w:val="716C28D0"/>
    <w:rsid w:val="7170308B"/>
    <w:rsid w:val="718E21F2"/>
    <w:rsid w:val="719E503F"/>
    <w:rsid w:val="71A14E1B"/>
    <w:rsid w:val="71A5799C"/>
    <w:rsid w:val="71AC3D91"/>
    <w:rsid w:val="71B67EE4"/>
    <w:rsid w:val="71C32FE3"/>
    <w:rsid w:val="71CC455D"/>
    <w:rsid w:val="71E65261"/>
    <w:rsid w:val="71F96A05"/>
    <w:rsid w:val="71FB0F8C"/>
    <w:rsid w:val="71FF0740"/>
    <w:rsid w:val="71FF0BB1"/>
    <w:rsid w:val="720B1226"/>
    <w:rsid w:val="72271AD1"/>
    <w:rsid w:val="7238693B"/>
    <w:rsid w:val="723D27EE"/>
    <w:rsid w:val="72563C24"/>
    <w:rsid w:val="725A3947"/>
    <w:rsid w:val="72856C67"/>
    <w:rsid w:val="72896FE0"/>
    <w:rsid w:val="728E5F19"/>
    <w:rsid w:val="72924162"/>
    <w:rsid w:val="7293150A"/>
    <w:rsid w:val="72936E59"/>
    <w:rsid w:val="72A31F40"/>
    <w:rsid w:val="72C07522"/>
    <w:rsid w:val="72DB607B"/>
    <w:rsid w:val="72F07E08"/>
    <w:rsid w:val="72F36FA5"/>
    <w:rsid w:val="73013FCC"/>
    <w:rsid w:val="73094C52"/>
    <w:rsid w:val="73245D0B"/>
    <w:rsid w:val="732F1389"/>
    <w:rsid w:val="733866F9"/>
    <w:rsid w:val="73547991"/>
    <w:rsid w:val="736938A6"/>
    <w:rsid w:val="736D75D5"/>
    <w:rsid w:val="7379604F"/>
    <w:rsid w:val="73796EEC"/>
    <w:rsid w:val="738E6C88"/>
    <w:rsid w:val="739169F9"/>
    <w:rsid w:val="739D39C9"/>
    <w:rsid w:val="73A52AED"/>
    <w:rsid w:val="73BA21C4"/>
    <w:rsid w:val="73CD33BB"/>
    <w:rsid w:val="73F44C19"/>
    <w:rsid w:val="73F751C6"/>
    <w:rsid w:val="74031DA5"/>
    <w:rsid w:val="740C6947"/>
    <w:rsid w:val="742D4234"/>
    <w:rsid w:val="74326F65"/>
    <w:rsid w:val="743F4CBA"/>
    <w:rsid w:val="74570DEB"/>
    <w:rsid w:val="747F58E7"/>
    <w:rsid w:val="748A000B"/>
    <w:rsid w:val="749330FE"/>
    <w:rsid w:val="74942EB6"/>
    <w:rsid w:val="749E119A"/>
    <w:rsid w:val="74A356E3"/>
    <w:rsid w:val="74D33EF6"/>
    <w:rsid w:val="74D6713B"/>
    <w:rsid w:val="74D81279"/>
    <w:rsid w:val="74DD4D68"/>
    <w:rsid w:val="75271A80"/>
    <w:rsid w:val="752A2448"/>
    <w:rsid w:val="753A11C8"/>
    <w:rsid w:val="757356C1"/>
    <w:rsid w:val="75752846"/>
    <w:rsid w:val="7585337A"/>
    <w:rsid w:val="758C45A7"/>
    <w:rsid w:val="75A41F9F"/>
    <w:rsid w:val="75A924F0"/>
    <w:rsid w:val="75B456A9"/>
    <w:rsid w:val="75C404DC"/>
    <w:rsid w:val="75C50AA6"/>
    <w:rsid w:val="75CF09D8"/>
    <w:rsid w:val="75D94171"/>
    <w:rsid w:val="75EA51DF"/>
    <w:rsid w:val="75EB4A8F"/>
    <w:rsid w:val="75F95F98"/>
    <w:rsid w:val="76051776"/>
    <w:rsid w:val="760B6FB5"/>
    <w:rsid w:val="760F67F7"/>
    <w:rsid w:val="765468FF"/>
    <w:rsid w:val="76735C7C"/>
    <w:rsid w:val="76880357"/>
    <w:rsid w:val="769D4442"/>
    <w:rsid w:val="76AF515A"/>
    <w:rsid w:val="76B21A6F"/>
    <w:rsid w:val="76B61F68"/>
    <w:rsid w:val="76CC1292"/>
    <w:rsid w:val="7706409E"/>
    <w:rsid w:val="77210231"/>
    <w:rsid w:val="77255706"/>
    <w:rsid w:val="773D64AD"/>
    <w:rsid w:val="77437CF9"/>
    <w:rsid w:val="775D3592"/>
    <w:rsid w:val="77723A3F"/>
    <w:rsid w:val="777703EE"/>
    <w:rsid w:val="777F79AC"/>
    <w:rsid w:val="778D2698"/>
    <w:rsid w:val="77A33763"/>
    <w:rsid w:val="77AB07A1"/>
    <w:rsid w:val="77B77A99"/>
    <w:rsid w:val="77D01510"/>
    <w:rsid w:val="77E2543A"/>
    <w:rsid w:val="780B1240"/>
    <w:rsid w:val="78203AD8"/>
    <w:rsid w:val="78437924"/>
    <w:rsid w:val="78447F3E"/>
    <w:rsid w:val="78531D63"/>
    <w:rsid w:val="78615D56"/>
    <w:rsid w:val="789045CC"/>
    <w:rsid w:val="789E5895"/>
    <w:rsid w:val="789F7B10"/>
    <w:rsid w:val="78A15077"/>
    <w:rsid w:val="78B54873"/>
    <w:rsid w:val="78C445BB"/>
    <w:rsid w:val="78C83AD2"/>
    <w:rsid w:val="790106AE"/>
    <w:rsid w:val="79200D1B"/>
    <w:rsid w:val="79306213"/>
    <w:rsid w:val="79424A2B"/>
    <w:rsid w:val="79501600"/>
    <w:rsid w:val="79516F63"/>
    <w:rsid w:val="79565544"/>
    <w:rsid w:val="795855B3"/>
    <w:rsid w:val="79614697"/>
    <w:rsid w:val="796660A9"/>
    <w:rsid w:val="796946E1"/>
    <w:rsid w:val="796E1666"/>
    <w:rsid w:val="798A5C60"/>
    <w:rsid w:val="79A07515"/>
    <w:rsid w:val="79A9103A"/>
    <w:rsid w:val="79AB36F9"/>
    <w:rsid w:val="79BA4CCB"/>
    <w:rsid w:val="79C51CFD"/>
    <w:rsid w:val="79DD1D32"/>
    <w:rsid w:val="79EF06E6"/>
    <w:rsid w:val="79F06745"/>
    <w:rsid w:val="79F93A46"/>
    <w:rsid w:val="7A00729F"/>
    <w:rsid w:val="7A402138"/>
    <w:rsid w:val="7A4A4C3A"/>
    <w:rsid w:val="7A4C2D4A"/>
    <w:rsid w:val="7A51551F"/>
    <w:rsid w:val="7A5C78B1"/>
    <w:rsid w:val="7A8B2BEC"/>
    <w:rsid w:val="7AAA2726"/>
    <w:rsid w:val="7AB636E5"/>
    <w:rsid w:val="7AC94B34"/>
    <w:rsid w:val="7ACA5466"/>
    <w:rsid w:val="7AD45C10"/>
    <w:rsid w:val="7AD522D5"/>
    <w:rsid w:val="7AE318EE"/>
    <w:rsid w:val="7B07175A"/>
    <w:rsid w:val="7B0A6A9B"/>
    <w:rsid w:val="7B0D2818"/>
    <w:rsid w:val="7B1228E5"/>
    <w:rsid w:val="7B370754"/>
    <w:rsid w:val="7B373907"/>
    <w:rsid w:val="7B3D676B"/>
    <w:rsid w:val="7B512E8E"/>
    <w:rsid w:val="7B5D35F7"/>
    <w:rsid w:val="7B6E054A"/>
    <w:rsid w:val="7B821819"/>
    <w:rsid w:val="7B92467D"/>
    <w:rsid w:val="7B994E29"/>
    <w:rsid w:val="7B9D745B"/>
    <w:rsid w:val="7BA563C1"/>
    <w:rsid w:val="7BAD3F83"/>
    <w:rsid w:val="7BB12C0A"/>
    <w:rsid w:val="7BC96E50"/>
    <w:rsid w:val="7BD6383B"/>
    <w:rsid w:val="7BDA36FA"/>
    <w:rsid w:val="7C005CAF"/>
    <w:rsid w:val="7C1D1542"/>
    <w:rsid w:val="7C254F1C"/>
    <w:rsid w:val="7C424F97"/>
    <w:rsid w:val="7C425CF3"/>
    <w:rsid w:val="7C4C2BF6"/>
    <w:rsid w:val="7C57415F"/>
    <w:rsid w:val="7C60651C"/>
    <w:rsid w:val="7C640CBC"/>
    <w:rsid w:val="7C71680F"/>
    <w:rsid w:val="7C796B8F"/>
    <w:rsid w:val="7C812178"/>
    <w:rsid w:val="7CA532B1"/>
    <w:rsid w:val="7CAB0750"/>
    <w:rsid w:val="7CB82DCD"/>
    <w:rsid w:val="7CBA4FE2"/>
    <w:rsid w:val="7CBC3199"/>
    <w:rsid w:val="7CD66DE6"/>
    <w:rsid w:val="7CE17085"/>
    <w:rsid w:val="7CE57657"/>
    <w:rsid w:val="7CF404F4"/>
    <w:rsid w:val="7CF624BE"/>
    <w:rsid w:val="7D224E25"/>
    <w:rsid w:val="7D3A42B0"/>
    <w:rsid w:val="7D3F20B7"/>
    <w:rsid w:val="7D6F1CD1"/>
    <w:rsid w:val="7D723F16"/>
    <w:rsid w:val="7D7D5B21"/>
    <w:rsid w:val="7D8E3A4A"/>
    <w:rsid w:val="7D9A2209"/>
    <w:rsid w:val="7DA83E82"/>
    <w:rsid w:val="7DA9460F"/>
    <w:rsid w:val="7DC80B9A"/>
    <w:rsid w:val="7DD47EE4"/>
    <w:rsid w:val="7DE03DE0"/>
    <w:rsid w:val="7DE40569"/>
    <w:rsid w:val="7DE5055D"/>
    <w:rsid w:val="7DE65FBE"/>
    <w:rsid w:val="7DFF6F70"/>
    <w:rsid w:val="7E1A21DD"/>
    <w:rsid w:val="7E2461C2"/>
    <w:rsid w:val="7E252460"/>
    <w:rsid w:val="7E397349"/>
    <w:rsid w:val="7E3B2283"/>
    <w:rsid w:val="7E4E00D8"/>
    <w:rsid w:val="7E8133F5"/>
    <w:rsid w:val="7E826950"/>
    <w:rsid w:val="7E89682B"/>
    <w:rsid w:val="7E8D6E52"/>
    <w:rsid w:val="7E904003"/>
    <w:rsid w:val="7E9064E4"/>
    <w:rsid w:val="7EA66AB7"/>
    <w:rsid w:val="7EB76F44"/>
    <w:rsid w:val="7EBB18A6"/>
    <w:rsid w:val="7EC64112"/>
    <w:rsid w:val="7ED20D09"/>
    <w:rsid w:val="7EDC56E4"/>
    <w:rsid w:val="7EF95DA4"/>
    <w:rsid w:val="7EFF5CB3"/>
    <w:rsid w:val="7F113622"/>
    <w:rsid w:val="7F314CA2"/>
    <w:rsid w:val="7F34107C"/>
    <w:rsid w:val="7F4339B5"/>
    <w:rsid w:val="7F4C1035"/>
    <w:rsid w:val="7F4D4BFE"/>
    <w:rsid w:val="7F7057E9"/>
    <w:rsid w:val="7F7405C7"/>
    <w:rsid w:val="7F7F75D9"/>
    <w:rsid w:val="7F820C5B"/>
    <w:rsid w:val="7F9D45ED"/>
    <w:rsid w:val="7FAF6BB9"/>
    <w:rsid w:val="7FC00B62"/>
    <w:rsid w:val="7FCB21B9"/>
    <w:rsid w:val="7FD0588A"/>
    <w:rsid w:val="7FDF55E5"/>
    <w:rsid w:val="7FE368AF"/>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8"/>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49"/>
    <w:autoRedefine/>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0"/>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1"/>
    <w:autoRedefine/>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qFormat/>
    <w:uiPriority w:val="0"/>
    <w:pPr>
      <w:tabs>
        <w:tab w:val="left" w:pos="1440"/>
      </w:tabs>
      <w:spacing w:before="260" w:after="260" w:line="360" w:lineRule="auto"/>
      <w:outlineLvl w:val="5"/>
    </w:pPr>
    <w:rPr>
      <w:sz w:val="30"/>
      <w:szCs w:val="18"/>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annotation text"/>
    <w:basedOn w:val="1"/>
    <w:link w:val="52"/>
    <w:autoRedefine/>
    <w:qFormat/>
    <w:uiPriority w:val="0"/>
    <w:pPr>
      <w:jc w:val="left"/>
    </w:pPr>
    <w:rPr>
      <w:rFonts w:ascii="宋体" w:cs="宋体"/>
      <w:kern w:val="0"/>
      <w:sz w:val="34"/>
      <w:szCs w:val="34"/>
    </w:rPr>
  </w:style>
  <w:style w:type="paragraph" w:styleId="11">
    <w:name w:val="Body Text"/>
    <w:basedOn w:val="1"/>
    <w:next w:val="1"/>
    <w:link w:val="53"/>
    <w:autoRedefine/>
    <w:unhideWhenUsed/>
    <w:qFormat/>
    <w:uiPriority w:val="99"/>
  </w:style>
  <w:style w:type="paragraph" w:styleId="12">
    <w:name w:val="Body Text Indent"/>
    <w:basedOn w:val="1"/>
    <w:link w:val="54"/>
    <w:autoRedefine/>
    <w:qFormat/>
    <w:uiPriority w:val="0"/>
    <w:pPr>
      <w:spacing w:after="120"/>
      <w:ind w:left="420" w:leftChars="200"/>
    </w:pPr>
  </w:style>
  <w:style w:type="paragraph" w:styleId="13">
    <w:name w:val="toc 5"/>
    <w:basedOn w:val="1"/>
    <w:next w:val="1"/>
    <w:autoRedefine/>
    <w:qFormat/>
    <w:uiPriority w:val="0"/>
    <w:pPr>
      <w:ind w:left="840"/>
      <w:jc w:val="left"/>
    </w:pPr>
    <w:rPr>
      <w:rFonts w:asciiTheme="minorHAnsi" w:hAnsiTheme="minorHAnsi"/>
      <w:sz w:val="18"/>
      <w:szCs w:val="18"/>
    </w:rPr>
  </w:style>
  <w:style w:type="paragraph" w:styleId="14">
    <w:name w:val="toc 3"/>
    <w:basedOn w:val="1"/>
    <w:next w:val="1"/>
    <w:autoRedefine/>
    <w:qFormat/>
    <w:uiPriority w:val="0"/>
    <w:pPr>
      <w:ind w:left="420"/>
      <w:jc w:val="left"/>
    </w:pPr>
    <w:rPr>
      <w:rFonts w:asciiTheme="minorHAnsi" w:hAnsiTheme="minorHAnsi"/>
      <w:i/>
      <w:iCs/>
      <w:sz w:val="20"/>
      <w:szCs w:val="20"/>
    </w:rPr>
  </w:style>
  <w:style w:type="paragraph" w:styleId="15">
    <w:name w:val="Plain Text"/>
    <w:basedOn w:val="1"/>
    <w:link w:val="55"/>
    <w:autoRedefine/>
    <w:qFormat/>
    <w:uiPriority w:val="0"/>
    <w:pPr>
      <w:spacing w:line="324" w:lineRule="auto"/>
    </w:pPr>
    <w:rPr>
      <w:rFonts w:ascii="宋体" w:hAnsi="Courier New" w:cs="宋体"/>
    </w:rPr>
  </w:style>
  <w:style w:type="paragraph" w:styleId="16">
    <w:name w:val="toc 8"/>
    <w:basedOn w:val="1"/>
    <w:next w:val="1"/>
    <w:autoRedefine/>
    <w:qFormat/>
    <w:uiPriority w:val="0"/>
    <w:pPr>
      <w:ind w:left="1470"/>
      <w:jc w:val="left"/>
    </w:pPr>
    <w:rPr>
      <w:rFonts w:asciiTheme="minorHAnsi" w:hAnsiTheme="minorHAnsi"/>
      <w:sz w:val="18"/>
      <w:szCs w:val="18"/>
    </w:rPr>
  </w:style>
  <w:style w:type="paragraph" w:styleId="17">
    <w:name w:val="Date"/>
    <w:basedOn w:val="1"/>
    <w:next w:val="1"/>
    <w:link w:val="79"/>
    <w:autoRedefine/>
    <w:qFormat/>
    <w:uiPriority w:val="0"/>
    <w:pPr>
      <w:ind w:left="100" w:leftChars="2500"/>
    </w:pPr>
  </w:style>
  <w:style w:type="paragraph" w:styleId="18">
    <w:name w:val="Body Text Indent 2"/>
    <w:basedOn w:val="1"/>
    <w:link w:val="56"/>
    <w:autoRedefine/>
    <w:qFormat/>
    <w:uiPriority w:val="0"/>
    <w:pPr>
      <w:spacing w:after="120" w:line="480" w:lineRule="auto"/>
      <w:ind w:left="420" w:leftChars="200"/>
    </w:pPr>
  </w:style>
  <w:style w:type="paragraph" w:styleId="19">
    <w:name w:val="Balloon Text"/>
    <w:basedOn w:val="1"/>
    <w:link w:val="57"/>
    <w:autoRedefine/>
    <w:qFormat/>
    <w:uiPriority w:val="0"/>
    <w:rPr>
      <w:sz w:val="18"/>
      <w:szCs w:val="18"/>
    </w:rPr>
  </w:style>
  <w:style w:type="paragraph" w:styleId="20">
    <w:name w:val="footer"/>
    <w:basedOn w:val="1"/>
    <w:link w:val="58"/>
    <w:autoRedefine/>
    <w:unhideWhenUsed/>
    <w:qFormat/>
    <w:uiPriority w:val="99"/>
    <w:pPr>
      <w:tabs>
        <w:tab w:val="center" w:pos="4153"/>
        <w:tab w:val="right" w:pos="8306"/>
      </w:tabs>
      <w:snapToGrid w:val="0"/>
      <w:jc w:val="left"/>
    </w:pPr>
    <w:rPr>
      <w:sz w:val="18"/>
      <w:szCs w:val="18"/>
    </w:rPr>
  </w:style>
  <w:style w:type="paragraph" w:styleId="21">
    <w:name w:val="header"/>
    <w:basedOn w:val="1"/>
    <w:link w:val="59"/>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39"/>
    <w:pPr>
      <w:spacing w:before="120" w:after="120"/>
      <w:jc w:val="left"/>
    </w:pPr>
    <w:rPr>
      <w:rFonts w:asciiTheme="minorHAnsi" w:hAnsiTheme="minorHAnsi"/>
      <w:b/>
      <w:bCs/>
      <w:caps/>
      <w:sz w:val="20"/>
      <w:szCs w:val="20"/>
    </w:rPr>
  </w:style>
  <w:style w:type="paragraph" w:styleId="23">
    <w:name w:val="toc 4"/>
    <w:basedOn w:val="1"/>
    <w:next w:val="1"/>
    <w:autoRedefine/>
    <w:qFormat/>
    <w:uiPriority w:val="0"/>
    <w:pPr>
      <w:ind w:left="630"/>
      <w:jc w:val="left"/>
    </w:pPr>
    <w:rPr>
      <w:rFonts w:asciiTheme="minorHAnsi" w:hAnsiTheme="minorHAnsi"/>
      <w:sz w:val="18"/>
      <w:szCs w:val="18"/>
    </w:rPr>
  </w:style>
  <w:style w:type="paragraph" w:styleId="24">
    <w:name w:val="footnote text"/>
    <w:basedOn w:val="1"/>
    <w:autoRedefine/>
    <w:qFormat/>
    <w:uiPriority w:val="0"/>
    <w:pPr>
      <w:snapToGrid w:val="0"/>
      <w:jc w:val="left"/>
    </w:pPr>
    <w:rPr>
      <w:sz w:val="18"/>
    </w:rPr>
  </w:style>
  <w:style w:type="paragraph" w:styleId="25">
    <w:name w:val="toc 6"/>
    <w:basedOn w:val="1"/>
    <w:next w:val="1"/>
    <w:autoRedefine/>
    <w:qFormat/>
    <w:uiPriority w:val="0"/>
    <w:pPr>
      <w:ind w:left="1050"/>
      <w:jc w:val="left"/>
    </w:pPr>
    <w:rPr>
      <w:rFonts w:asciiTheme="minorHAnsi" w:hAnsiTheme="minorHAnsi"/>
      <w:sz w:val="18"/>
      <w:szCs w:val="18"/>
    </w:rPr>
  </w:style>
  <w:style w:type="paragraph" w:styleId="26">
    <w:name w:val="table of figures"/>
    <w:basedOn w:val="1"/>
    <w:next w:val="1"/>
    <w:qFormat/>
    <w:uiPriority w:val="0"/>
    <w:pPr>
      <w:ind w:leftChars="200" w:hanging="200" w:hangingChars="200"/>
    </w:pPr>
  </w:style>
  <w:style w:type="paragraph" w:styleId="27">
    <w:name w:val="toc 2"/>
    <w:basedOn w:val="1"/>
    <w:next w:val="1"/>
    <w:autoRedefine/>
    <w:qFormat/>
    <w:uiPriority w:val="0"/>
    <w:pPr>
      <w:ind w:left="210"/>
      <w:jc w:val="left"/>
    </w:pPr>
    <w:rPr>
      <w:rFonts w:asciiTheme="minorHAnsi" w:hAnsiTheme="minorHAnsi"/>
      <w:smallCaps/>
      <w:sz w:val="20"/>
      <w:szCs w:val="20"/>
    </w:rPr>
  </w:style>
  <w:style w:type="paragraph" w:styleId="28">
    <w:name w:val="toc 9"/>
    <w:basedOn w:val="1"/>
    <w:next w:val="1"/>
    <w:autoRedefine/>
    <w:qFormat/>
    <w:uiPriority w:val="0"/>
    <w:pPr>
      <w:ind w:left="1680"/>
      <w:jc w:val="left"/>
    </w:pPr>
    <w:rPr>
      <w:rFonts w:asciiTheme="minorHAnsi" w:hAnsiTheme="minorHAnsi"/>
      <w:sz w:val="18"/>
      <w:szCs w:val="18"/>
    </w:rPr>
  </w:style>
  <w:style w:type="paragraph" w:styleId="29">
    <w:name w:val="Body Text 2"/>
    <w:basedOn w:val="1"/>
    <w:link w:val="60"/>
    <w:autoRedefine/>
    <w:qFormat/>
    <w:uiPriority w:val="0"/>
    <w:pPr>
      <w:jc w:val="center"/>
    </w:pPr>
    <w:rPr>
      <w:b/>
      <w:bCs/>
      <w:spacing w:val="-20"/>
      <w:w w:val="130"/>
      <w:sz w:val="48"/>
      <w:szCs w:val="48"/>
    </w:rPr>
  </w:style>
  <w:style w:type="paragraph" w:styleId="30">
    <w:name w:val="HTML Preformatted"/>
    <w:basedOn w:val="1"/>
    <w:autoRedefine/>
    <w:qFormat/>
    <w:uiPriority w:val="0"/>
    <w:rPr>
      <w:rFonts w:ascii="Courier New" w:hAnsi="Courier New" w:cs="Courier New"/>
      <w:sz w:val="20"/>
      <w:szCs w:val="20"/>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2">
    <w:name w:val="annotation subject"/>
    <w:basedOn w:val="10"/>
    <w:next w:val="1"/>
    <w:link w:val="89"/>
    <w:autoRedefine/>
    <w:qFormat/>
    <w:uiPriority w:val="0"/>
    <w:rPr>
      <w:rFonts w:ascii="Calibri" w:cs="Calibri"/>
      <w:b/>
      <w:bCs/>
      <w:kern w:val="2"/>
      <w:sz w:val="21"/>
      <w:szCs w:val="21"/>
    </w:rPr>
  </w:style>
  <w:style w:type="paragraph" w:styleId="33">
    <w:name w:val="Body Text First Indent"/>
    <w:basedOn w:val="11"/>
    <w:next w:val="34"/>
    <w:autoRedefine/>
    <w:qFormat/>
    <w:uiPriority w:val="0"/>
    <w:pPr>
      <w:ind w:firstLine="420" w:firstLineChars="100"/>
    </w:pPr>
    <w:rPr>
      <w:sz w:val="34"/>
    </w:rPr>
  </w:style>
  <w:style w:type="paragraph" w:styleId="34">
    <w:name w:val="Body Text First Indent 2"/>
    <w:basedOn w:val="12"/>
    <w:autoRedefine/>
    <w:qFormat/>
    <w:uiPriority w:val="99"/>
    <w:pPr>
      <w:tabs>
        <w:tab w:val="left" w:pos="4900"/>
      </w:tabs>
      <w:ind w:firstLine="420" w:firstLineChars="200"/>
    </w:pPr>
  </w:style>
  <w:style w:type="table" w:styleId="36">
    <w:name w:val="Table Grid"/>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autoRedefine/>
    <w:qFormat/>
    <w:uiPriority w:val="0"/>
    <w:rPr>
      <w:b/>
      <w:bCs/>
      <w:sz w:val="24"/>
      <w:szCs w:val="24"/>
    </w:rPr>
  </w:style>
  <w:style w:type="character" w:styleId="39">
    <w:name w:val="page number"/>
    <w:basedOn w:val="37"/>
    <w:autoRedefine/>
    <w:qFormat/>
    <w:uiPriority w:val="0"/>
  </w:style>
  <w:style w:type="character" w:styleId="40">
    <w:name w:val="Emphasis"/>
    <w:autoRedefine/>
    <w:qFormat/>
    <w:uiPriority w:val="0"/>
    <w:rPr>
      <w:i/>
      <w:iCs/>
    </w:rPr>
  </w:style>
  <w:style w:type="character" w:styleId="41">
    <w:name w:val="Hyperlink"/>
    <w:autoRedefine/>
    <w:qFormat/>
    <w:uiPriority w:val="99"/>
    <w:rPr>
      <w:color w:val="0000FF"/>
      <w:u w:val="single"/>
    </w:rPr>
  </w:style>
  <w:style w:type="character" w:styleId="42">
    <w:name w:val="annotation reference"/>
    <w:autoRedefine/>
    <w:qFormat/>
    <w:uiPriority w:val="0"/>
    <w:rPr>
      <w:sz w:val="21"/>
      <w:szCs w:val="21"/>
    </w:rPr>
  </w:style>
  <w:style w:type="character" w:styleId="43">
    <w:name w:val="HTML Cite"/>
    <w:autoRedefine/>
    <w:qFormat/>
    <w:uiPriority w:val="0"/>
    <w:rPr>
      <w:sz w:val="24"/>
      <w:szCs w:val="24"/>
    </w:rPr>
  </w:style>
  <w:style w:type="character" w:styleId="44">
    <w:name w:val="footnote reference"/>
    <w:basedOn w:val="37"/>
    <w:autoRedefine/>
    <w:qFormat/>
    <w:uiPriority w:val="0"/>
    <w:rPr>
      <w:vertAlign w:val="superscript"/>
    </w:rPr>
  </w:style>
  <w:style w:type="paragraph" w:customStyle="1" w:styleId="45">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6">
    <w:name w:val="列出段落1"/>
    <w:basedOn w:val="1"/>
    <w:autoRedefine/>
    <w:qFormat/>
    <w:uiPriority w:val="99"/>
    <w:pPr>
      <w:ind w:firstLine="420" w:firstLineChars="200"/>
    </w:pPr>
  </w:style>
  <w:style w:type="paragraph" w:customStyle="1" w:styleId="47">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8">
    <w:name w:val="标题 1 Char"/>
    <w:basedOn w:val="37"/>
    <w:link w:val="2"/>
    <w:autoRedefine/>
    <w:qFormat/>
    <w:locked/>
    <w:uiPriority w:val="99"/>
    <w:rPr>
      <w:rFonts w:ascii="Calibri" w:hAnsi="Calibri" w:cs="Calibri"/>
      <w:b/>
      <w:bCs/>
      <w:kern w:val="44"/>
      <w:sz w:val="44"/>
      <w:szCs w:val="44"/>
    </w:rPr>
  </w:style>
  <w:style w:type="character" w:customStyle="1" w:styleId="49">
    <w:name w:val="标题 2 Char"/>
    <w:link w:val="3"/>
    <w:autoRedefine/>
    <w:qFormat/>
    <w:locked/>
    <w:uiPriority w:val="99"/>
    <w:rPr>
      <w:rFonts w:ascii="Cambria" w:hAnsi="Cambria" w:eastAsia="宋体" w:cs="Cambria"/>
      <w:b/>
      <w:bCs/>
      <w:sz w:val="32"/>
      <w:szCs w:val="32"/>
    </w:rPr>
  </w:style>
  <w:style w:type="character" w:customStyle="1" w:styleId="50">
    <w:name w:val="标题 3 Char"/>
    <w:link w:val="4"/>
    <w:autoRedefine/>
    <w:semiHidden/>
    <w:qFormat/>
    <w:locked/>
    <w:uiPriority w:val="99"/>
    <w:rPr>
      <w:rFonts w:ascii="Calibri" w:hAnsi="Calibri" w:cs="Calibri"/>
      <w:b/>
      <w:bCs/>
      <w:sz w:val="32"/>
      <w:szCs w:val="32"/>
    </w:rPr>
  </w:style>
  <w:style w:type="character" w:customStyle="1" w:styleId="51">
    <w:name w:val="标题 4 Char"/>
    <w:link w:val="5"/>
    <w:autoRedefine/>
    <w:semiHidden/>
    <w:qFormat/>
    <w:uiPriority w:val="9"/>
    <w:rPr>
      <w:rFonts w:ascii="Cambria" w:hAnsi="Cambria" w:eastAsia="宋体" w:cs="Times New Roman"/>
      <w:b/>
      <w:bCs/>
      <w:sz w:val="28"/>
      <w:szCs w:val="28"/>
    </w:rPr>
  </w:style>
  <w:style w:type="character" w:customStyle="1" w:styleId="52">
    <w:name w:val="批注文字 Char"/>
    <w:link w:val="10"/>
    <w:autoRedefine/>
    <w:qFormat/>
    <w:locked/>
    <w:uiPriority w:val="99"/>
    <w:rPr>
      <w:rFonts w:ascii="宋体" w:hAnsi="Calibri" w:eastAsia="宋体" w:cs="宋体"/>
      <w:sz w:val="22"/>
      <w:szCs w:val="22"/>
    </w:rPr>
  </w:style>
  <w:style w:type="character" w:customStyle="1" w:styleId="53">
    <w:name w:val="正文文本 Char"/>
    <w:link w:val="11"/>
    <w:autoRedefine/>
    <w:semiHidden/>
    <w:qFormat/>
    <w:locked/>
    <w:uiPriority w:val="99"/>
    <w:rPr>
      <w:rFonts w:ascii="Calibri" w:hAnsi="Calibri" w:cs="Calibri"/>
    </w:rPr>
  </w:style>
  <w:style w:type="character" w:customStyle="1" w:styleId="54">
    <w:name w:val="正文文本缩进 Char"/>
    <w:link w:val="12"/>
    <w:autoRedefine/>
    <w:semiHidden/>
    <w:qFormat/>
    <w:uiPriority w:val="99"/>
    <w:rPr>
      <w:rFonts w:ascii="Calibri" w:hAnsi="Calibri" w:cs="Calibri"/>
      <w:szCs w:val="21"/>
    </w:rPr>
  </w:style>
  <w:style w:type="character" w:customStyle="1" w:styleId="55">
    <w:name w:val="纯文本 Char"/>
    <w:link w:val="15"/>
    <w:autoRedefine/>
    <w:qFormat/>
    <w:locked/>
    <w:uiPriority w:val="0"/>
    <w:rPr>
      <w:rFonts w:ascii="宋体" w:hAnsi="Courier New" w:cs="宋体"/>
      <w:sz w:val="21"/>
      <w:szCs w:val="21"/>
    </w:rPr>
  </w:style>
  <w:style w:type="character" w:customStyle="1" w:styleId="56">
    <w:name w:val="正文文本缩进 2 Char"/>
    <w:link w:val="18"/>
    <w:autoRedefine/>
    <w:semiHidden/>
    <w:qFormat/>
    <w:locked/>
    <w:uiPriority w:val="99"/>
    <w:rPr>
      <w:rFonts w:ascii="Calibri" w:hAnsi="Calibri" w:cs="Calibri"/>
    </w:rPr>
  </w:style>
  <w:style w:type="character" w:customStyle="1" w:styleId="57">
    <w:name w:val="批注框文本 Char"/>
    <w:link w:val="19"/>
    <w:autoRedefine/>
    <w:qFormat/>
    <w:locked/>
    <w:uiPriority w:val="99"/>
    <w:rPr>
      <w:rFonts w:ascii="Calibri" w:hAnsi="Calibri" w:eastAsia="宋体" w:cs="Calibri"/>
      <w:kern w:val="2"/>
      <w:sz w:val="18"/>
      <w:szCs w:val="18"/>
    </w:rPr>
  </w:style>
  <w:style w:type="character" w:customStyle="1" w:styleId="58">
    <w:name w:val="页脚 Char"/>
    <w:basedOn w:val="37"/>
    <w:link w:val="20"/>
    <w:autoRedefine/>
    <w:qFormat/>
    <w:locked/>
    <w:uiPriority w:val="99"/>
    <w:rPr>
      <w:rFonts w:ascii="Calibri" w:hAnsi="Calibri" w:cs="Calibri"/>
      <w:sz w:val="18"/>
      <w:szCs w:val="18"/>
    </w:rPr>
  </w:style>
  <w:style w:type="character" w:customStyle="1" w:styleId="59">
    <w:name w:val="页眉 Char"/>
    <w:basedOn w:val="37"/>
    <w:link w:val="21"/>
    <w:autoRedefine/>
    <w:qFormat/>
    <w:locked/>
    <w:uiPriority w:val="99"/>
    <w:rPr>
      <w:rFonts w:ascii="Calibri" w:hAnsi="Calibri" w:cs="Calibri"/>
      <w:sz w:val="18"/>
      <w:szCs w:val="18"/>
    </w:rPr>
  </w:style>
  <w:style w:type="character" w:customStyle="1" w:styleId="60">
    <w:name w:val="正文文本 2 Char"/>
    <w:link w:val="29"/>
    <w:autoRedefine/>
    <w:semiHidden/>
    <w:qFormat/>
    <w:locked/>
    <w:uiPriority w:val="99"/>
    <w:rPr>
      <w:rFonts w:ascii="Calibri" w:hAnsi="Calibri" w:cs="Calibri"/>
    </w:rPr>
  </w:style>
  <w:style w:type="paragraph" w:customStyle="1" w:styleId="61">
    <w:name w:val="Char2 Char Char Char"/>
    <w:basedOn w:val="1"/>
    <w:autoRedefine/>
    <w:qFormat/>
    <w:uiPriority w:val="99"/>
    <w:rPr>
      <w:rFonts w:ascii="Tahoma" w:hAnsi="Tahoma" w:cs="Tahoma"/>
      <w:sz w:val="24"/>
      <w:szCs w:val="24"/>
    </w:rPr>
  </w:style>
  <w:style w:type="character" w:customStyle="1" w:styleId="62">
    <w:name w:val="10"/>
    <w:autoRedefine/>
    <w:qFormat/>
    <w:uiPriority w:val="99"/>
    <w:rPr>
      <w:rFonts w:ascii="Calibri" w:hAnsi="Calibri" w:cs="Calibri"/>
    </w:rPr>
  </w:style>
  <w:style w:type="character" w:customStyle="1" w:styleId="63">
    <w:name w:val="15"/>
    <w:autoRedefine/>
    <w:qFormat/>
    <w:uiPriority w:val="99"/>
    <w:rPr>
      <w:rFonts w:ascii="Calibri" w:hAnsi="Calibri" w:cs="Calibri"/>
      <w:i/>
      <w:iCs/>
    </w:rPr>
  </w:style>
  <w:style w:type="paragraph" w:customStyle="1" w:styleId="64">
    <w:name w:val="_Style 2"/>
    <w:basedOn w:val="1"/>
    <w:autoRedefine/>
    <w:qFormat/>
    <w:uiPriority w:val="99"/>
    <w:pPr>
      <w:ind w:firstLine="420" w:firstLineChars="200"/>
    </w:pPr>
  </w:style>
  <w:style w:type="character" w:customStyle="1" w:styleId="65">
    <w:name w:val="apple-style-span"/>
    <w:basedOn w:val="37"/>
    <w:autoRedefine/>
    <w:qFormat/>
    <w:uiPriority w:val="99"/>
  </w:style>
  <w:style w:type="character" w:customStyle="1" w:styleId="66">
    <w:name w:val="del"/>
    <w:basedOn w:val="37"/>
    <w:autoRedefine/>
    <w:qFormat/>
    <w:uiPriority w:val="99"/>
  </w:style>
  <w:style w:type="character" w:customStyle="1" w:styleId="67">
    <w:name w:val="del1"/>
    <w:autoRedefine/>
    <w:qFormat/>
    <w:uiPriority w:val="99"/>
    <w:rPr>
      <w:vanish/>
      <w:color w:val="auto"/>
      <w:sz w:val="18"/>
      <w:szCs w:val="18"/>
      <w:u w:val="single"/>
    </w:rPr>
  </w:style>
  <w:style w:type="character" w:customStyle="1" w:styleId="68">
    <w:name w:val="del2"/>
    <w:autoRedefine/>
    <w:qFormat/>
    <w:uiPriority w:val="99"/>
    <w:rPr>
      <w:vanish/>
    </w:rPr>
  </w:style>
  <w:style w:type="character" w:customStyle="1" w:styleId="69">
    <w:name w:val="del3"/>
    <w:autoRedefine/>
    <w:qFormat/>
    <w:uiPriority w:val="99"/>
    <w:rPr>
      <w:vanish/>
    </w:rPr>
  </w:style>
  <w:style w:type="paragraph" w:customStyle="1" w:styleId="70">
    <w:name w:val="_Style 4"/>
    <w:basedOn w:val="1"/>
    <w:autoRedefine/>
    <w:qFormat/>
    <w:uiPriority w:val="99"/>
    <w:pPr>
      <w:ind w:firstLine="420" w:firstLineChars="200"/>
    </w:pPr>
  </w:style>
  <w:style w:type="paragraph" w:customStyle="1" w:styleId="71">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2">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3">
    <w:name w:val="font101"/>
    <w:basedOn w:val="37"/>
    <w:autoRedefine/>
    <w:qFormat/>
    <w:uiPriority w:val="0"/>
    <w:rPr>
      <w:rFonts w:hint="eastAsia" w:ascii="宋体" w:hAnsi="宋体" w:eastAsia="宋体" w:cs="宋体"/>
      <w:color w:val="000000"/>
      <w:sz w:val="24"/>
      <w:szCs w:val="24"/>
      <w:u w:val="none"/>
    </w:rPr>
  </w:style>
  <w:style w:type="character" w:customStyle="1" w:styleId="74">
    <w:name w:val="font91"/>
    <w:basedOn w:val="37"/>
    <w:autoRedefine/>
    <w:qFormat/>
    <w:uiPriority w:val="0"/>
    <w:rPr>
      <w:rFonts w:hint="eastAsia" w:ascii="宋体" w:hAnsi="宋体" w:eastAsia="宋体" w:cs="宋体"/>
      <w:color w:val="000000"/>
      <w:sz w:val="24"/>
      <w:szCs w:val="24"/>
      <w:u w:val="none"/>
    </w:rPr>
  </w:style>
  <w:style w:type="character" w:customStyle="1" w:styleId="75">
    <w:name w:val="font41"/>
    <w:basedOn w:val="37"/>
    <w:autoRedefine/>
    <w:qFormat/>
    <w:uiPriority w:val="0"/>
    <w:rPr>
      <w:rFonts w:hint="eastAsia" w:ascii="宋体" w:hAnsi="宋体" w:eastAsia="宋体" w:cs="宋体"/>
      <w:color w:val="000000"/>
      <w:sz w:val="24"/>
      <w:szCs w:val="24"/>
      <w:u w:val="none"/>
    </w:rPr>
  </w:style>
  <w:style w:type="character" w:customStyle="1" w:styleId="76">
    <w:name w:val="font21"/>
    <w:basedOn w:val="37"/>
    <w:autoRedefine/>
    <w:qFormat/>
    <w:uiPriority w:val="0"/>
    <w:rPr>
      <w:rFonts w:hint="eastAsia" w:ascii="宋体" w:hAnsi="宋体" w:eastAsia="宋体" w:cs="宋体"/>
      <w:color w:val="000000"/>
      <w:sz w:val="24"/>
      <w:szCs w:val="24"/>
      <w:u w:val="none"/>
    </w:rPr>
  </w:style>
  <w:style w:type="paragraph" w:styleId="77">
    <w:name w:val="List Paragraph"/>
    <w:basedOn w:val="1"/>
    <w:autoRedefine/>
    <w:qFormat/>
    <w:uiPriority w:val="99"/>
    <w:pPr>
      <w:ind w:firstLine="420" w:firstLineChars="200"/>
    </w:pPr>
  </w:style>
  <w:style w:type="table" w:customStyle="1" w:styleId="78">
    <w:name w:val="TableGrid"/>
    <w:autoRedefine/>
    <w:qFormat/>
    <w:uiPriority w:val="0"/>
    <w:rPr>
      <w:kern w:val="2"/>
      <w:sz w:val="21"/>
      <w:szCs w:val="22"/>
    </w:rPr>
    <w:tblPr>
      <w:tblCellMar>
        <w:top w:w="0" w:type="dxa"/>
        <w:left w:w="0" w:type="dxa"/>
        <w:bottom w:w="0" w:type="dxa"/>
        <w:right w:w="0" w:type="dxa"/>
      </w:tblCellMar>
    </w:tblPr>
  </w:style>
  <w:style w:type="character" w:customStyle="1" w:styleId="79">
    <w:name w:val="日期 Char"/>
    <w:basedOn w:val="37"/>
    <w:link w:val="17"/>
    <w:autoRedefine/>
    <w:qFormat/>
    <w:uiPriority w:val="0"/>
    <w:rPr>
      <w:rFonts w:ascii="Calibri" w:hAnsi="Calibri" w:cs="Calibri"/>
      <w:kern w:val="2"/>
      <w:sz w:val="21"/>
      <w:szCs w:val="21"/>
    </w:rPr>
  </w:style>
  <w:style w:type="character" w:customStyle="1" w:styleId="80">
    <w:name w:val="List Paragraph Char1"/>
    <w:link w:val="81"/>
    <w:autoRedefine/>
    <w:qFormat/>
    <w:locked/>
    <w:uiPriority w:val="0"/>
    <w:rPr>
      <w:sz w:val="24"/>
    </w:rPr>
  </w:style>
  <w:style w:type="paragraph" w:customStyle="1" w:styleId="81">
    <w:name w:val="列出段落2"/>
    <w:basedOn w:val="1"/>
    <w:link w:val="80"/>
    <w:autoRedefine/>
    <w:qFormat/>
    <w:uiPriority w:val="0"/>
    <w:pPr>
      <w:ind w:firstLine="420" w:firstLineChars="200"/>
    </w:pPr>
    <w:rPr>
      <w:rFonts w:ascii="Times New Roman" w:hAnsi="Times New Roman" w:cs="Times New Roman"/>
      <w:kern w:val="0"/>
      <w:sz w:val="24"/>
      <w:szCs w:val="20"/>
    </w:rPr>
  </w:style>
  <w:style w:type="table" w:customStyle="1" w:styleId="82">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3">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89">
    <w:name w:val="批注主题 Char"/>
    <w:basedOn w:val="52"/>
    <w:link w:val="32"/>
    <w:autoRedefine/>
    <w:semiHidden/>
    <w:qFormat/>
    <w:uiPriority w:val="99"/>
    <w:rPr>
      <w:rFonts w:ascii="Calibri" w:hAnsi="Calibri" w:eastAsia="宋体" w:cs="Calibri"/>
      <w:b/>
      <w:bCs/>
      <w:kern w:val="2"/>
      <w:sz w:val="21"/>
      <w:szCs w:val="21"/>
    </w:rPr>
  </w:style>
  <w:style w:type="paragraph" w:customStyle="1" w:styleId="90">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1">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2">
    <w:name w:val="TableGrid9"/>
    <w:autoRedefine/>
    <w:qFormat/>
    <w:uiPriority w:val="0"/>
    <w:rPr>
      <w:kern w:val="2"/>
      <w:sz w:val="21"/>
      <w:szCs w:val="22"/>
    </w:rPr>
    <w:tblPr>
      <w:tblCellMar>
        <w:top w:w="0" w:type="dxa"/>
        <w:left w:w="0" w:type="dxa"/>
        <w:bottom w:w="0" w:type="dxa"/>
        <w:right w:w="0" w:type="dxa"/>
      </w:tblCellMar>
    </w:tblPr>
  </w:style>
  <w:style w:type="table" w:customStyle="1" w:styleId="93">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2"/>
    <w:autoRedefine/>
    <w:qFormat/>
    <w:uiPriority w:val="0"/>
    <w:rPr>
      <w:kern w:val="2"/>
      <w:sz w:val="21"/>
      <w:szCs w:val="22"/>
    </w:rPr>
    <w:tblPr>
      <w:tblCellMar>
        <w:top w:w="0" w:type="dxa"/>
        <w:left w:w="0" w:type="dxa"/>
        <w:bottom w:w="0" w:type="dxa"/>
        <w:right w:w="0" w:type="dxa"/>
      </w:tblCellMar>
    </w:tblPr>
  </w:style>
  <w:style w:type="table" w:customStyle="1" w:styleId="96">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网格型1"/>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high-light-bg4"/>
    <w:basedOn w:val="37"/>
    <w:autoRedefine/>
    <w:qFormat/>
    <w:uiPriority w:val="0"/>
  </w:style>
  <w:style w:type="paragraph" w:customStyle="1" w:styleId="101">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2">
    <w:name w:val="p16"/>
    <w:basedOn w:val="1"/>
    <w:autoRedefine/>
    <w:qFormat/>
    <w:uiPriority w:val="0"/>
    <w:pPr>
      <w:adjustRightInd/>
      <w:spacing w:after="0"/>
    </w:pPr>
    <w:rPr>
      <w:rFonts w:ascii="宋体" w:hAnsi="宋体" w:eastAsia="宋体" w:cs="宋体"/>
      <w:sz w:val="28"/>
      <w:szCs w:val="28"/>
    </w:rPr>
  </w:style>
  <w:style w:type="paragraph" w:customStyle="1" w:styleId="103">
    <w:name w:val="+正文"/>
    <w:basedOn w:val="1"/>
    <w:autoRedefine/>
    <w:qFormat/>
    <w:uiPriority w:val="99"/>
    <w:pPr>
      <w:spacing w:line="360" w:lineRule="auto"/>
      <w:ind w:firstLine="200" w:firstLineChars="200"/>
    </w:pPr>
  </w:style>
  <w:style w:type="paragraph" w:customStyle="1" w:styleId="104">
    <w:name w:val="正文格式"/>
    <w:basedOn w:val="1"/>
    <w:autoRedefine/>
    <w:qFormat/>
    <w:uiPriority w:val="0"/>
    <w:pPr>
      <w:adjustRightInd w:val="0"/>
      <w:snapToGrid w:val="0"/>
      <w:spacing w:line="400" w:lineRule="atLeast"/>
      <w:ind w:firstLine="482"/>
      <w:textAlignment w:val="baseline"/>
    </w:pPr>
  </w:style>
  <w:style w:type="character" w:customStyle="1" w:styleId="105">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6">
    <w:name w:val="1正文"/>
    <w:basedOn w:val="31"/>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07">
    <w:name w:val="Table Paragraph"/>
    <w:basedOn w:val="1"/>
    <w:autoRedefine/>
    <w:unhideWhenUsed/>
    <w:qFormat/>
    <w:uiPriority w:val="0"/>
    <w:pPr>
      <w:spacing w:beforeLines="0" w:afterLines="0"/>
      <w:jc w:val="left"/>
    </w:pPr>
    <w:rPr>
      <w:rFonts w:hint="default" w:eastAsia="Calibri"/>
      <w:kern w:val="0"/>
      <w:sz w:val="22"/>
      <w:lang w:eastAsia="en-US"/>
    </w:rPr>
  </w:style>
  <w:style w:type="paragraph" w:customStyle="1" w:styleId="108">
    <w:name w:val="正文 New"/>
    <w:autoRedefine/>
    <w:qFormat/>
    <w:uiPriority w:val="99"/>
    <w:pPr>
      <w:widowControl w:val="0"/>
      <w:jc w:val="both"/>
    </w:pPr>
    <w:rPr>
      <w:rFonts w:ascii="Calibri" w:hAnsi="Calibri" w:eastAsia="宋体" w:cs="Times New Roman"/>
      <w:lang w:val="en-US" w:eastAsia="zh-CN" w:bidi="ar-SA"/>
    </w:rPr>
  </w:style>
  <w:style w:type="paragraph" w:customStyle="1" w:styleId="109">
    <w:name w:val="Table Text"/>
    <w:basedOn w:val="1"/>
    <w:autoRedefine/>
    <w:semiHidden/>
    <w:qFormat/>
    <w:uiPriority w:val="0"/>
    <w:rPr>
      <w:rFonts w:ascii="宋体" w:hAnsi="宋体" w:eastAsia="宋体" w:cs="宋体"/>
      <w:sz w:val="24"/>
      <w:szCs w:val="24"/>
      <w:lang w:val="en-US" w:eastAsia="en-US" w:bidi="ar-SA"/>
    </w:rPr>
  </w:style>
  <w:style w:type="table" w:customStyle="1" w:styleId="110">
    <w:name w:val="Table Normal"/>
    <w:autoRedefine/>
    <w:semiHidden/>
    <w:unhideWhenUsed/>
    <w:qFormat/>
    <w:uiPriority w:val="0"/>
    <w:tblPr>
      <w:tblCellMar>
        <w:top w:w="0" w:type="dxa"/>
        <w:left w:w="0" w:type="dxa"/>
        <w:bottom w:w="0" w:type="dxa"/>
        <w:right w:w="0" w:type="dxa"/>
      </w:tblCellMar>
    </w:tblPr>
  </w:style>
  <w:style w:type="paragraph" w:customStyle="1" w:styleId="111">
    <w:name w:val="p0"/>
    <w:basedOn w:val="1"/>
    <w:qFormat/>
    <w:uiPriority w:val="0"/>
    <w:pPr>
      <w:widowControl/>
    </w:pPr>
    <w:rPr>
      <w:kern w:val="0"/>
    </w:rPr>
  </w:style>
  <w:style w:type="paragraph" w:customStyle="1" w:styleId="112">
    <w:name w:val="BodyTextIndent2"/>
    <w:basedOn w:val="1"/>
    <w:qFormat/>
    <w:uiPriority w:val="0"/>
    <w:pPr>
      <w:tabs>
        <w:tab w:val="left" w:pos="420"/>
      </w:tabs>
      <w:spacing w:line="480" w:lineRule="auto"/>
      <w:ind w:left="420" w:leftChars="200"/>
      <w:jc w:val="both"/>
    </w:pPr>
    <w:rPr>
      <w:rFonts w:ascii="Calibri" w:hAnsi="Calibri" w:eastAsia="宋体"/>
      <w:kern w:val="2"/>
      <w:szCs w:val="24"/>
      <w:lang w:eastAsia="zh-CN"/>
    </w:rPr>
  </w:style>
  <w:style w:type="paragraph" w:customStyle="1" w:styleId="1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55</Pages>
  <Words>17041</Words>
  <Characters>18003</Characters>
  <Lines>198</Lines>
  <Paragraphs>55</Paragraphs>
  <TotalTime>112</TotalTime>
  <ScaleCrop>false</ScaleCrop>
  <LinksUpToDate>false</LinksUpToDate>
  <CharactersWithSpaces>18220</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2020-08-06T01:08:00Z</dcterms:created>
  <dc:creator>Administrator</dc:creator>
  <cp:lastModifiedBy>WPS_1528011989</cp:lastModifiedBy>
  <cp:lastPrinted>2026-08-21T03:04:00Z</cp:lastPrinted>
  <dcterms:modified xsi:type="dcterms:W3CDTF">2026-08-24T00:57:24Z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E98A82F3B2224E20BB08403F26D5E5CD_13</vt:lpwstr>
  </property>
  <property fmtid="{D5CDD505-2E9C-101B-9397-08002B2CF9AE}" pid="4" name="KSOTemplateDocerSaveRecord">
    <vt:lpwstr>eyJoZGlkIjoiMDg1OGE3YTllNWRkNjgwY2M5ZDEwMmY0ODQzZDFhY2IiLCJ1c2VySWQiOiIzNzU3MTM1MjkifQ==</vt:lpwstr>
  </property>
</Properties>
</file>