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F7C01F">
      <w:pPr>
        <w:pStyle w:val="4"/>
        <w:jc w:val="both"/>
        <w:rPr>
          <w:rFonts w:hint="eastAsia" w:ascii="宋体" w:hAnsi="宋体" w:eastAsia="宋体" w:cs="宋体"/>
          <w:color w:val="auto"/>
          <w:sz w:val="20"/>
          <w:szCs w:val="20"/>
          <w:highlight w:val="none"/>
        </w:rPr>
      </w:pPr>
      <w:r>
        <w:rPr>
          <w:rFonts w:hint="eastAsia" w:hAnsi="宋体" w:eastAsia="宋体" w:cs="宋体"/>
          <w:color w:val="auto"/>
          <w:sz w:val="32"/>
          <w:szCs w:val="32"/>
          <w:highlight w:val="none"/>
          <w:lang w:val="en-US" w:eastAsia="zh-CN"/>
        </w:rPr>
        <w:t>项目</w:t>
      </w:r>
      <w:r>
        <w:rPr>
          <w:rFonts w:hint="eastAsia" w:ascii="宋体" w:hAnsi="宋体" w:eastAsia="宋体" w:cs="宋体"/>
          <w:color w:val="auto"/>
          <w:sz w:val="32"/>
          <w:szCs w:val="32"/>
          <w:highlight w:val="none"/>
        </w:rPr>
        <w:t>编号</w:t>
      </w:r>
      <w:r>
        <w:rPr>
          <w:rFonts w:hint="eastAsia" w:ascii="宋体" w:hAnsi="宋体" w:eastAsia="宋体" w:cs="宋体"/>
          <w:color w:val="auto"/>
          <w:sz w:val="28"/>
          <w:szCs w:val="28"/>
          <w:highlight w:val="none"/>
        </w:rPr>
        <w:t>：</w:t>
      </w:r>
    </w:p>
    <w:p w14:paraId="4236E102">
      <w:pPr>
        <w:pStyle w:val="4"/>
        <w:ind w:firstLine="400" w:firstLineChars="200"/>
        <w:jc w:val="center"/>
        <w:rPr>
          <w:rFonts w:hint="eastAsia" w:ascii="宋体" w:hAnsi="宋体" w:eastAsia="宋体" w:cs="宋体"/>
          <w:color w:val="auto"/>
          <w:sz w:val="20"/>
          <w:szCs w:val="20"/>
          <w:highlight w:val="none"/>
        </w:rPr>
      </w:pPr>
    </w:p>
    <w:p w14:paraId="1C4D208A">
      <w:pPr>
        <w:pStyle w:val="4"/>
        <w:ind w:firstLine="400" w:firstLineChars="200"/>
        <w:jc w:val="center"/>
        <w:rPr>
          <w:rFonts w:hint="eastAsia" w:ascii="宋体" w:hAnsi="宋体" w:eastAsia="宋体" w:cs="宋体"/>
          <w:color w:val="auto"/>
          <w:sz w:val="20"/>
          <w:szCs w:val="20"/>
          <w:highlight w:val="none"/>
        </w:rPr>
      </w:pPr>
    </w:p>
    <w:p w14:paraId="29F98F84">
      <w:pPr>
        <w:pStyle w:val="4"/>
        <w:ind w:firstLine="480" w:firstLineChars="200"/>
        <w:jc w:val="center"/>
        <w:rPr>
          <w:rFonts w:hint="eastAsia" w:ascii="宋体" w:hAnsi="宋体" w:eastAsia="宋体" w:cs="宋体"/>
          <w:color w:val="auto"/>
          <w:sz w:val="24"/>
          <w:szCs w:val="24"/>
          <w:highlight w:val="none"/>
        </w:rPr>
      </w:pPr>
    </w:p>
    <w:p w14:paraId="20221BC4">
      <w:pPr>
        <w:pStyle w:val="4"/>
        <w:ind w:firstLine="480" w:firstLineChars="200"/>
        <w:jc w:val="center"/>
        <w:rPr>
          <w:rFonts w:hint="eastAsia" w:ascii="宋体" w:hAnsi="宋体" w:eastAsia="宋体" w:cs="宋体"/>
          <w:color w:val="auto"/>
          <w:sz w:val="24"/>
          <w:szCs w:val="24"/>
          <w:highlight w:val="none"/>
        </w:rPr>
      </w:pPr>
    </w:p>
    <w:p w14:paraId="6F0FBA8A">
      <w:pPr>
        <w:pStyle w:val="4"/>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不动产统一登记平台矿业权登记发证功能拓展项目</w:t>
      </w:r>
    </w:p>
    <w:p w14:paraId="0C9E8E9F">
      <w:pPr>
        <w:pStyle w:val="4"/>
        <w:ind w:firstLine="480" w:firstLineChars="200"/>
        <w:rPr>
          <w:rFonts w:hint="eastAsia" w:ascii="宋体" w:hAnsi="宋体" w:eastAsia="宋体" w:cs="宋体"/>
          <w:color w:val="auto"/>
          <w:sz w:val="24"/>
          <w:szCs w:val="24"/>
          <w:highlight w:val="none"/>
        </w:rPr>
      </w:pPr>
    </w:p>
    <w:p w14:paraId="00E054F2">
      <w:pPr>
        <w:pStyle w:val="4"/>
        <w:ind w:firstLine="480" w:firstLineChars="200"/>
        <w:rPr>
          <w:rFonts w:hint="eastAsia" w:ascii="宋体" w:hAnsi="宋体" w:eastAsia="宋体" w:cs="宋体"/>
          <w:color w:val="auto"/>
          <w:sz w:val="24"/>
          <w:szCs w:val="24"/>
          <w:highlight w:val="none"/>
        </w:rPr>
      </w:pPr>
    </w:p>
    <w:p w14:paraId="60419189">
      <w:pPr>
        <w:pStyle w:val="4"/>
        <w:ind w:firstLine="480" w:firstLineChars="200"/>
        <w:rPr>
          <w:rFonts w:hint="eastAsia" w:ascii="宋体" w:hAnsi="宋体" w:eastAsia="宋体" w:cs="宋体"/>
          <w:color w:val="auto"/>
          <w:sz w:val="24"/>
          <w:szCs w:val="24"/>
          <w:highlight w:val="none"/>
        </w:rPr>
      </w:pPr>
    </w:p>
    <w:p w14:paraId="289D1D59">
      <w:pPr>
        <w:pStyle w:val="4"/>
        <w:ind w:firstLine="480" w:firstLineChars="200"/>
        <w:rPr>
          <w:rFonts w:hint="eastAsia" w:ascii="宋体" w:hAnsi="宋体" w:eastAsia="宋体" w:cs="宋体"/>
          <w:color w:val="auto"/>
          <w:sz w:val="24"/>
          <w:szCs w:val="24"/>
          <w:highlight w:val="none"/>
        </w:rPr>
      </w:pPr>
    </w:p>
    <w:p w14:paraId="1F5DD21E">
      <w:pPr>
        <w:pStyle w:val="4"/>
        <w:rPr>
          <w:rFonts w:hint="eastAsia" w:ascii="宋体" w:hAnsi="宋体" w:eastAsia="宋体" w:cs="宋体"/>
          <w:color w:val="auto"/>
          <w:sz w:val="24"/>
          <w:szCs w:val="24"/>
          <w:highlight w:val="none"/>
        </w:rPr>
      </w:pPr>
    </w:p>
    <w:p w14:paraId="109553BC">
      <w:pPr>
        <w:pStyle w:val="4"/>
        <w:ind w:firstLine="880" w:firstLineChars="200"/>
        <w:jc w:val="center"/>
        <w:rPr>
          <w:rFonts w:hint="default" w:ascii="宋体" w:hAnsi="宋体" w:eastAsia="宋体" w:cs="宋体"/>
          <w:color w:val="auto"/>
          <w:sz w:val="44"/>
          <w:szCs w:val="44"/>
          <w:highlight w:val="none"/>
          <w:lang w:val="en-US" w:eastAsia="zh-CN"/>
        </w:rPr>
      </w:pPr>
      <w:r>
        <w:rPr>
          <w:rFonts w:hint="eastAsia" w:hAnsi="宋体" w:eastAsia="宋体" w:cs="宋体"/>
          <w:color w:val="auto"/>
          <w:sz w:val="44"/>
          <w:szCs w:val="44"/>
          <w:highlight w:val="none"/>
          <w:lang w:val="en-US" w:eastAsia="zh-CN"/>
        </w:rPr>
        <w:t>政府采购合同</w:t>
      </w:r>
    </w:p>
    <w:p w14:paraId="34D47A42">
      <w:pPr>
        <w:pStyle w:val="4"/>
        <w:ind w:firstLine="480" w:firstLineChars="200"/>
        <w:rPr>
          <w:rFonts w:hint="eastAsia" w:ascii="宋体" w:hAnsi="宋体" w:eastAsia="宋体" w:cs="宋体"/>
          <w:color w:val="auto"/>
          <w:sz w:val="24"/>
          <w:szCs w:val="24"/>
          <w:highlight w:val="none"/>
        </w:rPr>
      </w:pPr>
    </w:p>
    <w:p w14:paraId="648B9853">
      <w:pPr>
        <w:pStyle w:val="4"/>
        <w:rPr>
          <w:rFonts w:hint="eastAsia" w:ascii="宋体" w:hAnsi="宋体" w:eastAsia="宋体" w:cs="宋体"/>
          <w:color w:val="auto"/>
          <w:sz w:val="24"/>
          <w:szCs w:val="24"/>
          <w:highlight w:val="none"/>
        </w:rPr>
      </w:pPr>
    </w:p>
    <w:p w14:paraId="4B126F77">
      <w:pPr>
        <w:pStyle w:val="4"/>
        <w:rPr>
          <w:rFonts w:hint="eastAsia" w:ascii="宋体" w:hAnsi="宋体" w:eastAsia="宋体" w:cs="宋体"/>
          <w:color w:val="auto"/>
          <w:sz w:val="24"/>
          <w:szCs w:val="24"/>
          <w:highlight w:val="none"/>
        </w:rPr>
      </w:pPr>
    </w:p>
    <w:p w14:paraId="399AD9B6">
      <w:pPr>
        <w:pStyle w:val="4"/>
        <w:rPr>
          <w:rFonts w:hint="eastAsia" w:ascii="宋体" w:hAnsi="宋体" w:eastAsia="宋体" w:cs="宋体"/>
          <w:color w:val="auto"/>
          <w:sz w:val="24"/>
          <w:szCs w:val="24"/>
          <w:highlight w:val="none"/>
        </w:rPr>
      </w:pPr>
    </w:p>
    <w:p w14:paraId="026D8C62">
      <w:pPr>
        <w:pStyle w:val="4"/>
        <w:rPr>
          <w:rFonts w:hint="eastAsia" w:ascii="宋体" w:hAnsi="宋体" w:eastAsia="宋体" w:cs="宋体"/>
          <w:color w:val="auto"/>
          <w:sz w:val="24"/>
          <w:szCs w:val="24"/>
          <w:highlight w:val="none"/>
        </w:rPr>
      </w:pPr>
    </w:p>
    <w:p w14:paraId="65F91F61">
      <w:pPr>
        <w:pStyle w:val="4"/>
        <w:rPr>
          <w:rFonts w:hint="eastAsia" w:ascii="宋体" w:hAnsi="宋体" w:eastAsia="宋体" w:cs="宋体"/>
          <w:color w:val="auto"/>
          <w:sz w:val="24"/>
          <w:szCs w:val="24"/>
          <w:highlight w:val="none"/>
        </w:rPr>
      </w:pPr>
    </w:p>
    <w:p w14:paraId="2B6D2847">
      <w:pPr>
        <w:pStyle w:val="4"/>
        <w:rPr>
          <w:rFonts w:hint="eastAsia" w:ascii="宋体" w:hAnsi="宋体" w:eastAsia="宋体" w:cs="宋体"/>
          <w:color w:val="auto"/>
          <w:sz w:val="24"/>
          <w:szCs w:val="24"/>
          <w:highlight w:val="none"/>
        </w:rPr>
      </w:pPr>
    </w:p>
    <w:p w14:paraId="7925AB5E">
      <w:pPr>
        <w:pStyle w:val="4"/>
        <w:rPr>
          <w:rFonts w:hint="eastAsia" w:ascii="宋体" w:hAnsi="宋体" w:eastAsia="宋体" w:cs="宋体"/>
          <w:color w:val="auto"/>
          <w:sz w:val="24"/>
          <w:szCs w:val="24"/>
          <w:highlight w:val="none"/>
        </w:rPr>
      </w:pPr>
    </w:p>
    <w:p w14:paraId="25AD749C">
      <w:pPr>
        <w:pStyle w:val="4"/>
        <w:rPr>
          <w:rFonts w:hint="eastAsia" w:ascii="宋体" w:hAnsi="宋体" w:eastAsia="宋体" w:cs="宋体"/>
          <w:color w:val="auto"/>
          <w:sz w:val="24"/>
          <w:szCs w:val="24"/>
          <w:highlight w:val="none"/>
        </w:rPr>
      </w:pPr>
    </w:p>
    <w:p w14:paraId="7A618B0F">
      <w:pPr>
        <w:pStyle w:val="4"/>
        <w:rPr>
          <w:rFonts w:hint="eastAsia" w:ascii="宋体" w:hAnsi="宋体" w:eastAsia="宋体" w:cs="宋体"/>
          <w:color w:val="auto"/>
          <w:sz w:val="24"/>
          <w:szCs w:val="24"/>
          <w:highlight w:val="none"/>
        </w:rPr>
      </w:pPr>
    </w:p>
    <w:p w14:paraId="5EC1C359">
      <w:pPr>
        <w:pStyle w:val="4"/>
        <w:rPr>
          <w:rFonts w:hint="eastAsia" w:ascii="宋体" w:hAnsi="宋体" w:eastAsia="宋体" w:cs="宋体"/>
          <w:color w:val="auto"/>
          <w:sz w:val="24"/>
          <w:szCs w:val="24"/>
          <w:highlight w:val="none"/>
        </w:rPr>
      </w:pPr>
    </w:p>
    <w:p w14:paraId="11C59B9D">
      <w:pPr>
        <w:pStyle w:val="4"/>
        <w:ind w:firstLine="480" w:firstLineChars="200"/>
        <w:rPr>
          <w:rFonts w:hint="eastAsia" w:ascii="宋体" w:hAnsi="宋体" w:eastAsia="宋体" w:cs="宋体"/>
          <w:color w:val="auto"/>
          <w:sz w:val="24"/>
          <w:szCs w:val="24"/>
          <w:highlight w:val="none"/>
        </w:rPr>
      </w:pPr>
    </w:p>
    <w:p w14:paraId="54548480">
      <w:pPr>
        <w:pStyle w:val="4"/>
        <w:ind w:left="0" w:leftChars="0" w:firstLine="2784" w:firstLineChars="1160"/>
        <w:jc w:val="center"/>
        <w:rPr>
          <w:rFonts w:hint="eastAsia" w:ascii="宋体" w:hAnsi="宋体" w:eastAsia="宋体" w:cs="宋体"/>
          <w:color w:val="auto"/>
          <w:sz w:val="24"/>
          <w:szCs w:val="24"/>
          <w:highlight w:val="none"/>
        </w:rPr>
      </w:pPr>
    </w:p>
    <w:p w14:paraId="52318190">
      <w:pPr>
        <w:pStyle w:val="4"/>
        <w:spacing w:line="480" w:lineRule="auto"/>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甲　　方：</w:t>
      </w:r>
      <w:r>
        <w:rPr>
          <w:rFonts w:hint="eastAsia" w:ascii="宋体" w:hAnsi="宋体" w:eastAsia="宋体" w:cs="宋体"/>
          <w:color w:val="auto"/>
          <w:sz w:val="24"/>
          <w:szCs w:val="24"/>
          <w:highlight w:val="none"/>
          <w:u w:val="single"/>
        </w:rPr>
        <w:t>陕西省不动产登记服务中心</w:t>
      </w:r>
      <w:r>
        <w:rPr>
          <w:rFonts w:hint="eastAsia" w:ascii="宋体" w:hAnsi="宋体" w:eastAsia="宋体" w:cs="宋体"/>
          <w:color w:val="auto"/>
          <w:sz w:val="24"/>
          <w:szCs w:val="24"/>
          <w:highlight w:val="none"/>
        </w:rPr>
        <w:t>(采购人名称)</w:t>
      </w:r>
    </w:p>
    <w:p w14:paraId="4992929A">
      <w:pPr>
        <w:pStyle w:val="4"/>
        <w:spacing w:line="480" w:lineRule="auto"/>
        <w:ind w:firstLine="1440" w:firstLineChars="6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　　方：____________________(</w:t>
      </w:r>
      <w:r>
        <w:rPr>
          <w:rFonts w:hint="eastAsia" w:hAnsi="宋体" w:eastAsia="宋体" w:cs="宋体"/>
          <w:color w:val="auto"/>
          <w:sz w:val="24"/>
          <w:szCs w:val="24"/>
          <w:highlight w:val="none"/>
          <w:lang w:val="en-US" w:eastAsia="zh-CN"/>
        </w:rPr>
        <w:t>中标</w:t>
      </w:r>
      <w:r>
        <w:rPr>
          <w:rFonts w:hint="eastAsia" w:ascii="宋体" w:hAnsi="宋体" w:eastAsia="宋体" w:cs="宋体"/>
          <w:color w:val="auto"/>
          <w:sz w:val="24"/>
          <w:szCs w:val="24"/>
          <w:highlight w:val="none"/>
        </w:rPr>
        <w:t>人名称)</w:t>
      </w:r>
    </w:p>
    <w:p w14:paraId="653CC067">
      <w:pPr>
        <w:pStyle w:val="4"/>
        <w:spacing w:line="480" w:lineRule="auto"/>
        <w:ind w:firstLine="1440" w:firstLineChars="600"/>
        <w:jc w:val="both"/>
        <w:rPr>
          <w:rFonts w:hint="default" w:ascii="宋体" w:hAnsi="宋体" w:eastAsia="宋体" w:cs="宋体"/>
          <w:color w:val="auto"/>
          <w:sz w:val="24"/>
          <w:szCs w:val="24"/>
          <w:highlight w:val="none"/>
          <w:lang w:val="en-US" w:eastAsia="zh-CN"/>
        </w:rPr>
      </w:pPr>
      <w:r>
        <w:rPr>
          <w:rFonts w:hint="eastAsia" w:hAnsi="宋体" w:eastAsia="宋体" w:cs="宋体"/>
          <w:color w:val="auto"/>
          <w:sz w:val="24"/>
          <w:szCs w:val="24"/>
          <w:highlight w:val="none"/>
          <w:lang w:val="en-US" w:eastAsia="zh-CN"/>
        </w:rPr>
        <w:t>日   期：</w:t>
      </w:r>
      <w:r>
        <w:rPr>
          <w:rFonts w:hint="eastAsia" w:hAnsi="宋体" w:eastAsia="宋体" w:cs="宋体"/>
          <w:color w:val="auto"/>
          <w:sz w:val="24"/>
          <w:szCs w:val="24"/>
          <w:highlight w:val="none"/>
          <w:u w:val="single"/>
          <w:lang w:val="en-US" w:eastAsia="zh-CN"/>
        </w:rPr>
        <w:t xml:space="preserve">                       </w:t>
      </w:r>
    </w:p>
    <w:p w14:paraId="4156A0ED">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r>
        <w:rPr>
          <w:rFonts w:hint="eastAsia" w:ascii="宋体" w:hAnsi="宋体" w:eastAsia="宋体" w:cs="宋体"/>
          <w:color w:val="auto"/>
          <w:sz w:val="24"/>
          <w:szCs w:val="24"/>
          <w:highlight w:val="none"/>
        </w:rPr>
        <w:t>根据《中华人民共和国政府采购法》、《中华人民共和国民法典》等有关法律法规规定，</w:t>
      </w:r>
      <w:r>
        <w:rPr>
          <w:rFonts w:hint="eastAsia"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(采购人名称)(以下简称：“甲方”)通过</w:t>
      </w:r>
      <w:r>
        <w:rPr>
          <w:rFonts w:hint="eastAsia" w:hAnsi="宋体" w:eastAsia="宋体" w:cs="宋体"/>
          <w:color w:val="auto"/>
          <w:sz w:val="24"/>
          <w:szCs w:val="24"/>
          <w:highlight w:val="none"/>
          <w:u w:val="single"/>
          <w:lang w:val="en-US" w:eastAsia="zh-CN"/>
        </w:rPr>
        <w:t>公开招标</w:t>
      </w:r>
      <w:r>
        <w:rPr>
          <w:rFonts w:hint="eastAsia" w:ascii="宋体" w:hAnsi="宋体" w:eastAsia="宋体" w:cs="宋体"/>
          <w:color w:val="auto"/>
          <w:sz w:val="24"/>
          <w:szCs w:val="24"/>
          <w:highlight w:val="none"/>
        </w:rPr>
        <w:t>采购(采购方式)确定______(</w:t>
      </w:r>
      <w:r>
        <w:rPr>
          <w:rFonts w:hint="eastAsia" w:hAnsi="宋体" w:eastAsia="宋体" w:cs="宋体"/>
          <w:color w:val="auto"/>
          <w:sz w:val="24"/>
          <w:szCs w:val="24"/>
          <w:highlight w:val="none"/>
          <w:lang w:val="en-US" w:eastAsia="zh-CN"/>
        </w:rPr>
        <w:t>中标人</w:t>
      </w:r>
      <w:r>
        <w:rPr>
          <w:rFonts w:hint="eastAsia" w:ascii="宋体" w:hAnsi="宋体" w:eastAsia="宋体" w:cs="宋体"/>
          <w:color w:val="auto"/>
          <w:sz w:val="24"/>
          <w:szCs w:val="24"/>
          <w:highlight w:val="none"/>
        </w:rPr>
        <w:t>名称)(以下简称：“乙方”)为</w:t>
      </w:r>
      <w:r>
        <w:rPr>
          <w:rFonts w:hint="eastAsia" w:ascii="宋体" w:hAnsi="宋体" w:eastAsia="宋体" w:cs="宋体"/>
          <w:color w:val="auto"/>
          <w:sz w:val="24"/>
          <w:szCs w:val="24"/>
          <w:highlight w:val="none"/>
          <w:u w:val="single"/>
          <w:lang w:eastAsia="zh-CN"/>
        </w:rPr>
        <w:fldChar w:fldCharType="begin"/>
      </w:r>
      <w:r>
        <w:rPr>
          <w:rFonts w:hint="eastAsia" w:ascii="宋体" w:hAnsi="宋体" w:eastAsia="宋体" w:cs="宋体"/>
          <w:color w:val="auto"/>
          <w:sz w:val="24"/>
          <w:szCs w:val="24"/>
          <w:highlight w:val="none"/>
          <w:u w:val="single"/>
          <w:lang w:eastAsia="zh-CN"/>
        </w:rPr>
        <w:instrText xml:space="preserve"> MERGEFIELD "（项目名称）" </w:instrText>
      </w:r>
      <w:r>
        <w:rPr>
          <w:rFonts w:hint="eastAsia" w:ascii="宋体" w:hAnsi="宋体" w:eastAsia="宋体" w:cs="宋体"/>
          <w:color w:val="auto"/>
          <w:sz w:val="24"/>
          <w:szCs w:val="24"/>
          <w:highlight w:val="none"/>
          <w:u w:val="single"/>
          <w:lang w:eastAsia="zh-CN"/>
        </w:rPr>
        <w:fldChar w:fldCharType="separate"/>
      </w:r>
      <w:r>
        <w:rPr>
          <w:rFonts w:hint="eastAsia" w:hAnsi="宋体" w:eastAsia="宋体" w:cs="宋体"/>
          <w:color w:val="auto"/>
          <w:sz w:val="24"/>
          <w:szCs w:val="24"/>
          <w:highlight w:val="none"/>
          <w:u w:val="single"/>
          <w:lang w:eastAsia="zh-CN"/>
        </w:rPr>
        <w:t>不动产统一登记平台矿业权登记发证功能拓展项目</w:t>
      </w:r>
      <w:r>
        <w:rPr>
          <w:rFonts w:hint="eastAsia" w:ascii="宋体" w:hAnsi="宋体" w:eastAsia="宋体" w:cs="宋体"/>
          <w:color w:val="auto"/>
          <w:sz w:val="24"/>
          <w:szCs w:val="24"/>
          <w:highlight w:val="none"/>
          <w:u w:val="single"/>
          <w:lang w:eastAsia="zh-CN"/>
        </w:rPr>
        <w:fldChar w:fldCharType="end"/>
      </w:r>
      <w:r>
        <w:rPr>
          <w:rFonts w:hint="eastAsia" w:ascii="宋体" w:hAnsi="宋体" w:eastAsia="宋体" w:cs="宋体"/>
          <w:color w:val="auto"/>
          <w:sz w:val="24"/>
          <w:szCs w:val="24"/>
          <w:highlight w:val="none"/>
        </w:rPr>
        <w:t>的</w:t>
      </w:r>
      <w:r>
        <w:rPr>
          <w:rFonts w:hint="eastAsia" w:hAnsi="宋体" w:eastAsia="宋体" w:cs="宋体"/>
          <w:color w:val="auto"/>
          <w:sz w:val="24"/>
          <w:szCs w:val="24"/>
          <w:highlight w:val="none"/>
          <w:u w:val="single"/>
          <w:lang w:val="en-US" w:eastAsia="zh-CN"/>
        </w:rPr>
        <w:t>中标人</w:t>
      </w:r>
      <w:r>
        <w:rPr>
          <w:rFonts w:hint="eastAsia" w:ascii="宋体" w:hAnsi="宋体" w:eastAsia="宋体" w:cs="宋体"/>
          <w:color w:val="auto"/>
          <w:sz w:val="24"/>
          <w:szCs w:val="24"/>
          <w:highlight w:val="none"/>
        </w:rPr>
        <w:t>。甲乙双方同意签署《</w:t>
      </w:r>
      <w:r>
        <w:rPr>
          <w:rFonts w:hint="eastAsia" w:ascii="宋体" w:hAnsi="宋体" w:eastAsia="宋体" w:cs="宋体"/>
          <w:color w:val="auto"/>
          <w:sz w:val="24"/>
          <w:szCs w:val="24"/>
          <w:highlight w:val="none"/>
          <w:lang w:eastAsia="zh-CN"/>
        </w:rPr>
        <w:t>不动产统一登记平台矿业权登记发证功能拓展项目</w:t>
      </w:r>
      <w:r>
        <w:rPr>
          <w:rFonts w:hint="eastAsia" w:hAnsi="宋体" w:eastAsia="宋体" w:cs="宋体"/>
          <w:color w:val="auto"/>
          <w:sz w:val="24"/>
          <w:szCs w:val="24"/>
          <w:highlight w:val="none"/>
          <w:lang w:val="en-US" w:eastAsia="zh-CN"/>
        </w:rPr>
        <w:t>政府采购合同</w:t>
      </w:r>
      <w:r>
        <w:rPr>
          <w:rFonts w:hint="eastAsia" w:ascii="宋体" w:hAnsi="宋体" w:eastAsia="宋体" w:cs="宋体"/>
          <w:color w:val="auto"/>
          <w:sz w:val="24"/>
          <w:szCs w:val="24"/>
          <w:highlight w:val="none"/>
        </w:rPr>
        <w:t>》(合同编号：______，以下简称：“合同”)。</w:t>
      </w:r>
    </w:p>
    <w:p w14:paraId="4E25AAC3">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1.合同文件</w:t>
      </w:r>
    </w:p>
    <w:p w14:paraId="1863A1FB">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下列文件是构成本合同不可分割的部分：</w:t>
      </w:r>
    </w:p>
    <w:p w14:paraId="29CDD345">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(1)合同条款；</w:t>
      </w:r>
    </w:p>
    <w:p w14:paraId="2D4251F6">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hAnsi="宋体" w:eastAsia="宋体" w:cs="宋体"/>
          <w:color w:val="auto"/>
          <w:sz w:val="24"/>
          <w:szCs w:val="24"/>
          <w:highlight w:val="none"/>
          <w:lang w:val="en-US" w:eastAsia="zh-CN"/>
        </w:rPr>
        <w:t>中标</w:t>
      </w:r>
      <w:r>
        <w:rPr>
          <w:rFonts w:hint="eastAsia" w:ascii="宋体" w:hAnsi="宋体" w:eastAsia="宋体" w:cs="宋体"/>
          <w:color w:val="auto"/>
          <w:sz w:val="24"/>
          <w:szCs w:val="24"/>
          <w:highlight w:val="none"/>
        </w:rPr>
        <w:t>通知书；</w:t>
      </w:r>
    </w:p>
    <w:p w14:paraId="7AA3AD4E">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hAnsi="宋体" w:eastAsia="宋体" w:cs="宋体"/>
          <w:color w:val="auto"/>
          <w:sz w:val="24"/>
          <w:szCs w:val="24"/>
          <w:highlight w:val="none"/>
          <w:lang w:val="en-US" w:eastAsia="zh-CN"/>
        </w:rPr>
        <w:t>招标</w:t>
      </w:r>
      <w:r>
        <w:rPr>
          <w:rFonts w:hint="eastAsia" w:ascii="宋体" w:hAnsi="宋体" w:eastAsia="宋体" w:cs="宋体"/>
          <w:color w:val="auto"/>
          <w:sz w:val="24"/>
          <w:szCs w:val="24"/>
          <w:highlight w:val="none"/>
        </w:rPr>
        <w:t>文件</w:t>
      </w:r>
    </w:p>
    <w:p w14:paraId="40B56ACA">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文件；</w:t>
      </w:r>
    </w:p>
    <w:p w14:paraId="43B8D9C8">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(5)其他。</w:t>
      </w:r>
    </w:p>
    <w:p w14:paraId="05A24D55">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2.合同标的(根据实际情况填写)</w:t>
      </w:r>
    </w:p>
    <w:tbl>
      <w:tblPr>
        <w:tblStyle w:val="6"/>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816"/>
        <w:gridCol w:w="816"/>
        <w:gridCol w:w="5164"/>
      </w:tblGrid>
      <w:tr w14:paraId="33CBA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7A383FC1">
            <w:pPr>
              <w:pStyle w:val="4"/>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服务名称</w:t>
            </w:r>
          </w:p>
        </w:tc>
        <w:tc>
          <w:tcPr>
            <w:tcW w:w="816" w:type="dxa"/>
            <w:noWrap w:val="0"/>
            <w:vAlign w:val="center"/>
          </w:tcPr>
          <w:p w14:paraId="5A13E345">
            <w:pPr>
              <w:pStyle w:val="4"/>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816" w:type="dxa"/>
            <w:noWrap w:val="0"/>
            <w:vAlign w:val="center"/>
          </w:tcPr>
          <w:p w14:paraId="67C781C9">
            <w:pPr>
              <w:pStyle w:val="4"/>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w:t>
            </w:r>
          </w:p>
        </w:tc>
        <w:tc>
          <w:tcPr>
            <w:tcW w:w="5164" w:type="dxa"/>
            <w:noWrap w:val="0"/>
            <w:vAlign w:val="center"/>
          </w:tcPr>
          <w:p w14:paraId="7769FC81">
            <w:pPr>
              <w:pStyle w:val="4"/>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具体服务承诺(包含但不限于服务内容、范围和基本要求)</w:t>
            </w:r>
          </w:p>
        </w:tc>
      </w:tr>
      <w:tr w14:paraId="30D76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6DEDF98F">
            <w:pPr>
              <w:pStyle w:val="4"/>
              <w:jc w:val="center"/>
              <w:rPr>
                <w:rFonts w:hint="eastAsia" w:ascii="宋体" w:hAnsi="宋体" w:eastAsia="宋体" w:cs="宋体"/>
                <w:color w:val="auto"/>
                <w:sz w:val="24"/>
                <w:szCs w:val="24"/>
                <w:highlight w:val="none"/>
              </w:rPr>
            </w:pPr>
          </w:p>
        </w:tc>
        <w:tc>
          <w:tcPr>
            <w:tcW w:w="816" w:type="dxa"/>
            <w:noWrap w:val="0"/>
            <w:vAlign w:val="center"/>
          </w:tcPr>
          <w:p w14:paraId="134F96FB">
            <w:pPr>
              <w:pStyle w:val="4"/>
              <w:jc w:val="center"/>
              <w:rPr>
                <w:rFonts w:hint="eastAsia" w:ascii="宋体" w:hAnsi="宋体" w:eastAsia="宋体" w:cs="宋体"/>
                <w:color w:val="auto"/>
                <w:sz w:val="24"/>
                <w:szCs w:val="24"/>
                <w:highlight w:val="none"/>
              </w:rPr>
            </w:pPr>
          </w:p>
        </w:tc>
        <w:tc>
          <w:tcPr>
            <w:tcW w:w="816" w:type="dxa"/>
            <w:noWrap w:val="0"/>
            <w:vAlign w:val="center"/>
          </w:tcPr>
          <w:p w14:paraId="46827E62">
            <w:pPr>
              <w:pStyle w:val="4"/>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w:t>
            </w:r>
          </w:p>
        </w:tc>
        <w:tc>
          <w:tcPr>
            <w:tcW w:w="5164" w:type="dxa"/>
            <w:noWrap w:val="0"/>
            <w:vAlign w:val="center"/>
          </w:tcPr>
          <w:p w14:paraId="6D8A4D8A">
            <w:pPr>
              <w:pStyle w:val="4"/>
              <w:jc w:val="center"/>
              <w:rPr>
                <w:rFonts w:hint="eastAsia" w:ascii="宋体" w:hAnsi="宋体" w:eastAsia="宋体" w:cs="宋体"/>
                <w:color w:val="auto"/>
                <w:sz w:val="24"/>
                <w:szCs w:val="24"/>
                <w:highlight w:val="none"/>
              </w:rPr>
            </w:pPr>
          </w:p>
        </w:tc>
      </w:tr>
      <w:tr w14:paraId="18611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42EB157A">
            <w:pPr>
              <w:pStyle w:val="4"/>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c>
          <w:tcPr>
            <w:tcW w:w="816" w:type="dxa"/>
            <w:noWrap w:val="0"/>
            <w:vAlign w:val="center"/>
          </w:tcPr>
          <w:p w14:paraId="34A23ADE">
            <w:pPr>
              <w:pStyle w:val="4"/>
              <w:jc w:val="center"/>
              <w:rPr>
                <w:rFonts w:hint="eastAsia" w:ascii="宋体" w:hAnsi="宋体" w:eastAsia="宋体" w:cs="宋体"/>
                <w:color w:val="auto"/>
                <w:sz w:val="24"/>
                <w:szCs w:val="24"/>
                <w:highlight w:val="none"/>
              </w:rPr>
            </w:pPr>
          </w:p>
        </w:tc>
        <w:tc>
          <w:tcPr>
            <w:tcW w:w="816" w:type="dxa"/>
            <w:noWrap w:val="0"/>
            <w:vAlign w:val="center"/>
          </w:tcPr>
          <w:p w14:paraId="7F62F739">
            <w:pPr>
              <w:pStyle w:val="4"/>
              <w:jc w:val="center"/>
              <w:rPr>
                <w:rFonts w:hint="eastAsia" w:ascii="宋体" w:hAnsi="宋体" w:eastAsia="宋体" w:cs="宋体"/>
                <w:color w:val="auto"/>
                <w:sz w:val="24"/>
                <w:szCs w:val="24"/>
                <w:highlight w:val="none"/>
              </w:rPr>
            </w:pPr>
          </w:p>
        </w:tc>
        <w:tc>
          <w:tcPr>
            <w:tcW w:w="5164" w:type="dxa"/>
            <w:noWrap w:val="0"/>
            <w:vAlign w:val="center"/>
          </w:tcPr>
          <w:p w14:paraId="23771B8D">
            <w:pPr>
              <w:pStyle w:val="4"/>
              <w:jc w:val="center"/>
              <w:rPr>
                <w:rFonts w:hint="eastAsia" w:ascii="宋体" w:hAnsi="宋体" w:eastAsia="宋体" w:cs="宋体"/>
                <w:color w:val="auto"/>
                <w:sz w:val="24"/>
                <w:szCs w:val="24"/>
                <w:highlight w:val="none"/>
              </w:rPr>
            </w:pPr>
          </w:p>
        </w:tc>
      </w:tr>
    </w:tbl>
    <w:p w14:paraId="1CF2C756">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3.合同金额及付款方式</w:t>
      </w:r>
    </w:p>
    <w:p w14:paraId="732E6C46">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3.1合同金额</w:t>
      </w:r>
    </w:p>
    <w:p w14:paraId="194B4B9C">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本合同总金额为人民币______</w:t>
      </w:r>
      <w:r>
        <w:rPr>
          <w:rFonts w:hint="eastAsia"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元(</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______)。本合同金额已包含但不限于乙方为提供服务所产生的全部成本、预期利益、售后服务、税费和合同中规定乙方应承担的其他义务的费用等。合同总价一次性包死，不受市场价格变化因素的影响，项目开展过程及验收环节产生的任何费用全部由乙方承担。</w:t>
      </w:r>
    </w:p>
    <w:p w14:paraId="2B351B7C">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3.2付款方式</w:t>
      </w:r>
    </w:p>
    <w:p w14:paraId="01CF4561">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按照合同金额共分二期付款，具体支付方式和时间如下：合同生效后，甲方在收到乙方提供的税务部门认可的有效发票之日起10个工作日内向乙方支付合同金额的60%</w:t>
      </w:r>
      <w:r>
        <w:rPr>
          <w:rFonts w:hint="eastAsia" w:hAnsi="宋体" w:eastAsia="宋体" w:cs="宋体"/>
          <w:color w:val="auto"/>
          <w:sz w:val="24"/>
          <w:szCs w:val="24"/>
          <w:highlight w:val="none"/>
          <w:lang w:val="en-US" w:eastAsia="zh-CN"/>
        </w:rPr>
        <w:t>;</w:t>
      </w:r>
    </w:p>
    <w:p w14:paraId="13589B42">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项目通过验收并经甲方确认后，甲方在收到乙方提供的税务部门认可的有效发票之日起10个工作日内向己方支付合同金额的40%</w:t>
      </w:r>
      <w:r>
        <w:rPr>
          <w:rFonts w:hint="eastAsia" w:hAnsi="宋体" w:eastAsia="宋体" w:cs="宋体"/>
          <w:color w:val="auto"/>
          <w:sz w:val="24"/>
          <w:szCs w:val="24"/>
          <w:highlight w:val="none"/>
          <w:lang w:eastAsia="zh-CN"/>
        </w:rPr>
        <w:t>。</w:t>
      </w:r>
    </w:p>
    <w:p w14:paraId="3B323878">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本项目总经费为</w:t>
      </w:r>
      <w:r>
        <w:rPr>
          <w:rFonts w:hint="eastAsia" w:hAnsi="宋体" w:eastAsia="宋体" w:cs="宋体"/>
          <w:color w:val="auto"/>
          <w:sz w:val="24"/>
          <w:szCs w:val="24"/>
          <w:highlight w:val="none"/>
          <w:lang w:eastAsia="zh-CN"/>
        </w:rPr>
        <w:t>中标供应商</w:t>
      </w:r>
      <w:r>
        <w:rPr>
          <w:rFonts w:hint="eastAsia" w:ascii="宋体" w:hAnsi="宋体" w:eastAsia="宋体" w:cs="宋体"/>
          <w:color w:val="auto"/>
          <w:sz w:val="24"/>
          <w:szCs w:val="24"/>
          <w:highlight w:val="none"/>
        </w:rPr>
        <w:t>完成本项目用户需求包干价，</w:t>
      </w:r>
      <w:r>
        <w:rPr>
          <w:rFonts w:hint="eastAsia" w:hAnsi="宋体" w:eastAsia="宋体" w:cs="宋体"/>
          <w:color w:val="auto"/>
          <w:sz w:val="24"/>
          <w:szCs w:val="24"/>
          <w:highlight w:val="none"/>
          <w:lang w:eastAsia="zh-CN"/>
        </w:rPr>
        <w:t>中标供应商</w:t>
      </w:r>
      <w:r>
        <w:rPr>
          <w:rFonts w:hint="eastAsia" w:ascii="宋体" w:hAnsi="宋体" w:eastAsia="宋体" w:cs="宋体"/>
          <w:color w:val="auto"/>
          <w:sz w:val="24"/>
          <w:szCs w:val="24"/>
          <w:highlight w:val="none"/>
        </w:rPr>
        <w:t>不得以任何理由向采购人要求追加经费。</w:t>
      </w:r>
    </w:p>
    <w:p w14:paraId="53498C8A">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4.合同签订地</w:t>
      </w:r>
    </w:p>
    <w:p w14:paraId="674A510C">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根据实际情况填写</w:t>
      </w:r>
    </w:p>
    <w:p w14:paraId="61902113">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5.合同生效</w:t>
      </w:r>
    </w:p>
    <w:p w14:paraId="544F5EDB">
      <w:pPr>
        <w:pStyle w:val="4"/>
        <w:keepNext w:val="0"/>
        <w:keepLines w:val="0"/>
        <w:pageBreakBefore w:val="0"/>
        <w:widowControl w:val="0"/>
        <w:kinsoku/>
        <w:wordWrap/>
        <w:overflowPunct/>
        <w:topLinePunct w:val="0"/>
        <w:autoSpaceDE/>
        <w:autoSpaceDN/>
        <w:bidi w:val="0"/>
        <w:adjustRightInd/>
        <w:snapToGrid/>
        <w:spacing w:line="336" w:lineRule="auto"/>
        <w:ind w:firstLine="600" w:firstLineChars="25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本合同一式肆份，甲方执</w:t>
      </w:r>
      <w:r>
        <w:rPr>
          <w:rFonts w:hint="eastAsia" w:hAnsi="宋体" w:eastAsia="宋体" w:cs="宋体"/>
          <w:color w:val="auto"/>
          <w:sz w:val="24"/>
          <w:szCs w:val="24"/>
          <w:highlight w:val="none"/>
          <w:lang w:val="en-US" w:eastAsia="zh-CN"/>
        </w:rPr>
        <w:t>叁</w:t>
      </w:r>
      <w:r>
        <w:rPr>
          <w:rFonts w:hint="eastAsia" w:ascii="宋体" w:hAnsi="宋体" w:eastAsia="宋体" w:cs="宋体"/>
          <w:color w:val="auto"/>
          <w:sz w:val="24"/>
          <w:szCs w:val="24"/>
          <w:highlight w:val="none"/>
        </w:rPr>
        <w:t>份、乙方执壹份。在甲、乙</w:t>
      </w:r>
      <w:r>
        <w:rPr>
          <w:rFonts w:hint="eastAsia" w:hAnsi="宋体" w:eastAsia="宋体" w:cs="宋体"/>
          <w:color w:val="auto"/>
          <w:sz w:val="24"/>
          <w:szCs w:val="24"/>
          <w:highlight w:val="none"/>
          <w:lang w:val="en-US" w:eastAsia="zh-CN"/>
        </w:rPr>
        <w:t>方</w:t>
      </w:r>
      <w:r>
        <w:rPr>
          <w:rFonts w:hint="eastAsia" w:ascii="宋体" w:hAnsi="宋体" w:eastAsia="宋体" w:cs="宋体"/>
          <w:color w:val="auto"/>
          <w:sz w:val="24"/>
          <w:szCs w:val="24"/>
          <w:highlight w:val="none"/>
        </w:rPr>
        <w:t>签字盖章后生效，合同执行完毕自动失效（合同的服务承诺则长期有效）。</w:t>
      </w:r>
    </w:p>
    <w:p w14:paraId="12C5AEC4">
      <w:pPr>
        <w:pStyle w:val="4"/>
        <w:keepNext w:val="0"/>
        <w:keepLines w:val="0"/>
        <w:pageBreakBefore w:val="0"/>
        <w:widowControl w:val="0"/>
        <w:kinsoku/>
        <w:wordWrap/>
        <w:overflowPunct/>
        <w:topLinePunct w:val="0"/>
        <w:autoSpaceDE/>
        <w:autoSpaceDN/>
        <w:bidi w:val="0"/>
        <w:adjustRightInd/>
        <w:snapToGrid/>
        <w:spacing w:line="336" w:lineRule="auto"/>
        <w:ind w:firstLine="600" w:firstLineChars="250"/>
        <w:jc w:val="both"/>
        <w:textAlignment w:val="auto"/>
        <w:rPr>
          <w:rFonts w:hint="eastAsia" w:ascii="宋体" w:hAnsi="宋体" w:eastAsia="宋体" w:cs="宋体"/>
          <w:color w:val="auto"/>
          <w:sz w:val="24"/>
          <w:szCs w:val="24"/>
          <w:highlight w:val="none"/>
        </w:rPr>
      </w:pPr>
      <w:bookmarkStart w:id="2" w:name="_GoBack"/>
      <w:bookmarkEnd w:id="2"/>
    </w:p>
    <w:p w14:paraId="708E35DB">
      <w:pPr>
        <w:pStyle w:val="4"/>
        <w:keepNext w:val="0"/>
        <w:keepLines w:val="0"/>
        <w:pageBreakBefore w:val="0"/>
        <w:widowControl w:val="0"/>
        <w:kinsoku/>
        <w:wordWrap/>
        <w:overflowPunct/>
        <w:topLinePunct w:val="0"/>
        <w:autoSpaceDE/>
        <w:autoSpaceDN/>
        <w:bidi w:val="0"/>
        <w:adjustRightInd/>
        <w:snapToGrid/>
        <w:spacing w:line="336" w:lineRule="auto"/>
        <w:ind w:firstLine="600" w:firstLineChars="250"/>
        <w:jc w:val="both"/>
        <w:textAlignment w:val="auto"/>
        <w:rPr>
          <w:rFonts w:hint="eastAsia" w:ascii="宋体" w:hAnsi="宋体" w:eastAsia="宋体" w:cs="宋体"/>
          <w:color w:val="auto"/>
          <w:sz w:val="24"/>
          <w:szCs w:val="24"/>
          <w:highlight w:val="none"/>
        </w:rPr>
      </w:pPr>
    </w:p>
    <w:p w14:paraId="0EF3BFC7">
      <w:pPr>
        <w:pStyle w:val="4"/>
        <w:keepNext w:val="0"/>
        <w:keepLines w:val="0"/>
        <w:pageBreakBefore w:val="0"/>
        <w:widowControl w:val="0"/>
        <w:kinsoku/>
        <w:wordWrap/>
        <w:overflowPunct/>
        <w:topLinePunct w:val="0"/>
        <w:autoSpaceDE/>
        <w:autoSpaceDN/>
        <w:bidi w:val="0"/>
        <w:adjustRightInd/>
        <w:snapToGrid/>
        <w:spacing w:line="336" w:lineRule="auto"/>
        <w:ind w:firstLine="600" w:firstLineChars="250"/>
        <w:jc w:val="both"/>
        <w:textAlignment w:val="auto"/>
        <w:rPr>
          <w:rFonts w:hint="eastAsia" w:ascii="宋体" w:hAnsi="宋体" w:eastAsia="宋体" w:cs="宋体"/>
          <w:color w:val="auto"/>
          <w:sz w:val="24"/>
          <w:szCs w:val="24"/>
          <w:highlight w:val="none"/>
        </w:rPr>
      </w:pPr>
    </w:p>
    <w:tbl>
      <w:tblPr>
        <w:tblStyle w:val="6"/>
        <w:tblW w:w="8804" w:type="dxa"/>
        <w:jc w:val="center"/>
        <w:tblLayout w:type="fixed"/>
        <w:tblCellMar>
          <w:top w:w="0" w:type="dxa"/>
          <w:left w:w="108" w:type="dxa"/>
          <w:bottom w:w="0" w:type="dxa"/>
          <w:right w:w="108" w:type="dxa"/>
        </w:tblCellMar>
      </w:tblPr>
      <w:tblGrid>
        <w:gridCol w:w="4551"/>
        <w:gridCol w:w="4253"/>
      </w:tblGrid>
      <w:tr w14:paraId="5A66B10A">
        <w:tblPrEx>
          <w:tblCellMar>
            <w:top w:w="0" w:type="dxa"/>
            <w:left w:w="108" w:type="dxa"/>
            <w:bottom w:w="0" w:type="dxa"/>
            <w:right w:w="108" w:type="dxa"/>
          </w:tblCellMar>
        </w:tblPrEx>
        <w:trPr>
          <w:trHeight w:val="390" w:hRule="atLeast"/>
          <w:jc w:val="center"/>
        </w:trPr>
        <w:tc>
          <w:tcPr>
            <w:tcW w:w="4551" w:type="dxa"/>
            <w:tcBorders>
              <w:top w:val="single" w:color="auto" w:sz="8" w:space="0"/>
              <w:left w:val="single" w:color="auto" w:sz="8" w:space="0"/>
              <w:bottom w:val="single" w:color="auto" w:sz="8" w:space="0"/>
              <w:right w:val="single" w:color="auto" w:sz="8" w:space="0"/>
            </w:tcBorders>
            <w:noWrap w:val="0"/>
            <w:vAlign w:val="center"/>
          </w:tcPr>
          <w:p w14:paraId="6F0F76B8">
            <w:pPr>
              <w:widowControl/>
              <w:spacing w:line="24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甲  方</w:t>
            </w:r>
            <w:r>
              <w:rPr>
                <w:rFonts w:hint="eastAsia" w:ascii="宋体" w:hAnsi="宋体" w:eastAsia="宋体" w:cs="宋体"/>
                <w:color w:val="auto"/>
                <w:kern w:val="0"/>
                <w:sz w:val="24"/>
                <w:szCs w:val="24"/>
                <w:highlight w:val="none"/>
                <w:lang w:eastAsia="zh-CN"/>
              </w:rPr>
              <w:t>：陕西省不动产登记服务中心</w:t>
            </w:r>
          </w:p>
        </w:tc>
        <w:tc>
          <w:tcPr>
            <w:tcW w:w="4253" w:type="dxa"/>
            <w:tcBorders>
              <w:top w:val="single" w:color="auto" w:sz="8" w:space="0"/>
              <w:left w:val="nil"/>
              <w:bottom w:val="single" w:color="auto" w:sz="8" w:space="0"/>
              <w:right w:val="single" w:color="auto" w:sz="8" w:space="0"/>
            </w:tcBorders>
            <w:noWrap w:val="0"/>
            <w:vAlign w:val="center"/>
          </w:tcPr>
          <w:p w14:paraId="1C0D8866">
            <w:pPr>
              <w:widowControl/>
              <w:spacing w:line="240" w:lineRule="auto"/>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乙  方</w:t>
            </w:r>
            <w:r>
              <w:rPr>
                <w:rFonts w:hint="eastAsia" w:ascii="宋体" w:hAnsi="宋体" w:eastAsia="宋体" w:cs="宋体"/>
                <w:color w:val="auto"/>
                <w:kern w:val="0"/>
                <w:sz w:val="24"/>
                <w:szCs w:val="24"/>
                <w:highlight w:val="none"/>
                <w:lang w:eastAsia="zh-CN"/>
              </w:rPr>
              <w:t>：</w:t>
            </w:r>
          </w:p>
        </w:tc>
      </w:tr>
      <w:tr w14:paraId="7C15BD5B">
        <w:tblPrEx>
          <w:tblCellMar>
            <w:top w:w="0" w:type="dxa"/>
            <w:left w:w="108" w:type="dxa"/>
            <w:bottom w:w="0" w:type="dxa"/>
            <w:right w:w="108" w:type="dxa"/>
          </w:tblCellMar>
        </w:tblPrEx>
        <w:trPr>
          <w:trHeight w:val="735" w:hRule="atLeast"/>
          <w:jc w:val="center"/>
        </w:trPr>
        <w:tc>
          <w:tcPr>
            <w:tcW w:w="4551" w:type="dxa"/>
            <w:vMerge w:val="restart"/>
            <w:tcBorders>
              <w:top w:val="nil"/>
              <w:left w:val="single" w:color="auto" w:sz="8" w:space="0"/>
              <w:bottom w:val="single" w:color="000000" w:sz="8" w:space="0"/>
              <w:right w:val="single" w:color="auto" w:sz="8" w:space="0"/>
            </w:tcBorders>
            <w:noWrap w:val="0"/>
            <w:vAlign w:val="center"/>
          </w:tcPr>
          <w:p w14:paraId="5FC87EAA">
            <w:pPr>
              <w:widowControl/>
              <w:spacing w:line="24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（盖章）</w:t>
            </w:r>
          </w:p>
        </w:tc>
        <w:tc>
          <w:tcPr>
            <w:tcW w:w="4253" w:type="dxa"/>
            <w:tcBorders>
              <w:top w:val="nil"/>
              <w:left w:val="nil"/>
              <w:bottom w:val="nil"/>
              <w:right w:val="single" w:color="auto" w:sz="8" w:space="0"/>
            </w:tcBorders>
            <w:noWrap w:val="0"/>
            <w:vAlign w:val="center"/>
          </w:tcPr>
          <w:p w14:paraId="4A52AAC1">
            <w:pPr>
              <w:widowControl/>
              <w:spacing w:line="24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（盖章）</w:t>
            </w:r>
          </w:p>
        </w:tc>
      </w:tr>
      <w:tr w14:paraId="0AE28A75">
        <w:tblPrEx>
          <w:tblCellMar>
            <w:top w:w="0" w:type="dxa"/>
            <w:left w:w="108" w:type="dxa"/>
            <w:bottom w:w="0" w:type="dxa"/>
            <w:right w:w="108" w:type="dxa"/>
          </w:tblCellMar>
        </w:tblPrEx>
        <w:trPr>
          <w:trHeight w:val="235" w:hRule="atLeast"/>
          <w:jc w:val="center"/>
        </w:trPr>
        <w:tc>
          <w:tcPr>
            <w:tcW w:w="4551" w:type="dxa"/>
            <w:vMerge w:val="continue"/>
            <w:tcBorders>
              <w:top w:val="nil"/>
              <w:left w:val="single" w:color="auto" w:sz="8" w:space="0"/>
              <w:bottom w:val="single" w:color="000000" w:sz="8" w:space="0"/>
              <w:right w:val="single" w:color="auto" w:sz="8" w:space="0"/>
            </w:tcBorders>
            <w:noWrap w:val="0"/>
            <w:vAlign w:val="center"/>
          </w:tcPr>
          <w:p w14:paraId="6C597746">
            <w:pPr>
              <w:widowControl/>
              <w:spacing w:line="240" w:lineRule="auto"/>
              <w:jc w:val="left"/>
              <w:rPr>
                <w:rFonts w:hint="eastAsia" w:ascii="宋体" w:hAnsi="宋体" w:eastAsia="宋体" w:cs="宋体"/>
                <w:color w:val="auto"/>
                <w:kern w:val="0"/>
                <w:sz w:val="24"/>
                <w:szCs w:val="24"/>
                <w:highlight w:val="none"/>
              </w:rPr>
            </w:pPr>
          </w:p>
        </w:tc>
        <w:tc>
          <w:tcPr>
            <w:tcW w:w="4253" w:type="dxa"/>
            <w:tcBorders>
              <w:top w:val="nil"/>
              <w:left w:val="nil"/>
              <w:bottom w:val="single" w:color="auto" w:sz="8" w:space="0"/>
              <w:right w:val="single" w:color="auto" w:sz="8" w:space="0"/>
            </w:tcBorders>
            <w:noWrap w:val="0"/>
            <w:vAlign w:val="center"/>
          </w:tcPr>
          <w:p w14:paraId="6F809934">
            <w:pPr>
              <w:widowControl/>
              <w:spacing w:line="240" w:lineRule="auto"/>
              <w:jc w:val="center"/>
              <w:rPr>
                <w:rFonts w:hint="eastAsia" w:ascii="宋体" w:hAnsi="宋体" w:eastAsia="宋体" w:cs="宋体"/>
                <w:color w:val="auto"/>
                <w:kern w:val="0"/>
                <w:sz w:val="24"/>
                <w:szCs w:val="24"/>
                <w:highlight w:val="none"/>
              </w:rPr>
            </w:pPr>
          </w:p>
        </w:tc>
      </w:tr>
      <w:tr w14:paraId="36BB0B53">
        <w:tblPrEx>
          <w:tblCellMar>
            <w:top w:w="0" w:type="dxa"/>
            <w:left w:w="108" w:type="dxa"/>
            <w:bottom w:w="0" w:type="dxa"/>
            <w:right w:w="108" w:type="dxa"/>
          </w:tblCellMar>
        </w:tblPrEx>
        <w:trPr>
          <w:trHeight w:val="390" w:hRule="atLeast"/>
          <w:jc w:val="center"/>
        </w:trPr>
        <w:tc>
          <w:tcPr>
            <w:tcW w:w="4551" w:type="dxa"/>
            <w:tcBorders>
              <w:top w:val="nil"/>
              <w:left w:val="single" w:color="auto" w:sz="8" w:space="0"/>
              <w:bottom w:val="single" w:color="auto" w:sz="8" w:space="0"/>
              <w:right w:val="single" w:color="auto" w:sz="8" w:space="0"/>
            </w:tcBorders>
            <w:noWrap w:val="0"/>
            <w:vAlign w:val="center"/>
          </w:tcPr>
          <w:p w14:paraId="6E17F363">
            <w:pPr>
              <w:widowControl/>
              <w:spacing w:line="24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地址：</w:t>
            </w:r>
          </w:p>
        </w:tc>
        <w:tc>
          <w:tcPr>
            <w:tcW w:w="4253" w:type="dxa"/>
            <w:tcBorders>
              <w:top w:val="nil"/>
              <w:left w:val="nil"/>
              <w:bottom w:val="single" w:color="auto" w:sz="8" w:space="0"/>
              <w:right w:val="single" w:color="auto" w:sz="8" w:space="0"/>
            </w:tcBorders>
            <w:noWrap w:val="0"/>
            <w:vAlign w:val="center"/>
          </w:tcPr>
          <w:p w14:paraId="6A63BAA6">
            <w:pPr>
              <w:widowControl/>
              <w:spacing w:line="24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地址：</w:t>
            </w:r>
          </w:p>
        </w:tc>
      </w:tr>
      <w:tr w14:paraId="568BD13E">
        <w:tblPrEx>
          <w:tblCellMar>
            <w:top w:w="0" w:type="dxa"/>
            <w:left w:w="108" w:type="dxa"/>
            <w:bottom w:w="0" w:type="dxa"/>
            <w:right w:w="108" w:type="dxa"/>
          </w:tblCellMar>
        </w:tblPrEx>
        <w:trPr>
          <w:trHeight w:val="390" w:hRule="atLeast"/>
          <w:jc w:val="center"/>
        </w:trPr>
        <w:tc>
          <w:tcPr>
            <w:tcW w:w="4551" w:type="dxa"/>
            <w:tcBorders>
              <w:top w:val="nil"/>
              <w:left w:val="single" w:color="auto" w:sz="8" w:space="0"/>
              <w:bottom w:val="single" w:color="auto" w:sz="8" w:space="0"/>
              <w:right w:val="single" w:color="auto" w:sz="8" w:space="0"/>
            </w:tcBorders>
            <w:noWrap w:val="0"/>
            <w:vAlign w:val="center"/>
          </w:tcPr>
          <w:p w14:paraId="1FE9B5D1">
            <w:pPr>
              <w:widowControl/>
              <w:spacing w:line="24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邮编：</w:t>
            </w:r>
          </w:p>
        </w:tc>
        <w:tc>
          <w:tcPr>
            <w:tcW w:w="4253" w:type="dxa"/>
            <w:tcBorders>
              <w:top w:val="nil"/>
              <w:left w:val="nil"/>
              <w:bottom w:val="single" w:color="auto" w:sz="8" w:space="0"/>
              <w:right w:val="single" w:color="auto" w:sz="8" w:space="0"/>
            </w:tcBorders>
            <w:noWrap w:val="0"/>
            <w:vAlign w:val="center"/>
          </w:tcPr>
          <w:p w14:paraId="3B28C2A3">
            <w:pPr>
              <w:widowControl/>
              <w:spacing w:line="24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邮编：</w:t>
            </w:r>
          </w:p>
        </w:tc>
      </w:tr>
      <w:tr w14:paraId="25115654">
        <w:tblPrEx>
          <w:tblCellMar>
            <w:top w:w="0" w:type="dxa"/>
            <w:left w:w="108" w:type="dxa"/>
            <w:bottom w:w="0" w:type="dxa"/>
            <w:right w:w="108" w:type="dxa"/>
          </w:tblCellMar>
        </w:tblPrEx>
        <w:trPr>
          <w:trHeight w:val="576" w:hRule="atLeast"/>
          <w:jc w:val="center"/>
        </w:trPr>
        <w:tc>
          <w:tcPr>
            <w:tcW w:w="4551" w:type="dxa"/>
            <w:vMerge w:val="restart"/>
            <w:tcBorders>
              <w:top w:val="nil"/>
              <w:left w:val="single" w:color="auto" w:sz="8" w:space="0"/>
              <w:bottom w:val="single" w:color="000000" w:sz="8" w:space="0"/>
              <w:right w:val="single" w:color="auto" w:sz="8" w:space="0"/>
            </w:tcBorders>
            <w:noWrap w:val="0"/>
            <w:vAlign w:val="center"/>
          </w:tcPr>
          <w:p w14:paraId="02A1DEFB">
            <w:pPr>
              <w:widowControl/>
              <w:spacing w:line="24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全权代表：（签字）</w:t>
            </w:r>
          </w:p>
        </w:tc>
        <w:tc>
          <w:tcPr>
            <w:tcW w:w="4253" w:type="dxa"/>
            <w:tcBorders>
              <w:top w:val="nil"/>
              <w:left w:val="nil"/>
              <w:bottom w:val="single" w:color="auto" w:sz="8" w:space="0"/>
              <w:right w:val="single" w:color="auto" w:sz="8" w:space="0"/>
            </w:tcBorders>
            <w:noWrap w:val="0"/>
            <w:vAlign w:val="center"/>
          </w:tcPr>
          <w:p w14:paraId="042C92A1">
            <w:pPr>
              <w:widowControl/>
              <w:spacing w:line="24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法定代表人：</w:t>
            </w:r>
          </w:p>
        </w:tc>
      </w:tr>
      <w:tr w14:paraId="69C794FB">
        <w:tblPrEx>
          <w:tblCellMar>
            <w:top w:w="0" w:type="dxa"/>
            <w:left w:w="108" w:type="dxa"/>
            <w:bottom w:w="0" w:type="dxa"/>
            <w:right w:w="108" w:type="dxa"/>
          </w:tblCellMar>
        </w:tblPrEx>
        <w:trPr>
          <w:trHeight w:val="502" w:hRule="atLeast"/>
          <w:jc w:val="center"/>
        </w:trPr>
        <w:tc>
          <w:tcPr>
            <w:tcW w:w="4551" w:type="dxa"/>
            <w:vMerge w:val="continue"/>
            <w:tcBorders>
              <w:top w:val="nil"/>
              <w:left w:val="single" w:color="auto" w:sz="8" w:space="0"/>
              <w:bottom w:val="single" w:color="000000" w:sz="8" w:space="0"/>
              <w:right w:val="single" w:color="auto" w:sz="8" w:space="0"/>
            </w:tcBorders>
            <w:noWrap w:val="0"/>
            <w:vAlign w:val="center"/>
          </w:tcPr>
          <w:p w14:paraId="325FD139">
            <w:pPr>
              <w:widowControl/>
              <w:spacing w:line="240" w:lineRule="auto"/>
              <w:jc w:val="left"/>
              <w:rPr>
                <w:rFonts w:hint="eastAsia" w:ascii="宋体" w:hAnsi="宋体" w:eastAsia="宋体" w:cs="宋体"/>
                <w:color w:val="auto"/>
                <w:kern w:val="0"/>
                <w:sz w:val="24"/>
                <w:szCs w:val="24"/>
                <w:highlight w:val="none"/>
              </w:rPr>
            </w:pPr>
          </w:p>
        </w:tc>
        <w:tc>
          <w:tcPr>
            <w:tcW w:w="4253" w:type="dxa"/>
            <w:tcBorders>
              <w:top w:val="nil"/>
              <w:left w:val="nil"/>
              <w:bottom w:val="single" w:color="auto" w:sz="8" w:space="0"/>
              <w:right w:val="single" w:color="auto" w:sz="8" w:space="0"/>
            </w:tcBorders>
            <w:noWrap w:val="0"/>
            <w:vAlign w:val="center"/>
          </w:tcPr>
          <w:p w14:paraId="442AD18A">
            <w:pPr>
              <w:widowControl/>
              <w:spacing w:line="24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被授权代表：（签字）</w:t>
            </w:r>
          </w:p>
        </w:tc>
      </w:tr>
      <w:tr w14:paraId="50491085">
        <w:tblPrEx>
          <w:tblCellMar>
            <w:top w:w="0" w:type="dxa"/>
            <w:left w:w="108" w:type="dxa"/>
            <w:bottom w:w="0" w:type="dxa"/>
            <w:right w:w="108" w:type="dxa"/>
          </w:tblCellMar>
        </w:tblPrEx>
        <w:trPr>
          <w:trHeight w:val="390" w:hRule="atLeast"/>
          <w:jc w:val="center"/>
        </w:trPr>
        <w:tc>
          <w:tcPr>
            <w:tcW w:w="4551" w:type="dxa"/>
            <w:tcBorders>
              <w:top w:val="nil"/>
              <w:left w:val="single" w:color="auto" w:sz="8" w:space="0"/>
              <w:bottom w:val="single" w:color="auto" w:sz="8" w:space="0"/>
              <w:right w:val="single" w:color="auto" w:sz="8" w:space="0"/>
            </w:tcBorders>
            <w:noWrap w:val="0"/>
            <w:vAlign w:val="center"/>
          </w:tcPr>
          <w:p w14:paraId="5120F9A6">
            <w:pPr>
              <w:widowControl/>
              <w:spacing w:line="24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电话：</w:t>
            </w:r>
          </w:p>
        </w:tc>
        <w:tc>
          <w:tcPr>
            <w:tcW w:w="4253" w:type="dxa"/>
            <w:tcBorders>
              <w:top w:val="nil"/>
              <w:left w:val="nil"/>
              <w:bottom w:val="single" w:color="auto" w:sz="8" w:space="0"/>
              <w:right w:val="single" w:color="auto" w:sz="8" w:space="0"/>
            </w:tcBorders>
            <w:noWrap w:val="0"/>
            <w:vAlign w:val="center"/>
          </w:tcPr>
          <w:p w14:paraId="7A105288">
            <w:pPr>
              <w:widowControl/>
              <w:spacing w:line="24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电话：</w:t>
            </w:r>
          </w:p>
        </w:tc>
      </w:tr>
      <w:tr w14:paraId="685F6435">
        <w:tblPrEx>
          <w:tblCellMar>
            <w:top w:w="0" w:type="dxa"/>
            <w:left w:w="108" w:type="dxa"/>
            <w:bottom w:w="0" w:type="dxa"/>
            <w:right w:w="108" w:type="dxa"/>
          </w:tblCellMar>
        </w:tblPrEx>
        <w:trPr>
          <w:trHeight w:val="390" w:hRule="atLeast"/>
          <w:jc w:val="center"/>
        </w:trPr>
        <w:tc>
          <w:tcPr>
            <w:tcW w:w="4551" w:type="dxa"/>
            <w:vMerge w:val="restart"/>
            <w:tcBorders>
              <w:top w:val="nil"/>
              <w:left w:val="single" w:color="auto" w:sz="8" w:space="0"/>
              <w:bottom w:val="single" w:color="000000" w:sz="8" w:space="0"/>
              <w:right w:val="single" w:color="auto" w:sz="8" w:space="0"/>
            </w:tcBorders>
            <w:noWrap w:val="0"/>
            <w:vAlign w:val="center"/>
          </w:tcPr>
          <w:p w14:paraId="75D7627C">
            <w:pPr>
              <w:widowControl/>
              <w:spacing w:line="24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传真：</w:t>
            </w:r>
          </w:p>
        </w:tc>
        <w:tc>
          <w:tcPr>
            <w:tcW w:w="4253" w:type="dxa"/>
            <w:tcBorders>
              <w:top w:val="nil"/>
              <w:left w:val="nil"/>
              <w:bottom w:val="single" w:color="auto" w:sz="8" w:space="0"/>
              <w:right w:val="single" w:color="auto" w:sz="8" w:space="0"/>
            </w:tcBorders>
            <w:noWrap w:val="0"/>
            <w:vAlign w:val="center"/>
          </w:tcPr>
          <w:p w14:paraId="27D5BE63">
            <w:pPr>
              <w:widowControl/>
              <w:spacing w:line="24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传真：</w:t>
            </w:r>
          </w:p>
        </w:tc>
      </w:tr>
      <w:tr w14:paraId="471201C9">
        <w:tblPrEx>
          <w:tblCellMar>
            <w:top w:w="0" w:type="dxa"/>
            <w:left w:w="108" w:type="dxa"/>
            <w:bottom w:w="0" w:type="dxa"/>
            <w:right w:w="108" w:type="dxa"/>
          </w:tblCellMar>
        </w:tblPrEx>
        <w:trPr>
          <w:trHeight w:val="390" w:hRule="atLeast"/>
          <w:jc w:val="center"/>
        </w:trPr>
        <w:tc>
          <w:tcPr>
            <w:tcW w:w="4551" w:type="dxa"/>
            <w:vMerge w:val="continue"/>
            <w:tcBorders>
              <w:top w:val="nil"/>
              <w:left w:val="single" w:color="auto" w:sz="8" w:space="0"/>
              <w:bottom w:val="single" w:color="000000" w:sz="8" w:space="0"/>
              <w:right w:val="single" w:color="auto" w:sz="8" w:space="0"/>
            </w:tcBorders>
            <w:noWrap w:val="0"/>
            <w:vAlign w:val="center"/>
          </w:tcPr>
          <w:p w14:paraId="2C5DE15E">
            <w:pPr>
              <w:widowControl/>
              <w:spacing w:line="240" w:lineRule="auto"/>
              <w:jc w:val="left"/>
              <w:rPr>
                <w:rFonts w:hint="eastAsia" w:ascii="宋体" w:hAnsi="宋体" w:eastAsia="宋体" w:cs="宋体"/>
                <w:color w:val="auto"/>
                <w:kern w:val="0"/>
                <w:sz w:val="24"/>
                <w:szCs w:val="24"/>
                <w:highlight w:val="none"/>
              </w:rPr>
            </w:pPr>
          </w:p>
        </w:tc>
        <w:tc>
          <w:tcPr>
            <w:tcW w:w="4253" w:type="dxa"/>
            <w:tcBorders>
              <w:top w:val="nil"/>
              <w:left w:val="nil"/>
              <w:bottom w:val="single" w:color="auto" w:sz="8" w:space="0"/>
              <w:right w:val="single" w:color="auto" w:sz="8" w:space="0"/>
            </w:tcBorders>
            <w:noWrap w:val="0"/>
            <w:vAlign w:val="center"/>
          </w:tcPr>
          <w:p w14:paraId="0D749956">
            <w:pPr>
              <w:widowControl/>
              <w:spacing w:line="24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开户银行：</w:t>
            </w:r>
          </w:p>
        </w:tc>
      </w:tr>
      <w:tr w14:paraId="7B72CFAD">
        <w:tblPrEx>
          <w:tblCellMar>
            <w:top w:w="0" w:type="dxa"/>
            <w:left w:w="108" w:type="dxa"/>
            <w:bottom w:w="0" w:type="dxa"/>
            <w:right w:w="108" w:type="dxa"/>
          </w:tblCellMar>
        </w:tblPrEx>
        <w:trPr>
          <w:trHeight w:val="390" w:hRule="atLeast"/>
          <w:jc w:val="center"/>
        </w:trPr>
        <w:tc>
          <w:tcPr>
            <w:tcW w:w="4551" w:type="dxa"/>
            <w:vMerge w:val="continue"/>
            <w:tcBorders>
              <w:top w:val="nil"/>
              <w:left w:val="single" w:color="auto" w:sz="8" w:space="0"/>
              <w:bottom w:val="single" w:color="000000" w:sz="8" w:space="0"/>
              <w:right w:val="single" w:color="auto" w:sz="8" w:space="0"/>
            </w:tcBorders>
            <w:noWrap w:val="0"/>
            <w:vAlign w:val="center"/>
          </w:tcPr>
          <w:p w14:paraId="7E71FC66">
            <w:pPr>
              <w:widowControl/>
              <w:spacing w:line="240" w:lineRule="auto"/>
              <w:jc w:val="left"/>
              <w:rPr>
                <w:rFonts w:hint="eastAsia" w:ascii="宋体" w:hAnsi="宋体" w:eastAsia="宋体" w:cs="宋体"/>
                <w:color w:val="auto"/>
                <w:kern w:val="0"/>
                <w:sz w:val="24"/>
                <w:szCs w:val="24"/>
                <w:highlight w:val="none"/>
              </w:rPr>
            </w:pPr>
          </w:p>
        </w:tc>
        <w:tc>
          <w:tcPr>
            <w:tcW w:w="4253" w:type="dxa"/>
            <w:tcBorders>
              <w:top w:val="nil"/>
              <w:left w:val="nil"/>
              <w:bottom w:val="single" w:color="auto" w:sz="8" w:space="0"/>
              <w:right w:val="single" w:color="auto" w:sz="8" w:space="0"/>
            </w:tcBorders>
            <w:noWrap w:val="0"/>
            <w:vAlign w:val="center"/>
          </w:tcPr>
          <w:p w14:paraId="3F9B2CFE">
            <w:pPr>
              <w:widowControl/>
              <w:spacing w:line="24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账号:</w:t>
            </w:r>
          </w:p>
        </w:tc>
      </w:tr>
      <w:tr w14:paraId="3D412F12">
        <w:tblPrEx>
          <w:tblCellMar>
            <w:top w:w="0" w:type="dxa"/>
            <w:left w:w="108" w:type="dxa"/>
            <w:bottom w:w="0" w:type="dxa"/>
            <w:right w:w="108" w:type="dxa"/>
          </w:tblCellMar>
        </w:tblPrEx>
        <w:trPr>
          <w:trHeight w:val="390" w:hRule="atLeast"/>
          <w:jc w:val="center"/>
        </w:trPr>
        <w:tc>
          <w:tcPr>
            <w:tcW w:w="4551" w:type="dxa"/>
            <w:tcBorders>
              <w:top w:val="nil"/>
              <w:left w:val="single" w:color="auto" w:sz="8" w:space="0"/>
              <w:bottom w:val="single" w:color="auto" w:sz="8" w:space="0"/>
              <w:right w:val="single" w:color="auto" w:sz="8" w:space="0"/>
            </w:tcBorders>
            <w:noWrap w:val="0"/>
            <w:vAlign w:val="center"/>
          </w:tcPr>
          <w:p w14:paraId="0F6667FD">
            <w:pPr>
              <w:widowControl/>
              <w:spacing w:line="24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日期：     年   月   日</w:t>
            </w:r>
          </w:p>
        </w:tc>
        <w:tc>
          <w:tcPr>
            <w:tcW w:w="4253" w:type="dxa"/>
            <w:tcBorders>
              <w:top w:val="nil"/>
              <w:left w:val="nil"/>
              <w:bottom w:val="single" w:color="auto" w:sz="4" w:space="0"/>
              <w:right w:val="single" w:color="auto" w:sz="8" w:space="0"/>
            </w:tcBorders>
            <w:noWrap w:val="0"/>
            <w:vAlign w:val="center"/>
          </w:tcPr>
          <w:p w14:paraId="51A32869">
            <w:pPr>
              <w:widowControl/>
              <w:spacing w:line="24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日期：     年   月   日</w:t>
            </w:r>
          </w:p>
        </w:tc>
      </w:tr>
      <w:tr w14:paraId="22FCF5AB">
        <w:tblPrEx>
          <w:tblCellMar>
            <w:top w:w="0" w:type="dxa"/>
            <w:left w:w="108" w:type="dxa"/>
            <w:bottom w:w="0" w:type="dxa"/>
            <w:right w:w="108" w:type="dxa"/>
          </w:tblCellMar>
        </w:tblPrEx>
        <w:trPr>
          <w:trHeight w:val="381" w:hRule="atLeast"/>
          <w:jc w:val="center"/>
        </w:trPr>
        <w:tc>
          <w:tcPr>
            <w:tcW w:w="4551" w:type="dxa"/>
            <w:tcBorders>
              <w:top w:val="nil"/>
              <w:left w:val="single" w:color="auto" w:sz="8" w:space="0"/>
              <w:bottom w:val="nil"/>
              <w:right w:val="single" w:color="auto" w:sz="4" w:space="0"/>
            </w:tcBorders>
            <w:noWrap w:val="0"/>
            <w:vAlign w:val="center"/>
          </w:tcPr>
          <w:p w14:paraId="35BACFBC">
            <w:pPr>
              <w:widowControl/>
              <w:spacing w:line="24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见证方</w:t>
            </w:r>
          </w:p>
        </w:tc>
        <w:tc>
          <w:tcPr>
            <w:tcW w:w="4253" w:type="dxa"/>
            <w:tcBorders>
              <w:top w:val="single" w:color="auto" w:sz="4" w:space="0"/>
              <w:left w:val="single" w:color="auto" w:sz="4" w:space="0"/>
              <w:bottom w:val="single" w:color="auto" w:sz="4" w:space="0"/>
              <w:right w:val="single" w:color="auto" w:sz="4" w:space="0"/>
            </w:tcBorders>
            <w:noWrap/>
            <w:vAlign w:val="center"/>
          </w:tcPr>
          <w:p w14:paraId="72A2FD61">
            <w:pPr>
              <w:widowControl/>
              <w:spacing w:line="240" w:lineRule="auto"/>
              <w:jc w:val="left"/>
              <w:rPr>
                <w:rFonts w:hint="eastAsia" w:ascii="宋体" w:hAnsi="宋体" w:eastAsia="宋体" w:cs="宋体"/>
                <w:color w:val="auto"/>
                <w:kern w:val="0"/>
                <w:sz w:val="24"/>
                <w:szCs w:val="24"/>
                <w:highlight w:val="none"/>
              </w:rPr>
            </w:pPr>
          </w:p>
        </w:tc>
      </w:tr>
      <w:tr w14:paraId="2391233E">
        <w:tblPrEx>
          <w:tblCellMar>
            <w:top w:w="0" w:type="dxa"/>
            <w:left w:w="108" w:type="dxa"/>
            <w:bottom w:w="0" w:type="dxa"/>
            <w:right w:w="108" w:type="dxa"/>
          </w:tblCellMar>
        </w:tblPrEx>
        <w:trPr>
          <w:trHeight w:val="270" w:hRule="atLeast"/>
          <w:jc w:val="center"/>
        </w:trPr>
        <w:tc>
          <w:tcPr>
            <w:tcW w:w="4551" w:type="dxa"/>
            <w:vMerge w:val="restart"/>
            <w:tcBorders>
              <w:top w:val="single" w:color="auto" w:sz="8" w:space="0"/>
              <w:left w:val="single" w:color="auto" w:sz="8" w:space="0"/>
              <w:right w:val="single" w:color="auto" w:sz="4" w:space="0"/>
            </w:tcBorders>
            <w:noWrap w:val="0"/>
            <w:vAlign w:val="center"/>
          </w:tcPr>
          <w:p w14:paraId="4A29AA64">
            <w:pPr>
              <w:widowControl/>
              <w:spacing w:line="24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（盖章）</w:t>
            </w:r>
          </w:p>
        </w:tc>
        <w:tc>
          <w:tcPr>
            <w:tcW w:w="4253" w:type="dxa"/>
            <w:tcBorders>
              <w:top w:val="single" w:color="auto" w:sz="4" w:space="0"/>
              <w:left w:val="single" w:color="auto" w:sz="4" w:space="0"/>
              <w:bottom w:val="single" w:color="auto" w:sz="4" w:space="0"/>
              <w:right w:val="single" w:color="auto" w:sz="4" w:space="0"/>
            </w:tcBorders>
            <w:noWrap/>
            <w:vAlign w:val="center"/>
          </w:tcPr>
          <w:p w14:paraId="41943139">
            <w:pPr>
              <w:widowControl/>
              <w:spacing w:line="240" w:lineRule="auto"/>
              <w:jc w:val="left"/>
              <w:rPr>
                <w:rFonts w:hint="eastAsia" w:ascii="宋体" w:hAnsi="宋体" w:eastAsia="宋体" w:cs="宋体"/>
                <w:color w:val="auto"/>
                <w:kern w:val="0"/>
                <w:sz w:val="24"/>
                <w:szCs w:val="24"/>
                <w:highlight w:val="none"/>
              </w:rPr>
            </w:pPr>
          </w:p>
        </w:tc>
      </w:tr>
      <w:tr w14:paraId="2F115DD0">
        <w:tblPrEx>
          <w:tblCellMar>
            <w:top w:w="0" w:type="dxa"/>
            <w:left w:w="108" w:type="dxa"/>
            <w:bottom w:w="0" w:type="dxa"/>
            <w:right w:w="108" w:type="dxa"/>
          </w:tblCellMar>
        </w:tblPrEx>
        <w:trPr>
          <w:trHeight w:val="299" w:hRule="atLeast"/>
          <w:jc w:val="center"/>
        </w:trPr>
        <w:tc>
          <w:tcPr>
            <w:tcW w:w="4551" w:type="dxa"/>
            <w:vMerge w:val="continue"/>
            <w:tcBorders>
              <w:left w:val="single" w:color="auto" w:sz="8" w:space="0"/>
              <w:right w:val="single" w:color="auto" w:sz="4" w:space="0"/>
            </w:tcBorders>
            <w:noWrap w:val="0"/>
            <w:vAlign w:val="center"/>
          </w:tcPr>
          <w:p w14:paraId="010BD437">
            <w:pPr>
              <w:widowControl/>
              <w:spacing w:line="240" w:lineRule="auto"/>
              <w:jc w:val="left"/>
              <w:rPr>
                <w:rFonts w:hint="eastAsia" w:ascii="宋体" w:hAnsi="宋体" w:eastAsia="宋体" w:cs="宋体"/>
                <w:color w:val="auto"/>
                <w:kern w:val="0"/>
                <w:sz w:val="24"/>
                <w:szCs w:val="24"/>
                <w:highlight w:val="none"/>
              </w:rPr>
            </w:pPr>
          </w:p>
        </w:tc>
        <w:tc>
          <w:tcPr>
            <w:tcW w:w="4253" w:type="dxa"/>
            <w:tcBorders>
              <w:top w:val="single" w:color="auto" w:sz="4" w:space="0"/>
              <w:left w:val="single" w:color="auto" w:sz="4" w:space="0"/>
              <w:bottom w:val="single" w:color="auto" w:sz="4" w:space="0"/>
              <w:right w:val="single" w:color="auto" w:sz="4" w:space="0"/>
            </w:tcBorders>
            <w:noWrap/>
            <w:vAlign w:val="center"/>
          </w:tcPr>
          <w:p w14:paraId="0438278B">
            <w:pPr>
              <w:widowControl/>
              <w:spacing w:line="240" w:lineRule="auto"/>
              <w:jc w:val="left"/>
              <w:rPr>
                <w:rFonts w:hint="eastAsia" w:ascii="宋体" w:hAnsi="宋体" w:eastAsia="宋体" w:cs="宋体"/>
                <w:color w:val="auto"/>
                <w:kern w:val="0"/>
                <w:sz w:val="24"/>
                <w:szCs w:val="24"/>
                <w:highlight w:val="none"/>
              </w:rPr>
            </w:pPr>
          </w:p>
        </w:tc>
      </w:tr>
      <w:tr w14:paraId="5330404F">
        <w:tblPrEx>
          <w:tblCellMar>
            <w:top w:w="0" w:type="dxa"/>
            <w:left w:w="108" w:type="dxa"/>
            <w:bottom w:w="0" w:type="dxa"/>
            <w:right w:w="108" w:type="dxa"/>
          </w:tblCellMar>
        </w:tblPrEx>
        <w:trPr>
          <w:trHeight w:val="270" w:hRule="atLeast"/>
          <w:jc w:val="center"/>
        </w:trPr>
        <w:tc>
          <w:tcPr>
            <w:tcW w:w="4551" w:type="dxa"/>
            <w:vMerge w:val="continue"/>
            <w:tcBorders>
              <w:left w:val="single" w:color="auto" w:sz="8" w:space="0"/>
              <w:right w:val="single" w:color="auto" w:sz="4" w:space="0"/>
            </w:tcBorders>
            <w:noWrap w:val="0"/>
            <w:vAlign w:val="center"/>
          </w:tcPr>
          <w:p w14:paraId="54B747AE">
            <w:pPr>
              <w:widowControl/>
              <w:spacing w:line="240" w:lineRule="auto"/>
              <w:jc w:val="left"/>
              <w:rPr>
                <w:rFonts w:hint="eastAsia" w:ascii="宋体" w:hAnsi="宋体" w:eastAsia="宋体" w:cs="宋体"/>
                <w:color w:val="auto"/>
                <w:kern w:val="0"/>
                <w:sz w:val="24"/>
                <w:szCs w:val="24"/>
                <w:highlight w:val="none"/>
              </w:rPr>
            </w:pPr>
          </w:p>
        </w:tc>
        <w:tc>
          <w:tcPr>
            <w:tcW w:w="4253" w:type="dxa"/>
            <w:tcBorders>
              <w:top w:val="single" w:color="auto" w:sz="4" w:space="0"/>
              <w:left w:val="single" w:color="auto" w:sz="4" w:space="0"/>
              <w:bottom w:val="single" w:color="auto" w:sz="4" w:space="0"/>
              <w:right w:val="single" w:color="auto" w:sz="4" w:space="0"/>
            </w:tcBorders>
            <w:noWrap/>
            <w:vAlign w:val="center"/>
          </w:tcPr>
          <w:p w14:paraId="3748F527">
            <w:pPr>
              <w:widowControl/>
              <w:spacing w:line="240" w:lineRule="auto"/>
              <w:jc w:val="left"/>
              <w:rPr>
                <w:rFonts w:hint="eastAsia" w:ascii="宋体" w:hAnsi="宋体" w:eastAsia="宋体" w:cs="宋体"/>
                <w:color w:val="auto"/>
                <w:kern w:val="0"/>
                <w:sz w:val="24"/>
                <w:szCs w:val="24"/>
                <w:highlight w:val="none"/>
              </w:rPr>
            </w:pPr>
          </w:p>
        </w:tc>
      </w:tr>
      <w:tr w14:paraId="46F7801E">
        <w:tblPrEx>
          <w:tblCellMar>
            <w:top w:w="0" w:type="dxa"/>
            <w:left w:w="108" w:type="dxa"/>
            <w:bottom w:w="0" w:type="dxa"/>
            <w:right w:w="108" w:type="dxa"/>
          </w:tblCellMar>
        </w:tblPrEx>
        <w:trPr>
          <w:trHeight w:val="285" w:hRule="atLeast"/>
          <w:jc w:val="center"/>
        </w:trPr>
        <w:tc>
          <w:tcPr>
            <w:tcW w:w="4551" w:type="dxa"/>
            <w:vMerge w:val="continue"/>
            <w:tcBorders>
              <w:left w:val="single" w:color="auto" w:sz="8" w:space="0"/>
              <w:bottom w:val="single" w:color="000000" w:sz="8" w:space="0"/>
              <w:right w:val="single" w:color="auto" w:sz="4" w:space="0"/>
            </w:tcBorders>
            <w:noWrap w:val="0"/>
            <w:vAlign w:val="center"/>
          </w:tcPr>
          <w:p w14:paraId="7520991E">
            <w:pPr>
              <w:widowControl/>
              <w:spacing w:line="240" w:lineRule="auto"/>
              <w:jc w:val="left"/>
              <w:rPr>
                <w:rFonts w:hint="eastAsia" w:ascii="宋体" w:hAnsi="宋体" w:eastAsia="宋体" w:cs="宋体"/>
                <w:color w:val="auto"/>
                <w:kern w:val="0"/>
                <w:sz w:val="24"/>
                <w:szCs w:val="24"/>
                <w:highlight w:val="none"/>
              </w:rPr>
            </w:pPr>
          </w:p>
        </w:tc>
        <w:tc>
          <w:tcPr>
            <w:tcW w:w="4253" w:type="dxa"/>
            <w:tcBorders>
              <w:top w:val="single" w:color="auto" w:sz="4" w:space="0"/>
              <w:left w:val="single" w:color="auto" w:sz="4" w:space="0"/>
              <w:bottom w:val="single" w:color="auto" w:sz="4" w:space="0"/>
              <w:right w:val="single" w:color="auto" w:sz="4" w:space="0"/>
            </w:tcBorders>
            <w:noWrap/>
            <w:vAlign w:val="center"/>
          </w:tcPr>
          <w:p w14:paraId="5002B0EC">
            <w:pPr>
              <w:widowControl/>
              <w:spacing w:line="240" w:lineRule="auto"/>
              <w:jc w:val="left"/>
              <w:rPr>
                <w:rFonts w:hint="eastAsia" w:ascii="宋体" w:hAnsi="宋体" w:eastAsia="宋体" w:cs="宋体"/>
                <w:color w:val="auto"/>
                <w:kern w:val="0"/>
                <w:sz w:val="24"/>
                <w:szCs w:val="24"/>
                <w:highlight w:val="none"/>
              </w:rPr>
            </w:pPr>
          </w:p>
        </w:tc>
      </w:tr>
      <w:tr w14:paraId="637990AA">
        <w:tblPrEx>
          <w:tblCellMar>
            <w:top w:w="0" w:type="dxa"/>
            <w:left w:w="108" w:type="dxa"/>
            <w:bottom w:w="0" w:type="dxa"/>
            <w:right w:w="108" w:type="dxa"/>
          </w:tblCellMar>
        </w:tblPrEx>
        <w:trPr>
          <w:trHeight w:val="512" w:hRule="atLeast"/>
          <w:jc w:val="center"/>
        </w:trPr>
        <w:tc>
          <w:tcPr>
            <w:tcW w:w="4551" w:type="dxa"/>
            <w:tcBorders>
              <w:top w:val="nil"/>
              <w:left w:val="single" w:color="auto" w:sz="8" w:space="0"/>
              <w:bottom w:val="single" w:color="auto" w:sz="8" w:space="0"/>
              <w:right w:val="single" w:color="auto" w:sz="4" w:space="0"/>
            </w:tcBorders>
            <w:noWrap w:val="0"/>
            <w:vAlign w:val="center"/>
          </w:tcPr>
          <w:p w14:paraId="427D10D6">
            <w:pPr>
              <w:widowControl/>
              <w:spacing w:line="24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日期：     年   月   日</w:t>
            </w:r>
          </w:p>
        </w:tc>
        <w:tc>
          <w:tcPr>
            <w:tcW w:w="4253" w:type="dxa"/>
            <w:tcBorders>
              <w:top w:val="single" w:color="auto" w:sz="4" w:space="0"/>
              <w:left w:val="single" w:color="auto" w:sz="4" w:space="0"/>
              <w:bottom w:val="single" w:color="auto" w:sz="4" w:space="0"/>
              <w:right w:val="single" w:color="auto" w:sz="4" w:space="0"/>
            </w:tcBorders>
            <w:noWrap/>
            <w:vAlign w:val="center"/>
          </w:tcPr>
          <w:p w14:paraId="7DF14011">
            <w:pPr>
              <w:widowControl/>
              <w:spacing w:line="240" w:lineRule="auto"/>
              <w:jc w:val="left"/>
              <w:rPr>
                <w:rFonts w:hint="eastAsia" w:ascii="宋体" w:hAnsi="宋体" w:eastAsia="宋体" w:cs="宋体"/>
                <w:color w:val="auto"/>
                <w:kern w:val="0"/>
                <w:sz w:val="24"/>
                <w:szCs w:val="24"/>
                <w:highlight w:val="none"/>
              </w:rPr>
            </w:pPr>
          </w:p>
        </w:tc>
      </w:tr>
    </w:tbl>
    <w:p w14:paraId="158F9F54">
      <w:pPr>
        <w:pStyle w:val="4"/>
        <w:keepNext w:val="0"/>
        <w:keepLines w:val="0"/>
        <w:pageBreakBefore w:val="0"/>
        <w:widowControl w:val="0"/>
        <w:kinsoku/>
        <w:wordWrap/>
        <w:overflowPunct/>
        <w:topLinePunct w:val="0"/>
        <w:autoSpaceDE/>
        <w:autoSpaceDN/>
        <w:bidi w:val="0"/>
        <w:adjustRightInd/>
        <w:snapToGrid/>
        <w:spacing w:line="336" w:lineRule="auto"/>
        <w:ind w:firstLine="600" w:firstLineChars="250"/>
        <w:jc w:val="both"/>
        <w:textAlignment w:val="auto"/>
        <w:rPr>
          <w:rFonts w:hint="eastAsia" w:ascii="宋体" w:hAnsi="宋体" w:eastAsia="宋体" w:cs="宋体"/>
          <w:color w:val="auto"/>
          <w:sz w:val="24"/>
          <w:szCs w:val="24"/>
          <w:highlight w:val="none"/>
        </w:rPr>
      </w:pPr>
    </w:p>
    <w:p w14:paraId="1D46B8C5">
      <w:pPr>
        <w:pStyle w:val="4"/>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623C5F88">
      <w:pPr>
        <w:pStyle w:val="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一、合同条款</w:t>
      </w:r>
    </w:p>
    <w:p w14:paraId="39A2B5A4">
      <w:pPr>
        <w:pStyle w:val="4"/>
        <w:ind w:left="0" w:leftChars="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合同条款前附表</w:t>
      </w:r>
    </w:p>
    <w:tbl>
      <w:tblPr>
        <w:tblStyle w:val="6"/>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8410"/>
      </w:tblGrid>
      <w:tr w14:paraId="04610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center"/>
          </w:tcPr>
          <w:p w14:paraId="3F528990">
            <w:pPr>
              <w:pStyle w:val="4"/>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8410" w:type="dxa"/>
            <w:noWrap w:val="0"/>
            <w:vAlign w:val="center"/>
          </w:tcPr>
          <w:p w14:paraId="6D61752A">
            <w:pPr>
              <w:pStyle w:val="4"/>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内容</w:t>
            </w:r>
          </w:p>
        </w:tc>
      </w:tr>
      <w:tr w14:paraId="0F333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876" w:type="dxa"/>
            <w:noWrap w:val="0"/>
            <w:vAlign w:val="center"/>
          </w:tcPr>
          <w:p w14:paraId="43AC9D7A">
            <w:pPr>
              <w:pStyle w:val="4"/>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8410" w:type="dxa"/>
            <w:noWrap w:val="0"/>
            <w:vAlign w:val="center"/>
          </w:tcPr>
          <w:p w14:paraId="68932D5C">
            <w:pPr>
              <w:pStyle w:val="4"/>
              <w:ind w:left="1200" w:hanging="1200" w:hangingChars="500"/>
              <w:jc w:val="left"/>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合同名称：</w:t>
            </w:r>
            <w:r>
              <w:rPr>
                <w:rFonts w:hint="eastAsia" w:ascii="宋体" w:hAnsi="宋体" w:eastAsia="宋体" w:cs="宋体"/>
                <w:color w:val="auto"/>
                <w:sz w:val="24"/>
                <w:szCs w:val="24"/>
                <w:highlight w:val="none"/>
                <w:lang w:eastAsia="zh-CN"/>
              </w:rPr>
              <w:t>不动产统一登记平台矿业权登记发证功能拓展项目</w:t>
            </w:r>
            <w:r>
              <w:rPr>
                <w:rFonts w:hint="eastAsia" w:hAnsi="宋体" w:eastAsia="宋体" w:cs="宋体"/>
                <w:color w:val="auto"/>
                <w:sz w:val="24"/>
                <w:szCs w:val="24"/>
                <w:highlight w:val="none"/>
                <w:lang w:val="en-US" w:eastAsia="zh-CN"/>
              </w:rPr>
              <w:t>政府采购合同</w:t>
            </w:r>
          </w:p>
          <w:p w14:paraId="3D87E6F2">
            <w:pPr>
              <w:pStyle w:val="4"/>
              <w:jc w:val="left"/>
              <w:rPr>
                <w:rFonts w:hint="eastAsia" w:ascii="宋体" w:hAnsi="宋体" w:eastAsia="宋体" w:cs="宋体"/>
                <w:color w:val="auto"/>
                <w:sz w:val="24"/>
                <w:szCs w:val="24"/>
                <w:highlight w:val="none"/>
              </w:rPr>
            </w:pPr>
            <w:r>
              <w:rPr>
                <w:rFonts w:hint="eastAsia" w:hAnsi="宋体" w:eastAsia="宋体" w:cs="宋体"/>
                <w:color w:val="auto"/>
                <w:sz w:val="24"/>
                <w:szCs w:val="24"/>
                <w:highlight w:val="none"/>
                <w:lang w:val="en-US" w:eastAsia="zh-CN"/>
              </w:rPr>
              <w:t>项目</w:t>
            </w:r>
            <w:r>
              <w:rPr>
                <w:rFonts w:hint="eastAsia" w:ascii="宋体" w:hAnsi="宋体" w:eastAsia="宋体" w:cs="宋体"/>
                <w:color w:val="auto"/>
                <w:sz w:val="24"/>
                <w:szCs w:val="24"/>
                <w:highlight w:val="none"/>
              </w:rPr>
              <w:t>编号：</w:t>
            </w:r>
          </w:p>
        </w:tc>
      </w:tr>
      <w:tr w14:paraId="70AEE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Merge w:val="restart"/>
            <w:noWrap w:val="0"/>
            <w:vAlign w:val="center"/>
          </w:tcPr>
          <w:p w14:paraId="35128290">
            <w:pPr>
              <w:pStyle w:val="4"/>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8410" w:type="dxa"/>
            <w:noWrap w:val="0"/>
            <w:vAlign w:val="center"/>
          </w:tcPr>
          <w:p w14:paraId="13178D5D">
            <w:pPr>
              <w:pStyle w:val="4"/>
              <w:jc w:val="left"/>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甲方名称：陕西省不动产登记服务中心</w:t>
            </w:r>
          </w:p>
        </w:tc>
      </w:tr>
      <w:tr w14:paraId="3B8FA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Merge w:val="continue"/>
            <w:noWrap w:val="0"/>
            <w:vAlign w:val="center"/>
          </w:tcPr>
          <w:p w14:paraId="3ECCAB0C">
            <w:pPr>
              <w:pStyle w:val="4"/>
              <w:jc w:val="center"/>
              <w:rPr>
                <w:rFonts w:hint="eastAsia" w:ascii="宋体" w:hAnsi="宋体" w:eastAsia="宋体" w:cs="宋体"/>
                <w:color w:val="auto"/>
                <w:sz w:val="24"/>
                <w:szCs w:val="24"/>
                <w:highlight w:val="none"/>
              </w:rPr>
            </w:pPr>
          </w:p>
        </w:tc>
        <w:tc>
          <w:tcPr>
            <w:tcW w:w="8410" w:type="dxa"/>
            <w:noWrap w:val="0"/>
            <w:vAlign w:val="center"/>
          </w:tcPr>
          <w:p w14:paraId="46959FDD">
            <w:pPr>
              <w:pStyle w:val="4"/>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甲方地址：</w:t>
            </w:r>
          </w:p>
        </w:tc>
      </w:tr>
      <w:tr w14:paraId="0EF84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Merge w:val="continue"/>
            <w:noWrap w:val="0"/>
            <w:vAlign w:val="center"/>
          </w:tcPr>
          <w:p w14:paraId="7E2689B9">
            <w:pPr>
              <w:pStyle w:val="4"/>
              <w:jc w:val="center"/>
              <w:rPr>
                <w:rFonts w:hint="eastAsia" w:ascii="宋体" w:hAnsi="宋体" w:eastAsia="宋体" w:cs="宋体"/>
                <w:color w:val="auto"/>
                <w:sz w:val="24"/>
                <w:szCs w:val="24"/>
                <w:highlight w:val="none"/>
              </w:rPr>
            </w:pPr>
          </w:p>
        </w:tc>
        <w:tc>
          <w:tcPr>
            <w:tcW w:w="8410" w:type="dxa"/>
            <w:noWrap w:val="0"/>
            <w:vAlign w:val="center"/>
          </w:tcPr>
          <w:p w14:paraId="650A39B8">
            <w:pPr>
              <w:pStyle w:val="4"/>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甲方联系人：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电话：</w:t>
            </w:r>
          </w:p>
        </w:tc>
      </w:tr>
      <w:tr w14:paraId="59A3D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Merge w:val="restart"/>
            <w:noWrap w:val="0"/>
            <w:vAlign w:val="center"/>
          </w:tcPr>
          <w:p w14:paraId="29E358DE">
            <w:pPr>
              <w:pStyle w:val="4"/>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8410" w:type="dxa"/>
            <w:noWrap w:val="0"/>
            <w:vAlign w:val="center"/>
          </w:tcPr>
          <w:p w14:paraId="4550DF30">
            <w:pPr>
              <w:pStyle w:val="4"/>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乙方名称：</w:t>
            </w:r>
          </w:p>
        </w:tc>
      </w:tr>
      <w:tr w14:paraId="174A8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Merge w:val="continue"/>
            <w:noWrap w:val="0"/>
            <w:vAlign w:val="center"/>
          </w:tcPr>
          <w:p w14:paraId="209A08D9">
            <w:pPr>
              <w:pStyle w:val="4"/>
              <w:jc w:val="center"/>
              <w:rPr>
                <w:rFonts w:hint="eastAsia" w:ascii="宋体" w:hAnsi="宋体" w:eastAsia="宋体" w:cs="宋体"/>
                <w:color w:val="auto"/>
                <w:sz w:val="24"/>
                <w:szCs w:val="24"/>
                <w:highlight w:val="none"/>
              </w:rPr>
            </w:pPr>
          </w:p>
        </w:tc>
        <w:tc>
          <w:tcPr>
            <w:tcW w:w="8410" w:type="dxa"/>
            <w:noWrap w:val="0"/>
            <w:vAlign w:val="center"/>
          </w:tcPr>
          <w:p w14:paraId="011B4E22">
            <w:pPr>
              <w:pStyle w:val="4"/>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乙方地址：</w:t>
            </w:r>
          </w:p>
        </w:tc>
      </w:tr>
      <w:tr w14:paraId="51D58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Merge w:val="continue"/>
            <w:noWrap w:val="0"/>
            <w:vAlign w:val="center"/>
          </w:tcPr>
          <w:p w14:paraId="6E30CBD4">
            <w:pPr>
              <w:pStyle w:val="4"/>
              <w:jc w:val="center"/>
              <w:rPr>
                <w:rFonts w:hint="eastAsia" w:ascii="宋体" w:hAnsi="宋体" w:eastAsia="宋体" w:cs="宋体"/>
                <w:color w:val="auto"/>
                <w:sz w:val="24"/>
                <w:szCs w:val="24"/>
                <w:highlight w:val="none"/>
              </w:rPr>
            </w:pPr>
          </w:p>
        </w:tc>
        <w:tc>
          <w:tcPr>
            <w:tcW w:w="8410" w:type="dxa"/>
            <w:noWrap w:val="0"/>
            <w:vAlign w:val="center"/>
          </w:tcPr>
          <w:p w14:paraId="5EBF2395">
            <w:pPr>
              <w:pStyle w:val="4"/>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乙方联系人：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电话：</w:t>
            </w:r>
          </w:p>
        </w:tc>
      </w:tr>
      <w:tr w14:paraId="47F2F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Merge w:val="continue"/>
            <w:noWrap w:val="0"/>
            <w:vAlign w:val="center"/>
          </w:tcPr>
          <w:p w14:paraId="310DC3FA">
            <w:pPr>
              <w:pStyle w:val="4"/>
              <w:jc w:val="center"/>
              <w:rPr>
                <w:rFonts w:hint="eastAsia" w:ascii="宋体" w:hAnsi="宋体" w:eastAsia="宋体" w:cs="宋体"/>
                <w:color w:val="auto"/>
                <w:sz w:val="24"/>
                <w:szCs w:val="24"/>
                <w:highlight w:val="none"/>
              </w:rPr>
            </w:pPr>
          </w:p>
        </w:tc>
        <w:tc>
          <w:tcPr>
            <w:tcW w:w="8410" w:type="dxa"/>
            <w:noWrap w:val="0"/>
            <w:vAlign w:val="center"/>
          </w:tcPr>
          <w:p w14:paraId="7B859831">
            <w:pPr>
              <w:pStyle w:val="4"/>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乙方开户银行名称：</w:t>
            </w:r>
          </w:p>
          <w:p w14:paraId="0D7EBCAC">
            <w:pPr>
              <w:pStyle w:val="4"/>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账号：</w:t>
            </w:r>
          </w:p>
        </w:tc>
      </w:tr>
      <w:tr w14:paraId="3EDDB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center"/>
          </w:tcPr>
          <w:p w14:paraId="37A66D61">
            <w:pPr>
              <w:pStyle w:val="4"/>
              <w:jc w:val="center"/>
              <w:rPr>
                <w:rFonts w:hint="eastAsia" w:ascii="宋体" w:hAnsi="宋体" w:eastAsia="宋体" w:cs="宋体"/>
                <w:color w:val="auto"/>
                <w:sz w:val="24"/>
                <w:szCs w:val="24"/>
                <w:highlight w:val="none"/>
                <w:lang w:val="en-US" w:eastAsia="zh-CN"/>
              </w:rPr>
            </w:pPr>
            <w:r>
              <w:rPr>
                <w:rFonts w:hint="eastAsia" w:hAnsi="宋体" w:eastAsia="宋体" w:cs="宋体"/>
                <w:color w:val="auto"/>
                <w:sz w:val="24"/>
                <w:szCs w:val="24"/>
                <w:highlight w:val="none"/>
                <w:lang w:val="en-US" w:eastAsia="zh-CN"/>
              </w:rPr>
              <w:t>4</w:t>
            </w:r>
          </w:p>
        </w:tc>
        <w:tc>
          <w:tcPr>
            <w:tcW w:w="8410" w:type="dxa"/>
            <w:noWrap w:val="0"/>
            <w:vAlign w:val="center"/>
          </w:tcPr>
          <w:p w14:paraId="2D5A6804">
            <w:pPr>
              <w:pStyle w:val="4"/>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合同金额：</w:t>
            </w:r>
          </w:p>
        </w:tc>
      </w:tr>
      <w:tr w14:paraId="56460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center"/>
          </w:tcPr>
          <w:p w14:paraId="41C6051E">
            <w:pPr>
              <w:pStyle w:val="4"/>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5</w:t>
            </w:r>
          </w:p>
        </w:tc>
        <w:tc>
          <w:tcPr>
            <w:tcW w:w="8410" w:type="dxa"/>
            <w:noWrap w:val="0"/>
            <w:vAlign w:val="center"/>
          </w:tcPr>
          <w:p w14:paraId="36074FA2">
            <w:pPr>
              <w:pStyle w:val="4"/>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服</w:t>
            </w:r>
            <w:r>
              <w:rPr>
                <w:rFonts w:hint="eastAsia" w:hAnsi="宋体" w:eastAsia="宋体" w:cs="宋体"/>
                <w:color w:val="auto"/>
                <w:sz w:val="24"/>
                <w:szCs w:val="24"/>
                <w:highlight w:val="none"/>
                <w:lang w:val="en-US" w:eastAsia="zh-CN"/>
              </w:rPr>
              <w:t>务</w:t>
            </w:r>
            <w:r>
              <w:rPr>
                <w:rFonts w:hint="eastAsia" w:ascii="宋体" w:hAnsi="宋体" w:eastAsia="宋体" w:cs="宋体"/>
                <w:color w:val="auto"/>
                <w:sz w:val="24"/>
                <w:szCs w:val="24"/>
                <w:highlight w:val="none"/>
              </w:rPr>
              <w:t>地点：采购人指定地点</w:t>
            </w:r>
          </w:p>
        </w:tc>
      </w:tr>
      <w:tr w14:paraId="1B773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center"/>
          </w:tcPr>
          <w:p w14:paraId="6AB57C91">
            <w:pPr>
              <w:pStyle w:val="4"/>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6</w:t>
            </w:r>
          </w:p>
        </w:tc>
        <w:tc>
          <w:tcPr>
            <w:tcW w:w="8410" w:type="dxa"/>
            <w:noWrap w:val="0"/>
            <w:vAlign w:val="center"/>
          </w:tcPr>
          <w:p w14:paraId="7DC29028">
            <w:pPr>
              <w:pStyle w:val="4"/>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服务期：保证合同签订之日至202</w:t>
            </w:r>
            <w:r>
              <w:rPr>
                <w:rFonts w:hint="eastAsia"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年</w:t>
            </w:r>
            <w:r>
              <w:rPr>
                <w:rFonts w:hint="eastAsia"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月</w:t>
            </w:r>
            <w:r>
              <w:rPr>
                <w:rFonts w:hint="eastAsia"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日前完成项目所有工作</w:t>
            </w:r>
          </w:p>
        </w:tc>
      </w:tr>
      <w:tr w14:paraId="4287B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center"/>
          </w:tcPr>
          <w:p w14:paraId="71B12C45">
            <w:pPr>
              <w:pStyle w:val="4"/>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7</w:t>
            </w:r>
          </w:p>
        </w:tc>
        <w:tc>
          <w:tcPr>
            <w:tcW w:w="8410" w:type="dxa"/>
            <w:noWrap w:val="0"/>
            <w:vAlign w:val="center"/>
          </w:tcPr>
          <w:p w14:paraId="5AD5362C">
            <w:pPr>
              <w:pStyle w:val="4"/>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验收方式及标准：</w:t>
            </w:r>
          </w:p>
        </w:tc>
      </w:tr>
      <w:tr w14:paraId="11E43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876" w:type="dxa"/>
            <w:noWrap w:val="0"/>
            <w:vAlign w:val="center"/>
          </w:tcPr>
          <w:p w14:paraId="6B20C366">
            <w:pPr>
              <w:pStyle w:val="4"/>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8</w:t>
            </w:r>
          </w:p>
        </w:tc>
        <w:tc>
          <w:tcPr>
            <w:tcW w:w="8410" w:type="dxa"/>
            <w:noWrap w:val="0"/>
            <w:vAlign w:val="center"/>
          </w:tcPr>
          <w:p w14:paraId="00F56FE3">
            <w:pPr>
              <w:pStyle w:val="4"/>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付款方式：</w:t>
            </w:r>
          </w:p>
        </w:tc>
      </w:tr>
      <w:tr w14:paraId="4098C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center"/>
          </w:tcPr>
          <w:p w14:paraId="15084FAA">
            <w:pPr>
              <w:pStyle w:val="4"/>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9</w:t>
            </w:r>
          </w:p>
        </w:tc>
        <w:tc>
          <w:tcPr>
            <w:tcW w:w="8410" w:type="dxa"/>
            <w:noWrap w:val="0"/>
            <w:vAlign w:val="center"/>
          </w:tcPr>
          <w:p w14:paraId="254A500E">
            <w:pPr>
              <w:pStyle w:val="4"/>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□违约金约定：</w:t>
            </w:r>
          </w:p>
          <w:p w14:paraId="18AD9F37">
            <w:pPr>
              <w:pStyle w:val="4"/>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□损失赔偿约定：</w:t>
            </w:r>
          </w:p>
        </w:tc>
      </w:tr>
      <w:tr w14:paraId="3EBB5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center"/>
          </w:tcPr>
          <w:p w14:paraId="5D4BC3C5">
            <w:pPr>
              <w:pStyle w:val="4"/>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w:t>
            </w:r>
            <w:r>
              <w:rPr>
                <w:rFonts w:hint="eastAsia" w:hAnsi="宋体" w:eastAsia="宋体" w:cs="宋体"/>
                <w:color w:val="auto"/>
                <w:sz w:val="24"/>
                <w:szCs w:val="24"/>
                <w:highlight w:val="none"/>
                <w:lang w:val="en-US" w:eastAsia="zh-CN"/>
              </w:rPr>
              <w:t>0</w:t>
            </w:r>
          </w:p>
        </w:tc>
        <w:tc>
          <w:tcPr>
            <w:tcW w:w="8410" w:type="dxa"/>
            <w:noWrap w:val="0"/>
            <w:vAlign w:val="center"/>
          </w:tcPr>
          <w:p w14:paraId="53AECC24">
            <w:pPr>
              <w:pStyle w:val="4"/>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合同履行期限：自合同生效之日起至合同全部权利义务履行完毕之日止。</w:t>
            </w:r>
          </w:p>
        </w:tc>
      </w:tr>
      <w:tr w14:paraId="5265D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center"/>
          </w:tcPr>
          <w:p w14:paraId="1C368446">
            <w:pPr>
              <w:pStyle w:val="4"/>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w:t>
            </w:r>
            <w:r>
              <w:rPr>
                <w:rFonts w:hint="eastAsia" w:hAnsi="宋体" w:eastAsia="宋体" w:cs="宋体"/>
                <w:color w:val="auto"/>
                <w:sz w:val="24"/>
                <w:szCs w:val="24"/>
                <w:highlight w:val="none"/>
                <w:lang w:val="en-US" w:eastAsia="zh-CN"/>
              </w:rPr>
              <w:t>1</w:t>
            </w:r>
          </w:p>
        </w:tc>
        <w:tc>
          <w:tcPr>
            <w:tcW w:w="8410" w:type="dxa"/>
            <w:noWrap w:val="0"/>
            <w:vAlign w:val="center"/>
          </w:tcPr>
          <w:p w14:paraId="3E07E632">
            <w:pPr>
              <w:pStyle w:val="4"/>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合同纠纷的解决方式：</w:t>
            </w:r>
          </w:p>
          <w:p w14:paraId="43426BFB">
            <w:pPr>
              <w:pStyle w:val="4"/>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首先通过双方协商解决，协商解决不成，则通过以下途径之一解决纠纷(请在方框内画“√”选择)：</w:t>
            </w:r>
          </w:p>
          <w:p w14:paraId="61EB8548">
            <w:pPr>
              <w:pStyle w:val="4"/>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□提请______仲裁委员会按照仲裁程序在______(仲裁地)仲裁</w:t>
            </w:r>
          </w:p>
          <w:p w14:paraId="44CAB954">
            <w:pPr>
              <w:pStyle w:val="4"/>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□向甲方所在地人民法院提起诉讼</w:t>
            </w:r>
          </w:p>
        </w:tc>
      </w:tr>
    </w:tbl>
    <w:p w14:paraId="21FACE4F">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1.定义</w:t>
      </w:r>
    </w:p>
    <w:p w14:paraId="6EF659BA">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本合同下列术语应解释为：</w:t>
      </w:r>
    </w:p>
    <w:p w14:paraId="6BADC266">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　“甲方”是指采购人。</w:t>
      </w:r>
    </w:p>
    <w:p w14:paraId="7BEBA8B2">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　“乙方”是指</w:t>
      </w:r>
      <w:r>
        <w:rPr>
          <w:rFonts w:hint="eastAsia" w:hAnsi="宋体" w:eastAsia="宋体" w:cs="宋体"/>
          <w:color w:val="auto"/>
          <w:sz w:val="24"/>
          <w:szCs w:val="24"/>
          <w:highlight w:val="none"/>
          <w:lang w:val="en-US" w:eastAsia="zh-CN"/>
        </w:rPr>
        <w:t>中标人</w:t>
      </w:r>
      <w:r>
        <w:rPr>
          <w:rFonts w:hint="eastAsia" w:ascii="宋体" w:hAnsi="宋体" w:eastAsia="宋体" w:cs="宋体"/>
          <w:color w:val="auto"/>
          <w:sz w:val="24"/>
          <w:szCs w:val="24"/>
          <w:highlight w:val="none"/>
        </w:rPr>
        <w:t>。</w:t>
      </w:r>
    </w:p>
    <w:p w14:paraId="005F3C31">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　“合同”系指甲乙双方签署的、合同中载明的甲乙双方所达成的协议，包括所有的附件、附录和上述文件所提到的构成合同的所有文件。</w:t>
      </w:r>
    </w:p>
    <w:p w14:paraId="2900CE94">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　“服务”是指乙方按照文件要求，向采购人提供的技术支持服务。</w:t>
      </w:r>
    </w:p>
    <w:p w14:paraId="4993279B">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　“天”除非特别指出，“天”均为自然天。</w:t>
      </w:r>
    </w:p>
    <w:p w14:paraId="2912B90D">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2.服务标准</w:t>
      </w:r>
    </w:p>
    <w:p w14:paraId="3D479670">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　乙方为甲方交付的服务应符合</w:t>
      </w:r>
      <w:r>
        <w:rPr>
          <w:rFonts w:hint="eastAsia"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所述的内容，如果没有提及适用标准，则应符合相应的国家标准。这些标准必须是有关机构发布的最新版本的标准。</w:t>
      </w:r>
    </w:p>
    <w:p w14:paraId="1DE3C7B1">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　除非技术要求中另有规定，计量单位均采用中华人民共和国法定计量单位。</w:t>
      </w:r>
    </w:p>
    <w:p w14:paraId="56260B2B">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3.服务</w:t>
      </w:r>
    </w:p>
    <w:p w14:paraId="1D0BFB2F">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　乙方应按照合同的规定，</w:t>
      </w:r>
      <w:r>
        <w:rPr>
          <w:rFonts w:hint="eastAsia" w:hAnsi="宋体" w:eastAsia="宋体" w:cs="宋体"/>
          <w:color w:val="auto"/>
          <w:sz w:val="24"/>
          <w:szCs w:val="24"/>
          <w:highlight w:val="none"/>
          <w:lang w:val="en-US" w:eastAsia="zh-CN"/>
        </w:rPr>
        <w:t>为</w:t>
      </w:r>
      <w:r>
        <w:rPr>
          <w:rFonts w:hint="eastAsia" w:ascii="宋体" w:hAnsi="宋体" w:eastAsia="宋体" w:cs="宋体"/>
          <w:color w:val="auto"/>
          <w:sz w:val="24"/>
          <w:szCs w:val="24"/>
          <w:highlight w:val="none"/>
        </w:rPr>
        <w:t>甲方提供符合要求的</w:t>
      </w:r>
      <w:r>
        <w:rPr>
          <w:rFonts w:hint="eastAsia" w:hAnsi="宋体" w:eastAsia="宋体" w:cs="宋体"/>
          <w:color w:val="auto"/>
          <w:sz w:val="24"/>
          <w:szCs w:val="24"/>
          <w:highlight w:val="none"/>
          <w:lang w:val="en-US" w:eastAsia="zh-CN"/>
        </w:rPr>
        <w:t>下列</w:t>
      </w:r>
      <w:r>
        <w:rPr>
          <w:rFonts w:hint="eastAsia" w:ascii="宋体" w:hAnsi="宋体" w:eastAsia="宋体" w:cs="宋体"/>
          <w:color w:val="auto"/>
          <w:sz w:val="24"/>
          <w:szCs w:val="24"/>
          <w:highlight w:val="none"/>
        </w:rPr>
        <w:t>服务。</w:t>
      </w:r>
    </w:p>
    <w:p w14:paraId="7745666F">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4.知识产权</w:t>
      </w:r>
    </w:p>
    <w:p w14:paraId="76950864">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　乙方应保证所提供的服务免受第三方提出侵犯其知识产权(专利权、商标权、版权等)的起诉。因侵害他人知识产权而产生的法律责任，全部由</w:t>
      </w:r>
      <w:r>
        <w:rPr>
          <w:rFonts w:hint="eastAsia" w:hAnsi="宋体" w:eastAsia="宋体" w:cs="宋体"/>
          <w:color w:val="auto"/>
          <w:sz w:val="24"/>
          <w:szCs w:val="24"/>
          <w:highlight w:val="none"/>
          <w:lang w:eastAsia="zh-CN"/>
        </w:rPr>
        <w:t>中标人</w:t>
      </w:r>
      <w:r>
        <w:rPr>
          <w:rFonts w:hint="eastAsia" w:ascii="宋体" w:hAnsi="宋体" w:eastAsia="宋体" w:cs="宋体"/>
          <w:color w:val="auto"/>
          <w:sz w:val="24"/>
          <w:szCs w:val="24"/>
          <w:highlight w:val="none"/>
        </w:rPr>
        <w:t>承担。</w:t>
      </w:r>
    </w:p>
    <w:p w14:paraId="0FCA1445">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　甲方委托乙方开发的产品，甲方享有知识产权，未经甲方许可不得转让任何第三人。</w:t>
      </w:r>
    </w:p>
    <w:p w14:paraId="5C0A8826">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5.保密条款</w:t>
      </w:r>
    </w:p>
    <w:p w14:paraId="5DF0F4E1">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　甲乙双方应对在本合同签订或履行过程中所接触的对方信息，包括但不限于知识产权、技术资料、技术诀窍、内部管理及其他相关信息，负有保密义务。</w:t>
      </w:r>
    </w:p>
    <w:p w14:paraId="2121D96E">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4F60F003">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(1)应以审慎态度避免泄露、公开或传播甲方的信息；</w:t>
      </w:r>
    </w:p>
    <w:p w14:paraId="77CCD21C">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(2)未经甲方书面许可，不得对有关信息进行修改、补充、复制；</w:t>
      </w:r>
    </w:p>
    <w:p w14:paraId="0840FC99">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(3)未经甲方书面许可，不得将信息以任何方式(如E－mail)携带出甲方场所；</w:t>
      </w:r>
    </w:p>
    <w:p w14:paraId="2E12F7E5">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(4)未经甲方书面许可，不得将信息透露给任何其他人；</w:t>
      </w:r>
    </w:p>
    <w:p w14:paraId="579B16CD">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(5)甲方以书面形式提出的其他保密措施。</w:t>
      </w:r>
    </w:p>
    <w:p w14:paraId="5D7239D0">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　保密期限不受合同有效期的限制，在合同有效期结束后，信息接受方仍应承担保密义务，直至该等信息成为公开信息。</w:t>
      </w:r>
    </w:p>
    <w:p w14:paraId="5A31E2EF">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5.4　甲乙双方如出现泄密行为，泄密方应承担相关的法律责任，包括但是不限于对由此给对方造成的经济损失进行赔偿。</w:t>
      </w:r>
    </w:p>
    <w:p w14:paraId="48920481">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6.服务质量保证</w:t>
      </w:r>
    </w:p>
    <w:p w14:paraId="427B4C45">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　乙方应保证所提供的服务，符合合同规定的技术要求。如不符时，乙方应负全责并尽快处理解决，由此造成的损失和相关费用由乙方负责，甲方保留终止合同及索赔的权利。</w:t>
      </w:r>
    </w:p>
    <w:p w14:paraId="7C500E97">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6.2　乙方应保证通过执行合同中全部方案后，可以取得本合同规定的结果，达到本合同规定的预期目标。对任何情况下出现问题的，应尽快提出解决方案。</w:t>
      </w:r>
    </w:p>
    <w:p w14:paraId="2E0E55C1">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6.3　如果乙方提供的服务和解决方案不符合甲方要求，或在规定的时间内没有弥补缺陷，甲方有权采取一切必要的补救措施，由此产生的费用全部由乙方负责。</w:t>
      </w:r>
    </w:p>
    <w:p w14:paraId="6A9C7909">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.服务时间、地点与验收</w:t>
      </w:r>
    </w:p>
    <w:p w14:paraId="59D11071">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.1　服务地点：合同条款前附表指定地点。</w:t>
      </w:r>
    </w:p>
    <w:p w14:paraId="54C31590">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.2　服务时间：合同条款前附表指定时间。</w:t>
      </w:r>
    </w:p>
    <w:p w14:paraId="54078015">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.3　甲方应在乙方完成相关服务工作后及时对服务质量、技术指标、服务成果进行验收。</w:t>
      </w:r>
    </w:p>
    <w:p w14:paraId="55ABEBF4">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.违约责任</w:t>
      </w:r>
    </w:p>
    <w:p w14:paraId="2E1608F5">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.1　服务缺陷的补救措施和索赔</w:t>
      </w:r>
    </w:p>
    <w:p w14:paraId="6BE37571">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(1)如果乙方提供的服务不符合本合同约定以及</w:t>
      </w:r>
      <w:r>
        <w:rPr>
          <w:rFonts w:hint="eastAsia"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w:t>
      </w:r>
      <w:r>
        <w:rPr>
          <w:rFonts w:hint="eastAsia" w:hAnsi="宋体" w:eastAsia="宋体" w:cs="宋体"/>
          <w:color w:val="auto"/>
          <w:sz w:val="24"/>
          <w:szCs w:val="24"/>
          <w:highlight w:val="none"/>
          <w:lang w:eastAsia="zh-CN"/>
        </w:rPr>
        <w:t>响应</w:t>
      </w:r>
      <w:r>
        <w:rPr>
          <w:rFonts w:hint="eastAsia" w:ascii="宋体" w:hAnsi="宋体" w:eastAsia="宋体" w:cs="宋体"/>
          <w:color w:val="auto"/>
          <w:sz w:val="24"/>
          <w:szCs w:val="24"/>
          <w:highlight w:val="none"/>
        </w:rPr>
        <w:t>文件关于服务的要求和承诺，乙方应按照甲方同意的下列一种或几种方式结合起来解决索赔事宜：</w:t>
      </w:r>
    </w:p>
    <w:p w14:paraId="5B5A7116">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①乙方同意将服务款项目退还给甲方，由此发生的一切费用和损失由乙方承担。如甲方以适当的条件和方法购买与未履约标的相类似的服务，乙方应负担新购买类似服务所超出的费用。</w:t>
      </w:r>
    </w:p>
    <w:p w14:paraId="4014A27D">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②根据服务的质量状况以及甲方所遭受的损失，经过甲乙双方商定降低服务的价格。</w:t>
      </w:r>
    </w:p>
    <w:p w14:paraId="4E44F395">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如果在甲方发出索赔通知后10日内乙方未作答复，上述索赔应视为已被乙方接受。如果乙方未能在甲方发出索赔通知后10日内或甲方同意延长的期限内，按照上述规定的任何一种方法采取补救措施，甲方有权从应付服务款中扣除索赔金额，如不足以弥补甲方损失的，甲方有权进一步要求乙方赔偿。</w:t>
      </w:r>
    </w:p>
    <w:p w14:paraId="09474691">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.2　迟延履约的违约责任</w:t>
      </w:r>
    </w:p>
    <w:p w14:paraId="6CEB8798">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(1)乙方应按照本合同规定的时间、地点提供服务。</w:t>
      </w:r>
    </w:p>
    <w:p w14:paraId="75319798">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612A222A">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除甲乙双方另有约定外，如果乙方没有按照合同规定的时间提供服务，且没有在甲方同意的延长的期限内进行补救时，甲方有权从服务款中扣除或要求乙方另行支付误期赔偿费而不影响合同项下的其他补救方法。赔偿费每日按合同金额的0.5%(各单位可根据实际情况重新设定)计收，直至交货或提供服务为止。但误期赔偿费的最高限额不超过合同价的15%(各单位可根据实际情况重新设定)。</w:t>
      </w:r>
    </w:p>
    <w:p w14:paraId="4C0231C1">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(4)如果乙方延迟履约超过30日，甲方有权终止全部或部分合同，并依其认为适当的条件和方法购买与未履约类似的服务，乙方应负担购买类似服务所超出的费用。但是，乙方应继续执行合同中未终止的部分。</w:t>
      </w:r>
    </w:p>
    <w:p w14:paraId="15EED9DD">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.3　未履行合同义务的违约责任</w:t>
      </w:r>
    </w:p>
    <w:p w14:paraId="2FD51E62">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(1)守约方有权终止全部或部分合同。</w:t>
      </w:r>
    </w:p>
    <w:p w14:paraId="22AD319A">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)由违约一方支付违约金，违约金标准见合同条款前附表(各单位可根据实际情况自行约定)。</w:t>
      </w:r>
    </w:p>
    <w:p w14:paraId="6F4DA242">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)违约金不足以弥补守约方实际损失、可预见或者应当预见的损失，由违约方全额予以赔偿。</w:t>
      </w:r>
    </w:p>
    <w:p w14:paraId="3E1F14F9">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.不可抗力</w:t>
      </w:r>
    </w:p>
    <w:p w14:paraId="099F7CD1">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.1　如果合同双方因不可抗力而导致合同实施延误或合同无法实施，不应该承担误期赔偿或不能履行合同义务的责任。</w:t>
      </w:r>
    </w:p>
    <w:p w14:paraId="6D6A2CD4">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.2　本条所述的“不可抗力”系指那些双方不可预见、不可避免、不可克服的客观情况，但不包括双方的违约或疏忽。这些事件包括但不限于：战争、严重火灾、洪水、台风、地震等。</w:t>
      </w:r>
    </w:p>
    <w:p w14:paraId="666AAFBC">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0CFC6D73">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.合同纠纷的解决方式</w:t>
      </w:r>
    </w:p>
    <w:p w14:paraId="46477506">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.1　合同各方应通过友好协商，解决在执行合同过程中所发生的或与合同有关的一切争端。如协商30日内(根据实际情况设定)不能解决，可以按合同规定的方式提起仲裁或诉讼。</w:t>
      </w:r>
    </w:p>
    <w:p w14:paraId="2891AFBC">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.2　仲裁裁决应为最终裁决，对双方均具有约束力。</w:t>
      </w:r>
    </w:p>
    <w:p w14:paraId="01D57267">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.3　仲裁费除仲裁机关另有裁决外应由败诉方负担。</w:t>
      </w:r>
    </w:p>
    <w:p w14:paraId="69E1FF56">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.4　</w:t>
      </w:r>
      <w:bookmarkStart w:id="0" w:name="_Hlk535772996"/>
      <w:r>
        <w:rPr>
          <w:rFonts w:hint="eastAsia" w:ascii="宋体" w:hAnsi="宋体" w:eastAsia="宋体" w:cs="宋体"/>
          <w:color w:val="auto"/>
          <w:sz w:val="24"/>
          <w:szCs w:val="24"/>
          <w:highlight w:val="none"/>
        </w:rPr>
        <w:t>诉讼应由甲方住所地人民法院管辖。财产保全担保保险费、财产保全申请费、律师代理费、差旅费、评估费、鉴定费及诉讼费等与仲裁或诉讼活动相关费用应由败诉方负担。</w:t>
      </w:r>
      <w:bookmarkEnd w:id="0"/>
    </w:p>
    <w:p w14:paraId="6B93D6CC">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.5　如仲裁或诉讼事项不影响合同其他部分的履行，则在仲裁或诉讼期间，除正在进行仲裁或诉讼的部分外，合同的其他部分应继续执行。</w:t>
      </w:r>
    </w:p>
    <w:p w14:paraId="2AD57101">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.合同修改或变更</w:t>
      </w:r>
    </w:p>
    <w:p w14:paraId="3CC73C5A">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.1　如无重大变故，甲方双方不得擅自变更合同。</w:t>
      </w:r>
    </w:p>
    <w:p w14:paraId="3377AE6D">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.2　如确需变更合同，甲乙双方应签署书面变更协议。变更协议为本合同不可分割的一部分。</w:t>
      </w:r>
    </w:p>
    <w:p w14:paraId="6B3ADC02">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.3　在不改变合同其他条款的前提下，甲方有权在合同价款10%的范围内追加与合同标的相同的货物或服务，并就此与乙方签订补充合同，乙方不得拒绝。</w:t>
      </w:r>
    </w:p>
    <w:p w14:paraId="23903AE3">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.合同中止</w:t>
      </w:r>
    </w:p>
    <w:p w14:paraId="5868DC8B">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.1合同在履行过程中，因采购计划调整，甲方可以要求中止履行，待计划确定后继续履行；合同履行过程中因</w:t>
      </w:r>
      <w:r>
        <w:rPr>
          <w:rFonts w:hint="eastAsia" w:hAnsi="宋体" w:eastAsia="宋体" w:cs="宋体"/>
          <w:color w:val="auto"/>
          <w:sz w:val="24"/>
          <w:szCs w:val="24"/>
          <w:highlight w:val="none"/>
          <w:lang w:eastAsia="zh-CN"/>
        </w:rPr>
        <w:t>中标人</w:t>
      </w:r>
      <w:r>
        <w:rPr>
          <w:rFonts w:hint="eastAsia" w:ascii="宋体" w:hAnsi="宋体" w:eastAsia="宋体" w:cs="宋体"/>
          <w:color w:val="auto"/>
          <w:sz w:val="24"/>
          <w:szCs w:val="24"/>
          <w:highlight w:val="none"/>
        </w:rPr>
        <w:t>就采购过程或结果提起投诉的，甲方认为有必要或财政部责令中止的，应当中止合同的履行。</w:t>
      </w:r>
    </w:p>
    <w:p w14:paraId="7955E5DD">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.终止合同</w:t>
      </w:r>
    </w:p>
    <w:p w14:paraId="79D6122D">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.1　若出现如下情况，在甲方对乙方违约行为而采取的任何补救措施不受影响的情况下，甲方可向乙方发出书面通知书，提出终止部分或全部合同。</w:t>
      </w:r>
    </w:p>
    <w:p w14:paraId="73EB3BC2">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.1.1　如果乙方未能在合同规定的期限或甲方同意延长的期限内提供服务；</w:t>
      </w:r>
    </w:p>
    <w:p w14:paraId="3DDDA38C">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.1.2　因乙方技术人员自身技术能力、经验不足等原因造成甲方硬件设备、应用系统发生重大紧急故障或应用系统数据丢失，带来重大影响和损失的；</w:t>
      </w:r>
    </w:p>
    <w:p w14:paraId="251643BF">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.1.3　乙方对甲方硬件设备、应用系统重大紧急故障没有及时响应，或不能在规定时间内解决处理故障，恢复系统正常运行的；</w:t>
      </w:r>
    </w:p>
    <w:p w14:paraId="4271DCEE">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.1.4　不能满足本项目技术需求的管理要求和规范，且经多次整改无明显改进的；</w:t>
      </w:r>
    </w:p>
    <w:p w14:paraId="2B5199AD">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.1.5　在合同规定的每个服务年度(12个自然月)内，在运行维护支持服务过程中，出现2次经甲乙双方确认的违规操作的。</w:t>
      </w:r>
    </w:p>
    <w:p w14:paraId="77FF77B1">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.2　如果甲方根据上述第1</w:t>
      </w:r>
      <w:r>
        <w:rPr>
          <w:rFonts w:hint="eastAsia"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.1条的规定，终止了全部或部分合同，甲方可以适当的条件和方法购买乙方未能提供的服务，乙方应对甲方购买类似服务所超出的费用负责。同时，乙方应继续执行合同中未终止的部分。</w:t>
      </w:r>
    </w:p>
    <w:p w14:paraId="48812A02">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.破产终止合同</w:t>
      </w:r>
    </w:p>
    <w:p w14:paraId="7F11029A">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.1　如果乙方破产或无清偿能力，甲方可在任何时候以书面形式通知乙方终止合同而不给乙方补偿。</w:t>
      </w:r>
    </w:p>
    <w:p w14:paraId="0EC12AB9">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.2　该终止行为将不损害或影响甲方已经采取或将要采取的任何行动或补救措施的权利。</w:t>
      </w:r>
    </w:p>
    <w:p w14:paraId="26FDD793">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.合同转让和分包</w:t>
      </w:r>
    </w:p>
    <w:p w14:paraId="3F419D78">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.1　乙方不得以任何形式将合同转包，或部分或全部转让其应履行的合同义务。</w:t>
      </w:r>
    </w:p>
    <w:p w14:paraId="287A305E">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.2　除经甲方事先书面同意外，乙方不得以任何形式将合同分包。</w:t>
      </w:r>
    </w:p>
    <w:p w14:paraId="1340C35A">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.适用法律</w:t>
      </w:r>
    </w:p>
    <w:p w14:paraId="2272C66A">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.1　本合同适用中华人民共和国现行法律、行政法规和规章，如合同条款与法律、行政法规和规章不一致的，按照法律、行政法规和规章修改本合同。</w:t>
      </w:r>
    </w:p>
    <w:p w14:paraId="2E87AFD8">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.合同语言</w:t>
      </w:r>
    </w:p>
    <w:p w14:paraId="2EE395A0">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.1　本合同语言为中文。</w:t>
      </w:r>
    </w:p>
    <w:p w14:paraId="42B5CBC3">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.2　双方交换的与合同有关的信件和其他文件应用合同语言书写。</w:t>
      </w:r>
    </w:p>
    <w:p w14:paraId="23984AE4">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hAnsi="宋体" w:eastAsia="宋体" w:cs="宋体"/>
          <w:color w:val="auto"/>
          <w:sz w:val="24"/>
          <w:szCs w:val="24"/>
          <w:highlight w:val="none"/>
          <w:lang w:val="en-US" w:eastAsia="zh-CN"/>
        </w:rPr>
        <w:t>18</w:t>
      </w:r>
      <w:r>
        <w:rPr>
          <w:rFonts w:hint="eastAsia" w:ascii="宋体" w:hAnsi="宋体" w:eastAsia="宋体" w:cs="宋体"/>
          <w:color w:val="auto"/>
          <w:sz w:val="24"/>
          <w:szCs w:val="24"/>
          <w:highlight w:val="none"/>
        </w:rPr>
        <w:t>.合同生效</w:t>
      </w:r>
    </w:p>
    <w:p w14:paraId="3753AC4C">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hAnsi="宋体" w:eastAsia="宋体" w:cs="宋体"/>
          <w:color w:val="auto"/>
          <w:sz w:val="24"/>
          <w:szCs w:val="24"/>
          <w:highlight w:val="none"/>
          <w:lang w:val="en-US" w:eastAsia="zh-CN"/>
        </w:rPr>
        <w:t>18</w:t>
      </w:r>
      <w:r>
        <w:rPr>
          <w:rFonts w:hint="eastAsia" w:ascii="宋体" w:hAnsi="宋体" w:eastAsia="宋体" w:cs="宋体"/>
          <w:color w:val="auto"/>
          <w:sz w:val="24"/>
          <w:szCs w:val="24"/>
          <w:highlight w:val="none"/>
        </w:rPr>
        <w:t>.1　本合同应在双方签字盖章后生效。</w:t>
      </w:r>
    </w:p>
    <w:p w14:paraId="40A0CD75">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rPr>
        <w:t>.合同效力</w:t>
      </w:r>
    </w:p>
    <w:p w14:paraId="4AF82D86">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rPr>
        <w:t>.1　</w:t>
      </w:r>
      <w:bookmarkStart w:id="1" w:name="_Hlk535773071"/>
      <w:r>
        <w:rPr>
          <w:rFonts w:hint="eastAsia" w:ascii="宋体" w:hAnsi="宋体" w:eastAsia="宋体" w:cs="宋体"/>
          <w:color w:val="auto"/>
          <w:sz w:val="24"/>
          <w:szCs w:val="24"/>
          <w:highlight w:val="none"/>
        </w:rPr>
        <w:t>除本合同和甲乙双方书面签署的补充协议外，其他任何形式的双方约定和往来函件均不具有法律效力，对本项目无约束力。</w:t>
      </w:r>
    </w:p>
    <w:bookmarkEnd w:id="1"/>
    <w:p w14:paraId="5BA1FBC4">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.检查和审计</w:t>
      </w:r>
    </w:p>
    <w:p w14:paraId="20A544E5">
      <w:pPr>
        <w:pStyle w:val="4"/>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1在本合同的履行过程中，甲方有权对乙方的合同履约情况进行阶段性检查，并对乙方投标时提供的相关资料进行复核。</w:t>
      </w:r>
    </w:p>
    <w:p w14:paraId="693D5A29">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left"/>
        <w:textAlignment w:val="auto"/>
        <w:rPr>
          <w:color w:val="auto"/>
        </w:rPr>
      </w:pP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.2　在本合同的履行过程中，如果甲乙双方发生争议或者乙方没有按照合同约定履行义务，乙方应允许甲方检查乙方与实施本合同有关的账户和记录，并由甲方指定的审计人员对其进行审计。</w:t>
      </w:r>
    </w:p>
    <w:p w14:paraId="2C378446">
      <w:pPr>
        <w:spacing w:line="360" w:lineRule="auto"/>
        <w:rPr>
          <w:rFonts w:ascii="Lucida Sans Unicode" w:hAnsi="Lucida Sans Unicode" w:eastAsia="Lucida Sans Unicode" w:cs="Lucida Sans Unicode"/>
          <w:color w:val="auto"/>
          <w:spacing w:val="0"/>
          <w:w w:val="100"/>
          <w:sz w:val="24"/>
          <w:szCs w:val="24"/>
        </w:rPr>
      </w:pPr>
    </w:p>
    <w:p w14:paraId="1B6BCEFF"/>
    <w:sectPr>
      <w:pgSz w:w="11900" w:h="16840"/>
      <w:pgMar w:top="1440" w:right="1800" w:bottom="1440" w:left="1800" w:header="850" w:footer="964"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Lucida Sans Unicode">
    <w:panose1 w:val="020B0602030504020204"/>
    <w:charset w:val="00"/>
    <w:family w:val="auto"/>
    <w:pitch w:val="default"/>
    <w:sig w:usb0="80001AFF" w:usb1="0000396B" w:usb2="00000000" w:usb3="00000000" w:csb0="200000BF" w:csb1="D7F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5N2FmMzQwOTEwMmUzMzIxODEwYjczZTBiNjRlYWQifQ=="/>
  </w:docVars>
  <w:rsids>
    <w:rsidRoot w:val="00000000"/>
    <w:rsid w:val="1AC4447E"/>
    <w:rsid w:val="1B3D315C"/>
    <w:rsid w:val="1C7C1774"/>
    <w:rsid w:val="26435EC5"/>
    <w:rsid w:val="37D42E21"/>
    <w:rsid w:val="47555600"/>
    <w:rsid w:val="485D29BF"/>
    <w:rsid w:val="4FC96B8B"/>
    <w:rsid w:val="57DC6A29"/>
    <w:rsid w:val="58CD149A"/>
    <w:rsid w:val="58E6255C"/>
    <w:rsid w:val="5CE93939"/>
    <w:rsid w:val="652C1AF7"/>
    <w:rsid w:val="73244AF9"/>
    <w:rsid w:val="797572B9"/>
    <w:rsid w:val="7EB46B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semiHidden/>
    <w:unhideWhenUsed/>
    <w:qFormat/>
    <w:uiPriority w:val="0"/>
    <w:pPr>
      <w:keepNext/>
      <w:widowControl/>
      <w:spacing w:line="360" w:lineRule="auto"/>
      <w:jc w:val="center"/>
      <w:outlineLvl w:val="1"/>
    </w:pPr>
    <w:rPr>
      <w:b/>
      <w:bCs/>
      <w:spacing w:val="23"/>
      <w:sz w:val="28"/>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Plain Text"/>
    <w:basedOn w:val="1"/>
    <w:qFormat/>
    <w:uiPriority w:val="99"/>
    <w:rPr>
      <w:rFonts w:ascii="宋体" w:hAnsi="Courier New"/>
      <w:szCs w:val="21"/>
    </w:rPr>
  </w:style>
  <w:style w:type="paragraph" w:styleId="5">
    <w:name w:val="Normal (Web)"/>
    <w:basedOn w:val="1"/>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4815</Words>
  <Characters>5126</Characters>
  <Lines>0</Lines>
  <Paragraphs>0</Paragraphs>
  <TotalTime>12</TotalTime>
  <ScaleCrop>false</ScaleCrop>
  <LinksUpToDate>false</LinksUpToDate>
  <CharactersWithSpaces>5285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2024-06-28T02:10:00Z</dcterms:created>
  <dc:creator>PC</dc:creator>
  <cp:lastModifiedBy>vee</cp:lastModifiedBy>
  <dcterms:modified xsi:type="dcterms:W3CDTF">2026-07-28T08:09:15Z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B2707948B6E848B2BB0E051FB109ADB0_12</vt:lpwstr>
  </property>
  <property fmtid="{D5CDD505-2E9C-101B-9397-08002B2CF9AE}" pid="4" name="KSOTemplateDocerSaveRecord">
    <vt:lpwstr>eyJoZGlkIjoiOWUzZmI4MTlkZGViMmM0OTgwYzM2YmRmY2JmNTRmMmIiLCJ1c2VySWQiOiI0ODQxMDcwNzcifQ==</vt:lpwstr>
  </property>
</Properties>
</file>